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81AC3" w14:paraId="0043AC80" w14:textId="77777777" w:rsidTr="00AD3606">
        <w:trPr>
          <w:cantSplit/>
          <w:trHeight w:val="23"/>
        </w:trPr>
        <w:tc>
          <w:tcPr>
            <w:tcW w:w="3969" w:type="dxa"/>
            <w:vMerge w:val="restart"/>
            <w:tcMar>
              <w:left w:w="0" w:type="dxa"/>
            </w:tcMar>
          </w:tcPr>
          <w:p w14:paraId="60A806D3" w14:textId="33A86F31" w:rsidR="00AD3606" w:rsidRPr="00381AC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481A983C" w:rsidR="00AD3606" w:rsidRPr="00381AC3" w:rsidRDefault="00AD3606" w:rsidP="00472BAD">
            <w:pPr>
              <w:tabs>
                <w:tab w:val="left" w:pos="851"/>
              </w:tabs>
              <w:spacing w:before="0" w:line="240" w:lineRule="atLeast"/>
              <w:jc w:val="right"/>
              <w:rPr>
                <w:b/>
              </w:rPr>
            </w:pPr>
            <w:r w:rsidRPr="00381AC3">
              <w:rPr>
                <w:b/>
              </w:rPr>
              <w:t>Document C2</w:t>
            </w:r>
            <w:r w:rsidR="000C76A9" w:rsidRPr="00381AC3">
              <w:rPr>
                <w:b/>
              </w:rPr>
              <w:t>5</w:t>
            </w:r>
            <w:r w:rsidRPr="00381AC3">
              <w:rPr>
                <w:b/>
              </w:rPr>
              <w:t>/</w:t>
            </w:r>
            <w:r w:rsidR="00534A5F">
              <w:rPr>
                <w:b/>
              </w:rPr>
              <w:t>111</w:t>
            </w:r>
            <w:r w:rsidRPr="00381AC3">
              <w:rPr>
                <w:b/>
              </w:rPr>
              <w:t>-E</w:t>
            </w:r>
          </w:p>
        </w:tc>
      </w:tr>
      <w:tr w:rsidR="00AD3606" w:rsidRPr="00381AC3" w14:paraId="789B45BA" w14:textId="77777777" w:rsidTr="00AD3606">
        <w:trPr>
          <w:cantSplit/>
        </w:trPr>
        <w:tc>
          <w:tcPr>
            <w:tcW w:w="3969" w:type="dxa"/>
            <w:vMerge/>
          </w:tcPr>
          <w:p w14:paraId="3F3D4E17" w14:textId="77777777" w:rsidR="00AD3606" w:rsidRPr="00381AC3"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41451241" w:rsidR="00AD3606" w:rsidRPr="00381AC3" w:rsidRDefault="00044A5E" w:rsidP="00AD3606">
            <w:pPr>
              <w:tabs>
                <w:tab w:val="left" w:pos="851"/>
              </w:tabs>
              <w:spacing w:before="0"/>
              <w:jc w:val="right"/>
              <w:rPr>
                <w:b/>
              </w:rPr>
            </w:pPr>
            <w:r>
              <w:rPr>
                <w:b/>
              </w:rPr>
              <w:t>1 September</w:t>
            </w:r>
            <w:r w:rsidR="00611253" w:rsidRPr="00381AC3">
              <w:rPr>
                <w:b/>
              </w:rPr>
              <w:t xml:space="preserve"> </w:t>
            </w:r>
            <w:r w:rsidR="00AD3606" w:rsidRPr="00381AC3">
              <w:rPr>
                <w:b/>
              </w:rPr>
              <w:t>202</w:t>
            </w:r>
            <w:r w:rsidR="000C76A9" w:rsidRPr="00381AC3">
              <w:rPr>
                <w:b/>
              </w:rPr>
              <w:t>5</w:t>
            </w:r>
          </w:p>
        </w:tc>
      </w:tr>
      <w:tr w:rsidR="00AD3606" w:rsidRPr="00381AC3" w14:paraId="58A84C4A" w14:textId="77777777" w:rsidTr="00AD3606">
        <w:trPr>
          <w:cantSplit/>
          <w:trHeight w:val="23"/>
        </w:trPr>
        <w:tc>
          <w:tcPr>
            <w:tcW w:w="3969" w:type="dxa"/>
            <w:vMerge/>
          </w:tcPr>
          <w:p w14:paraId="77CEDDAA" w14:textId="77777777" w:rsidR="00AD3606" w:rsidRPr="00381AC3"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381AC3" w:rsidRDefault="00AD3606" w:rsidP="00AD3606">
            <w:pPr>
              <w:tabs>
                <w:tab w:val="left" w:pos="851"/>
              </w:tabs>
              <w:spacing w:before="0" w:line="240" w:lineRule="atLeast"/>
              <w:jc w:val="right"/>
              <w:rPr>
                <w:b/>
              </w:rPr>
            </w:pPr>
            <w:r w:rsidRPr="00381AC3">
              <w:rPr>
                <w:b/>
              </w:rPr>
              <w:t>Original: English</w:t>
            </w:r>
          </w:p>
        </w:tc>
      </w:tr>
      <w:tr w:rsidR="00472BAD" w:rsidRPr="00381AC3" w14:paraId="12C5EF5F" w14:textId="77777777" w:rsidTr="00AD3606">
        <w:trPr>
          <w:cantSplit/>
          <w:trHeight w:val="23"/>
        </w:trPr>
        <w:tc>
          <w:tcPr>
            <w:tcW w:w="3969" w:type="dxa"/>
          </w:tcPr>
          <w:p w14:paraId="4B839BA2" w14:textId="77777777" w:rsidR="00472BAD" w:rsidRPr="00381AC3" w:rsidRDefault="00472BAD" w:rsidP="00AD3606">
            <w:pPr>
              <w:tabs>
                <w:tab w:val="left" w:pos="851"/>
              </w:tabs>
              <w:spacing w:line="240" w:lineRule="atLeast"/>
              <w:rPr>
                <w:b/>
              </w:rPr>
            </w:pPr>
          </w:p>
        </w:tc>
        <w:tc>
          <w:tcPr>
            <w:tcW w:w="5245" w:type="dxa"/>
          </w:tcPr>
          <w:p w14:paraId="12F66D25" w14:textId="77777777" w:rsidR="00472BAD" w:rsidRPr="00381AC3" w:rsidRDefault="00472BAD" w:rsidP="00AD3606">
            <w:pPr>
              <w:tabs>
                <w:tab w:val="left" w:pos="851"/>
              </w:tabs>
              <w:spacing w:before="0" w:line="240" w:lineRule="atLeast"/>
              <w:jc w:val="right"/>
              <w:rPr>
                <w:b/>
              </w:rPr>
            </w:pPr>
          </w:p>
        </w:tc>
      </w:tr>
      <w:tr w:rsidR="007244B9" w:rsidRPr="00381AC3" w14:paraId="54F40449" w14:textId="77777777" w:rsidTr="003243AE">
        <w:trPr>
          <w:cantSplit/>
          <w:trHeight w:val="23"/>
        </w:trPr>
        <w:tc>
          <w:tcPr>
            <w:tcW w:w="9214" w:type="dxa"/>
            <w:gridSpan w:val="2"/>
          </w:tcPr>
          <w:p w14:paraId="26A57B8C" w14:textId="77777777" w:rsidR="007244B9" w:rsidRPr="00381AC3"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381AC3">
              <w:rPr>
                <w:b/>
                <w:bCs/>
                <w:sz w:val="34"/>
                <w:szCs w:val="34"/>
              </w:rPr>
              <w:t>SUMMARY RECORD</w:t>
            </w:r>
          </w:p>
          <w:p w14:paraId="35817936" w14:textId="77777777" w:rsidR="007244B9" w:rsidRPr="00381AC3" w:rsidRDefault="007244B9" w:rsidP="007244B9">
            <w:pPr>
              <w:tabs>
                <w:tab w:val="clear" w:pos="567"/>
                <w:tab w:val="clear" w:pos="1134"/>
                <w:tab w:val="clear" w:pos="1701"/>
                <w:tab w:val="clear" w:pos="2268"/>
                <w:tab w:val="clear" w:pos="2835"/>
              </w:tabs>
              <w:overflowPunct/>
              <w:autoSpaceDE/>
              <w:autoSpaceDN/>
              <w:adjustRightInd/>
              <w:jc w:val="center"/>
              <w:textAlignment w:val="auto"/>
              <w:rPr>
                <w:b/>
                <w:bCs/>
                <w:sz w:val="34"/>
                <w:szCs w:val="34"/>
              </w:rPr>
            </w:pPr>
            <w:r w:rsidRPr="00381AC3">
              <w:rPr>
                <w:b/>
                <w:bCs/>
                <w:sz w:val="34"/>
                <w:szCs w:val="34"/>
              </w:rPr>
              <w:t>OF THE</w:t>
            </w:r>
          </w:p>
          <w:p w14:paraId="3C599D4A" w14:textId="5D342BB6" w:rsidR="007244B9" w:rsidRPr="00381AC3" w:rsidRDefault="00492674" w:rsidP="0051181E">
            <w:pPr>
              <w:tabs>
                <w:tab w:val="left" w:pos="851"/>
              </w:tabs>
              <w:spacing w:after="240" w:line="240" w:lineRule="atLeast"/>
              <w:jc w:val="center"/>
              <w:rPr>
                <w:b/>
              </w:rPr>
            </w:pPr>
            <w:r w:rsidRPr="00381AC3">
              <w:rPr>
                <w:b/>
                <w:bCs/>
                <w:sz w:val="34"/>
                <w:szCs w:val="34"/>
              </w:rPr>
              <w:t>FIFTH</w:t>
            </w:r>
            <w:r w:rsidR="007244B9" w:rsidRPr="00381AC3">
              <w:rPr>
                <w:b/>
                <w:bCs/>
                <w:sz w:val="34"/>
                <w:szCs w:val="34"/>
              </w:rPr>
              <w:t xml:space="preserve"> PLENARY MEETING</w:t>
            </w:r>
          </w:p>
        </w:tc>
      </w:tr>
      <w:tr w:rsidR="007244B9" w:rsidRPr="00381AC3" w14:paraId="66DF5894" w14:textId="77777777" w:rsidTr="003243AE">
        <w:trPr>
          <w:cantSplit/>
          <w:trHeight w:val="23"/>
        </w:trPr>
        <w:tc>
          <w:tcPr>
            <w:tcW w:w="9214" w:type="dxa"/>
            <w:gridSpan w:val="2"/>
          </w:tcPr>
          <w:p w14:paraId="75F88B8B" w14:textId="519F2D80" w:rsidR="007244B9" w:rsidRPr="00381AC3" w:rsidRDefault="00492674" w:rsidP="007244B9">
            <w:pPr>
              <w:tabs>
                <w:tab w:val="clear" w:pos="567"/>
                <w:tab w:val="clear" w:pos="1134"/>
                <w:tab w:val="clear" w:pos="1701"/>
                <w:tab w:val="clear" w:pos="2268"/>
                <w:tab w:val="clear" w:pos="2835"/>
              </w:tabs>
              <w:overflowPunct/>
              <w:autoSpaceDE/>
              <w:autoSpaceDN/>
              <w:adjustRightInd/>
              <w:spacing w:after="240"/>
              <w:jc w:val="center"/>
              <w:textAlignment w:val="auto"/>
            </w:pPr>
            <w:r w:rsidRPr="00381AC3">
              <w:rPr>
                <w:rFonts w:cs="Calibri"/>
                <w:szCs w:val="24"/>
                <w:lang w:eastAsia="en-GB"/>
              </w:rPr>
              <w:t>Wednesday, 25 June 2025, from 0930 to 1240 hours</w:t>
            </w:r>
          </w:p>
          <w:p w14:paraId="7C47BB0A" w14:textId="2C5779F4" w:rsidR="007244B9" w:rsidRPr="00381AC3" w:rsidRDefault="007244B9" w:rsidP="007244B9">
            <w:pPr>
              <w:tabs>
                <w:tab w:val="left" w:pos="851"/>
              </w:tabs>
              <w:spacing w:after="240" w:line="240" w:lineRule="atLeast"/>
              <w:jc w:val="center"/>
              <w:rPr>
                <w:bCs/>
              </w:rPr>
            </w:pPr>
            <w:r w:rsidRPr="00381AC3">
              <w:rPr>
                <w:b/>
                <w:bCs/>
              </w:rPr>
              <w:t>Chair</w:t>
            </w:r>
            <w:r w:rsidRPr="00381AC3">
              <w:t xml:space="preserve">: </w:t>
            </w:r>
            <w:r w:rsidR="000C76A9" w:rsidRPr="00381AC3">
              <w:rPr>
                <w:rFonts w:cs="Calibri"/>
                <w:szCs w:val="24"/>
                <w:lang w:eastAsia="en-GB"/>
              </w:rPr>
              <w:t>Ms C. Flutur (Romania)</w:t>
            </w:r>
          </w:p>
        </w:tc>
      </w:tr>
    </w:tbl>
    <w:tbl>
      <w:tblPr>
        <w:tblpPr w:leftFromText="181" w:rightFromText="181" w:vertAnchor="text" w:horzAnchor="page" w:tblpX="1821" w:tblpY="1"/>
        <w:tblOverlap w:val="never"/>
        <w:tblW w:w="9214" w:type="dxa"/>
        <w:tblLayout w:type="fixed"/>
        <w:tblLook w:val="04A0" w:firstRow="1" w:lastRow="0" w:firstColumn="1" w:lastColumn="0" w:noHBand="0" w:noVBand="1"/>
      </w:tblPr>
      <w:tblGrid>
        <w:gridCol w:w="446"/>
        <w:gridCol w:w="6597"/>
        <w:gridCol w:w="2171"/>
      </w:tblGrid>
      <w:tr w:rsidR="007244B9" w:rsidRPr="00381AC3" w14:paraId="14B76029" w14:textId="77777777" w:rsidTr="7FF38753">
        <w:tc>
          <w:tcPr>
            <w:tcW w:w="242" w:type="pct"/>
          </w:tcPr>
          <w:p w14:paraId="7F154504" w14:textId="77777777" w:rsidR="007244B9" w:rsidRPr="00381AC3" w:rsidRDefault="007244B9" w:rsidP="007244B9">
            <w:pPr>
              <w:spacing w:before="480"/>
              <w:rPr>
                <w:b/>
                <w:bCs/>
                <w:szCs w:val="24"/>
              </w:rPr>
            </w:pPr>
            <w:bookmarkStart w:id="8" w:name="_Hlk141438382"/>
            <w:bookmarkStart w:id="9" w:name="_Hlk133421428"/>
            <w:bookmarkEnd w:id="2"/>
            <w:bookmarkEnd w:id="7"/>
            <w:r w:rsidRPr="00381AC3">
              <w:rPr>
                <w:b/>
                <w:bCs/>
                <w:szCs w:val="24"/>
              </w:rPr>
              <w:br w:type="page"/>
            </w:r>
            <w:r w:rsidRPr="00381AC3">
              <w:rPr>
                <w:b/>
                <w:bCs/>
                <w:szCs w:val="24"/>
              </w:rPr>
              <w:br w:type="page"/>
            </w:r>
          </w:p>
        </w:tc>
        <w:tc>
          <w:tcPr>
            <w:tcW w:w="3580" w:type="pct"/>
            <w:hideMark/>
          </w:tcPr>
          <w:p w14:paraId="6E059BF8" w14:textId="77777777" w:rsidR="007244B9" w:rsidRPr="00381AC3" w:rsidRDefault="007244B9" w:rsidP="007244B9">
            <w:pPr>
              <w:spacing w:before="480" w:after="120"/>
              <w:rPr>
                <w:b/>
                <w:bCs/>
                <w:szCs w:val="24"/>
              </w:rPr>
            </w:pPr>
            <w:r w:rsidRPr="00381AC3">
              <w:rPr>
                <w:b/>
                <w:bCs/>
                <w:szCs w:val="24"/>
              </w:rPr>
              <w:t>Subjects discussed</w:t>
            </w:r>
          </w:p>
        </w:tc>
        <w:tc>
          <w:tcPr>
            <w:tcW w:w="1178" w:type="pct"/>
            <w:hideMark/>
          </w:tcPr>
          <w:p w14:paraId="683D5A20" w14:textId="35ED7D84" w:rsidR="007244B9" w:rsidRPr="00381AC3" w:rsidRDefault="007244B9" w:rsidP="005B766E">
            <w:pPr>
              <w:spacing w:before="480"/>
              <w:jc w:val="center"/>
              <w:rPr>
                <w:b/>
                <w:bCs/>
                <w:szCs w:val="24"/>
              </w:rPr>
            </w:pPr>
            <w:r w:rsidRPr="00381AC3">
              <w:rPr>
                <w:b/>
                <w:bCs/>
                <w:szCs w:val="24"/>
              </w:rPr>
              <w:t>Documents</w:t>
            </w:r>
          </w:p>
        </w:tc>
      </w:tr>
      <w:tr w:rsidR="009156F1" w:rsidRPr="00381AC3" w14:paraId="21752EA8" w14:textId="77777777" w:rsidTr="7FF38753">
        <w:trPr>
          <w:trHeight w:val="20"/>
        </w:trPr>
        <w:tc>
          <w:tcPr>
            <w:tcW w:w="242" w:type="pct"/>
            <w:hideMark/>
          </w:tcPr>
          <w:p w14:paraId="59F0B2E6" w14:textId="77777777" w:rsidR="009156F1" w:rsidRPr="00381AC3" w:rsidRDefault="009156F1" w:rsidP="00492674">
            <w:pPr>
              <w:spacing w:before="80" w:after="80"/>
              <w:rPr>
                <w:sz w:val="22"/>
                <w:szCs w:val="22"/>
              </w:rPr>
            </w:pPr>
            <w:r w:rsidRPr="00381AC3">
              <w:rPr>
                <w:sz w:val="22"/>
                <w:szCs w:val="22"/>
              </w:rPr>
              <w:t>1</w:t>
            </w:r>
          </w:p>
        </w:tc>
        <w:tc>
          <w:tcPr>
            <w:tcW w:w="3580" w:type="pct"/>
          </w:tcPr>
          <w:p w14:paraId="020C0FA1" w14:textId="45F9970C" w:rsidR="009156F1" w:rsidRPr="00381AC3" w:rsidRDefault="00492674" w:rsidP="00492674">
            <w:pPr>
              <w:spacing w:before="80" w:after="80"/>
              <w:rPr>
                <w:rFonts w:asciiTheme="minorHAnsi" w:hAnsiTheme="minorHAnsi" w:cstheme="minorHAnsi"/>
                <w:szCs w:val="24"/>
              </w:rPr>
            </w:pPr>
            <w:r w:rsidRPr="00381AC3">
              <w:rPr>
                <w:rFonts w:asciiTheme="minorHAnsi" w:hAnsiTheme="minorHAnsi" w:cstheme="minorHAnsi"/>
                <w:szCs w:val="24"/>
                <w:lang w:eastAsia="en-GB"/>
              </w:rPr>
              <w:t xml:space="preserve">Report of the Chair of </w:t>
            </w:r>
            <w:r w:rsidR="001E746B" w:rsidRPr="00381AC3">
              <w:rPr>
                <w:rFonts w:asciiTheme="minorHAnsi" w:hAnsiTheme="minorHAnsi" w:cstheme="minorHAnsi"/>
                <w:szCs w:val="24"/>
                <w:lang w:eastAsia="en-GB"/>
              </w:rPr>
              <w:t xml:space="preserve">the </w:t>
            </w:r>
            <w:r w:rsidRPr="00381AC3">
              <w:rPr>
                <w:rFonts w:asciiTheme="minorHAnsi" w:hAnsiTheme="minorHAnsi" w:cstheme="minorHAnsi"/>
                <w:szCs w:val="24"/>
                <w:lang w:eastAsia="en-GB"/>
              </w:rPr>
              <w:t>Council Working Group on child online protection</w:t>
            </w:r>
          </w:p>
        </w:tc>
        <w:bookmarkStart w:id="10" w:name="_Hlk201756613"/>
        <w:tc>
          <w:tcPr>
            <w:tcW w:w="1178" w:type="pct"/>
          </w:tcPr>
          <w:p w14:paraId="23C04073" w14:textId="416413DC" w:rsidR="009156F1" w:rsidRPr="00381AC3" w:rsidRDefault="00A02405" w:rsidP="00492674">
            <w:pPr>
              <w:spacing w:before="80" w:after="80"/>
              <w:jc w:val="center"/>
              <w:rPr>
                <w:rFonts w:asciiTheme="minorHAnsi" w:hAnsiTheme="minorHAnsi" w:cstheme="minorHAnsi"/>
                <w:szCs w:val="24"/>
              </w:rPr>
            </w:pPr>
            <w:r w:rsidRPr="00381AC3">
              <w:rPr>
                <w:rFonts w:asciiTheme="minorHAnsi" w:hAnsiTheme="minorHAnsi" w:cstheme="minorHAnsi"/>
                <w:szCs w:val="24"/>
                <w:lang w:eastAsia="en-GB"/>
              </w:rPr>
              <w:fldChar w:fldCharType="begin"/>
            </w:r>
            <w:r w:rsidRPr="00381AC3">
              <w:rPr>
                <w:rFonts w:asciiTheme="minorHAnsi" w:hAnsiTheme="minorHAnsi" w:cstheme="minorHAnsi"/>
                <w:szCs w:val="24"/>
                <w:lang w:eastAsia="en-GB"/>
              </w:rPr>
              <w:instrText>HYPERLINK "https://www.itu.int/md/S25-CL-C-0015/en"</w:instrText>
            </w:r>
            <w:r w:rsidRPr="00381AC3">
              <w:rPr>
                <w:rFonts w:asciiTheme="minorHAnsi" w:hAnsiTheme="minorHAnsi" w:cstheme="minorHAnsi"/>
                <w:szCs w:val="24"/>
                <w:lang w:eastAsia="en-GB"/>
              </w:rPr>
            </w:r>
            <w:r w:rsidRPr="00381AC3">
              <w:rPr>
                <w:rFonts w:asciiTheme="minorHAnsi" w:hAnsiTheme="minorHAnsi" w:cstheme="minorHAnsi"/>
                <w:szCs w:val="24"/>
                <w:lang w:eastAsia="en-GB"/>
              </w:rPr>
              <w:fldChar w:fldCharType="separate"/>
            </w:r>
            <w:r w:rsidR="00492674" w:rsidRPr="00381AC3">
              <w:rPr>
                <w:rStyle w:val="Hyperlink"/>
                <w:rFonts w:asciiTheme="minorHAnsi" w:hAnsiTheme="minorHAnsi" w:cstheme="minorHAnsi"/>
                <w:szCs w:val="24"/>
                <w:lang w:eastAsia="en-GB"/>
              </w:rPr>
              <w:t>C25/15</w:t>
            </w:r>
            <w:bookmarkEnd w:id="10"/>
            <w:r w:rsidRPr="00381AC3">
              <w:rPr>
                <w:rFonts w:asciiTheme="minorHAnsi" w:hAnsiTheme="minorHAnsi" w:cstheme="minorHAnsi"/>
                <w:szCs w:val="24"/>
                <w:lang w:eastAsia="en-GB"/>
              </w:rPr>
              <w:fldChar w:fldCharType="end"/>
            </w:r>
          </w:p>
        </w:tc>
      </w:tr>
      <w:tr w:rsidR="009156F1" w:rsidRPr="00381AC3" w14:paraId="6EA0EA1D" w14:textId="77777777" w:rsidTr="7FF38753">
        <w:trPr>
          <w:trHeight w:val="20"/>
        </w:trPr>
        <w:tc>
          <w:tcPr>
            <w:tcW w:w="242" w:type="pct"/>
          </w:tcPr>
          <w:p w14:paraId="771A6319" w14:textId="0113AA58" w:rsidR="009156F1" w:rsidRPr="00381AC3" w:rsidRDefault="009156F1" w:rsidP="00492674">
            <w:pPr>
              <w:spacing w:before="80" w:after="80"/>
              <w:rPr>
                <w:sz w:val="22"/>
                <w:szCs w:val="22"/>
              </w:rPr>
            </w:pPr>
            <w:r w:rsidRPr="00381AC3">
              <w:rPr>
                <w:sz w:val="22"/>
                <w:szCs w:val="22"/>
              </w:rPr>
              <w:t>2</w:t>
            </w:r>
          </w:p>
        </w:tc>
        <w:tc>
          <w:tcPr>
            <w:tcW w:w="3580" w:type="pct"/>
          </w:tcPr>
          <w:p w14:paraId="4A58AA98" w14:textId="159FC86A" w:rsidR="009156F1" w:rsidRPr="004233E4" w:rsidRDefault="00492674" w:rsidP="004233E4">
            <w:pPr>
              <w:tabs>
                <w:tab w:val="clear" w:pos="567"/>
                <w:tab w:val="clear" w:pos="1134"/>
                <w:tab w:val="clear" w:pos="1701"/>
                <w:tab w:val="clear" w:pos="2268"/>
                <w:tab w:val="clear" w:pos="2835"/>
              </w:tabs>
              <w:overflowPunct/>
              <w:autoSpaceDE/>
              <w:autoSpaceDN/>
              <w:adjustRightInd/>
              <w:spacing w:before="80" w:after="80"/>
              <w:rPr>
                <w:rFonts w:asciiTheme="minorHAnsi" w:hAnsiTheme="minorHAnsi" w:cstheme="minorHAnsi"/>
                <w:szCs w:val="24"/>
                <w:lang w:eastAsia="en-GB"/>
              </w:rPr>
            </w:pPr>
            <w:bookmarkStart w:id="11" w:name="_Hlk201766753"/>
            <w:r w:rsidRPr="00381AC3">
              <w:rPr>
                <w:rFonts w:asciiTheme="minorHAnsi" w:hAnsiTheme="minorHAnsi" w:cstheme="minorHAnsi"/>
                <w:szCs w:val="24"/>
                <w:lang w:eastAsia="en-GB"/>
              </w:rPr>
              <w:t>Report on Resolution 214 (Bucharest, 2022)</w:t>
            </w:r>
            <w:r w:rsidR="00266A2B" w:rsidRPr="00381AC3">
              <w:rPr>
                <w:rFonts w:asciiTheme="minorHAnsi" w:hAnsiTheme="minorHAnsi" w:cstheme="minorHAnsi"/>
                <w:szCs w:val="24"/>
                <w:lang w:eastAsia="en-GB"/>
              </w:rPr>
              <w:t xml:space="preserve"> of the Plenipotentiary Conference,</w:t>
            </w:r>
            <w:r w:rsidRPr="00381AC3">
              <w:rPr>
                <w:rFonts w:asciiTheme="minorHAnsi" w:hAnsiTheme="minorHAnsi" w:cstheme="minorHAnsi"/>
                <w:szCs w:val="24"/>
                <w:lang w:eastAsia="en-GB"/>
              </w:rPr>
              <w:t xml:space="preserve"> </w:t>
            </w:r>
            <w:r w:rsidR="00266A2B" w:rsidRPr="00381AC3">
              <w:rPr>
                <w:rFonts w:asciiTheme="minorHAnsi" w:hAnsiTheme="minorHAnsi" w:cstheme="minorHAnsi"/>
                <w:szCs w:val="24"/>
                <w:lang w:eastAsia="en-GB"/>
              </w:rPr>
              <w:t>on</w:t>
            </w:r>
            <w:r w:rsidRPr="00381AC3">
              <w:rPr>
                <w:rFonts w:asciiTheme="minorHAnsi" w:hAnsiTheme="minorHAnsi" w:cstheme="minorHAnsi"/>
                <w:szCs w:val="24"/>
                <w:lang w:eastAsia="en-GB"/>
              </w:rPr>
              <w:t xml:space="preserve"> </w:t>
            </w:r>
            <w:r w:rsidR="00405B2E" w:rsidRPr="00381AC3">
              <w:rPr>
                <w:rFonts w:asciiTheme="minorHAnsi" w:hAnsiTheme="minorHAnsi" w:cstheme="minorHAnsi"/>
                <w:szCs w:val="24"/>
                <w:lang w:eastAsia="en-GB"/>
              </w:rPr>
              <w:t>AI</w:t>
            </w:r>
            <w:r w:rsidRPr="00381AC3">
              <w:rPr>
                <w:rFonts w:asciiTheme="minorHAnsi" w:hAnsiTheme="minorHAnsi" w:cstheme="minorHAnsi"/>
                <w:szCs w:val="24"/>
                <w:lang w:eastAsia="en-GB"/>
              </w:rPr>
              <w:t xml:space="preserve"> technologies and telecommunications/</w:t>
            </w:r>
            <w:r w:rsidR="00405B2E" w:rsidRPr="00381AC3">
              <w:rPr>
                <w:rFonts w:asciiTheme="minorHAnsi" w:hAnsiTheme="minorHAnsi" w:cstheme="minorHAnsi"/>
                <w:szCs w:val="24"/>
                <w:lang w:eastAsia="en-GB"/>
              </w:rPr>
              <w:t>ICTs</w:t>
            </w:r>
            <w:r w:rsidRPr="00381AC3">
              <w:rPr>
                <w:rFonts w:asciiTheme="minorHAnsi" w:hAnsiTheme="minorHAnsi" w:cstheme="minorHAnsi"/>
                <w:szCs w:val="24"/>
                <w:lang w:eastAsia="en-GB"/>
              </w:rPr>
              <w:t xml:space="preserve"> </w:t>
            </w:r>
            <w:bookmarkEnd w:id="11"/>
          </w:p>
        </w:tc>
        <w:tc>
          <w:tcPr>
            <w:tcW w:w="1178" w:type="pct"/>
          </w:tcPr>
          <w:p w14:paraId="46957471" w14:textId="3A5AE45B" w:rsidR="009156F1" w:rsidRPr="00381AC3" w:rsidRDefault="00492674" w:rsidP="008D3D96">
            <w:pPr>
              <w:tabs>
                <w:tab w:val="clear" w:pos="567"/>
                <w:tab w:val="clear" w:pos="1134"/>
                <w:tab w:val="clear" w:pos="1701"/>
                <w:tab w:val="clear" w:pos="2268"/>
                <w:tab w:val="clear" w:pos="2835"/>
              </w:tabs>
              <w:overflowPunct/>
              <w:autoSpaceDE/>
              <w:autoSpaceDN/>
              <w:adjustRightInd/>
              <w:spacing w:before="80" w:after="80"/>
              <w:jc w:val="center"/>
              <w:rPr>
                <w:rFonts w:asciiTheme="minorHAnsi" w:hAnsiTheme="minorHAnsi" w:cstheme="minorHAnsi"/>
                <w:szCs w:val="24"/>
                <w:lang w:eastAsia="en-GB"/>
              </w:rPr>
            </w:pPr>
            <w:hyperlink r:id="rId11" w:history="1">
              <w:r w:rsidRPr="00381AC3">
                <w:rPr>
                  <w:rStyle w:val="Hyperlink"/>
                  <w:rFonts w:asciiTheme="minorHAnsi" w:hAnsiTheme="minorHAnsi" w:cstheme="minorHAnsi"/>
                  <w:szCs w:val="24"/>
                  <w:lang w:eastAsia="en-GB"/>
                </w:rPr>
                <w:t>C25/56</w:t>
              </w:r>
            </w:hyperlink>
            <w:r w:rsidR="004233E4" w:rsidRPr="004233E4">
              <w:rPr>
                <w:lang w:eastAsia="en-GB"/>
              </w:rPr>
              <w:t>,</w:t>
            </w:r>
            <w:r w:rsidR="004233E4">
              <w:rPr>
                <w:lang w:eastAsia="en-GB"/>
              </w:rPr>
              <w:t xml:space="preserve"> </w:t>
            </w:r>
            <w:hyperlink r:id="rId12" w:history="1">
              <w:r w:rsidR="004233E4" w:rsidRPr="005D4B15">
                <w:rPr>
                  <w:rStyle w:val="Hyperlink"/>
                  <w:lang w:eastAsia="en-GB"/>
                </w:rPr>
                <w:t>C25/96</w:t>
              </w:r>
            </w:hyperlink>
          </w:p>
        </w:tc>
      </w:tr>
      <w:tr w:rsidR="009156F1" w:rsidRPr="00381AC3" w14:paraId="3C347C19" w14:textId="77777777" w:rsidTr="7FF38753">
        <w:trPr>
          <w:trHeight w:val="20"/>
        </w:trPr>
        <w:tc>
          <w:tcPr>
            <w:tcW w:w="242" w:type="pct"/>
          </w:tcPr>
          <w:p w14:paraId="40F71A4C" w14:textId="6A7AA66B" w:rsidR="009156F1" w:rsidRPr="00381AC3" w:rsidRDefault="009156F1" w:rsidP="00492674">
            <w:pPr>
              <w:spacing w:before="80" w:after="80"/>
              <w:rPr>
                <w:sz w:val="22"/>
                <w:szCs w:val="22"/>
              </w:rPr>
            </w:pPr>
            <w:r w:rsidRPr="00381AC3">
              <w:rPr>
                <w:sz w:val="22"/>
                <w:szCs w:val="22"/>
              </w:rPr>
              <w:t>3</w:t>
            </w:r>
          </w:p>
        </w:tc>
        <w:tc>
          <w:tcPr>
            <w:tcW w:w="3580" w:type="pct"/>
          </w:tcPr>
          <w:p w14:paraId="62B8BF42" w14:textId="1DFB53F5" w:rsidR="009156F1" w:rsidRPr="00381AC3" w:rsidRDefault="00492674" w:rsidP="00492674">
            <w:pPr>
              <w:spacing w:before="80" w:after="80"/>
              <w:rPr>
                <w:rFonts w:asciiTheme="minorHAnsi" w:hAnsiTheme="minorHAnsi" w:cstheme="minorHAnsi"/>
                <w:color w:val="2F2F2F"/>
                <w:szCs w:val="24"/>
                <w:shd w:val="clear" w:color="auto" w:fill="FFFFFF"/>
              </w:rPr>
            </w:pPr>
            <w:r w:rsidRPr="00381AC3">
              <w:rPr>
                <w:rFonts w:asciiTheme="minorHAnsi" w:hAnsiTheme="minorHAnsi" w:cstheme="minorHAnsi"/>
                <w:szCs w:val="24"/>
                <w:lang w:eastAsia="en-GB"/>
              </w:rPr>
              <w:t>World Telecommunication and Information Society Day</w:t>
            </w:r>
          </w:p>
        </w:tc>
        <w:tc>
          <w:tcPr>
            <w:tcW w:w="1178" w:type="pct"/>
          </w:tcPr>
          <w:p w14:paraId="648E2529" w14:textId="5B974545" w:rsidR="009156F1" w:rsidRPr="00381AC3" w:rsidRDefault="00492674" w:rsidP="00492674">
            <w:pPr>
              <w:spacing w:before="80" w:after="80"/>
              <w:jc w:val="center"/>
              <w:rPr>
                <w:rFonts w:asciiTheme="minorHAnsi" w:hAnsiTheme="minorHAnsi" w:cstheme="minorHAnsi"/>
                <w:szCs w:val="24"/>
              </w:rPr>
            </w:pPr>
            <w:hyperlink r:id="rId13" w:history="1">
              <w:r w:rsidRPr="00381AC3">
                <w:rPr>
                  <w:rStyle w:val="Hyperlink"/>
                  <w:rFonts w:asciiTheme="minorHAnsi" w:hAnsiTheme="minorHAnsi" w:cstheme="minorHAnsi"/>
                  <w:szCs w:val="24"/>
                  <w:lang w:eastAsia="en-GB"/>
                </w:rPr>
                <w:t>C25/17</w:t>
              </w:r>
            </w:hyperlink>
            <w:r w:rsidRPr="00381AC3">
              <w:rPr>
                <w:rFonts w:asciiTheme="minorHAnsi" w:hAnsiTheme="minorHAnsi" w:cstheme="minorHAnsi"/>
                <w:szCs w:val="24"/>
                <w:lang w:eastAsia="en-GB"/>
              </w:rPr>
              <w:t xml:space="preserve">, </w:t>
            </w:r>
            <w:hyperlink r:id="rId14" w:history="1">
              <w:r w:rsidRPr="00381AC3">
                <w:rPr>
                  <w:rStyle w:val="Hyperlink"/>
                  <w:rFonts w:asciiTheme="minorHAnsi" w:hAnsiTheme="minorHAnsi" w:cstheme="minorHAnsi"/>
                  <w:szCs w:val="24"/>
                  <w:lang w:eastAsia="en-GB"/>
                </w:rPr>
                <w:t>C25/76</w:t>
              </w:r>
            </w:hyperlink>
            <w:r w:rsidRPr="00381AC3">
              <w:rPr>
                <w:rFonts w:asciiTheme="minorHAnsi" w:hAnsiTheme="minorHAnsi" w:cstheme="minorHAnsi"/>
                <w:szCs w:val="24"/>
                <w:lang w:eastAsia="en-GB"/>
              </w:rPr>
              <w:t xml:space="preserve">, </w:t>
            </w:r>
            <w:hyperlink r:id="rId15" w:history="1">
              <w:r w:rsidRPr="00381AC3">
                <w:rPr>
                  <w:rStyle w:val="Hyperlink"/>
                  <w:rFonts w:asciiTheme="minorHAnsi" w:hAnsiTheme="minorHAnsi" w:cstheme="minorHAnsi"/>
                  <w:szCs w:val="24"/>
                  <w:lang w:eastAsia="en-GB"/>
                </w:rPr>
                <w:t>C25/89</w:t>
              </w:r>
            </w:hyperlink>
            <w:r w:rsidR="005033AB">
              <w:rPr>
                <w:rFonts w:asciiTheme="minorHAnsi" w:hAnsiTheme="minorHAnsi" w:cstheme="minorHAnsi"/>
                <w:szCs w:val="24"/>
                <w:lang w:eastAsia="en-GB"/>
              </w:rPr>
              <w:t>,</w:t>
            </w:r>
            <w:r w:rsidRPr="00381AC3">
              <w:rPr>
                <w:rFonts w:asciiTheme="minorHAnsi" w:hAnsiTheme="minorHAnsi" w:cstheme="minorHAnsi"/>
                <w:szCs w:val="24"/>
                <w:lang w:eastAsia="en-GB"/>
              </w:rPr>
              <w:t xml:space="preserve"> </w:t>
            </w:r>
            <w:hyperlink r:id="rId16" w:history="1">
              <w:r w:rsidRPr="00381AC3">
                <w:rPr>
                  <w:rStyle w:val="Hyperlink"/>
                  <w:rFonts w:asciiTheme="minorHAnsi" w:hAnsiTheme="minorHAnsi" w:cstheme="minorHAnsi"/>
                  <w:szCs w:val="24"/>
                  <w:lang w:eastAsia="en-GB"/>
                </w:rPr>
                <w:t>C25/100</w:t>
              </w:r>
            </w:hyperlink>
          </w:p>
        </w:tc>
      </w:tr>
      <w:tr w:rsidR="009156F1" w:rsidRPr="00381AC3" w14:paraId="32447FA9" w14:textId="77777777" w:rsidTr="7FF38753">
        <w:trPr>
          <w:trHeight w:val="20"/>
        </w:trPr>
        <w:tc>
          <w:tcPr>
            <w:tcW w:w="242" w:type="pct"/>
          </w:tcPr>
          <w:p w14:paraId="6EF8B845" w14:textId="51DD8AF8" w:rsidR="009156F1" w:rsidRPr="00381AC3" w:rsidRDefault="009156F1" w:rsidP="00492674">
            <w:pPr>
              <w:spacing w:before="80" w:after="80"/>
              <w:rPr>
                <w:sz w:val="22"/>
                <w:szCs w:val="22"/>
              </w:rPr>
            </w:pPr>
            <w:r w:rsidRPr="00381AC3">
              <w:rPr>
                <w:sz w:val="22"/>
                <w:szCs w:val="22"/>
              </w:rPr>
              <w:t>4</w:t>
            </w:r>
          </w:p>
        </w:tc>
        <w:tc>
          <w:tcPr>
            <w:tcW w:w="3580" w:type="pct"/>
          </w:tcPr>
          <w:p w14:paraId="56C21617" w14:textId="5D2ADC3E" w:rsidR="009156F1" w:rsidRPr="00381AC3" w:rsidRDefault="00492674" w:rsidP="00492674">
            <w:pPr>
              <w:spacing w:before="80" w:after="80"/>
              <w:rPr>
                <w:rFonts w:asciiTheme="minorHAnsi" w:hAnsiTheme="minorHAnsi" w:cstheme="minorHAnsi"/>
                <w:szCs w:val="24"/>
              </w:rPr>
            </w:pPr>
            <w:r w:rsidRPr="00381AC3">
              <w:rPr>
                <w:rFonts w:asciiTheme="minorHAnsi" w:hAnsiTheme="minorHAnsi" w:cstheme="minorHAnsi"/>
                <w:szCs w:val="24"/>
                <w:lang w:eastAsia="en-GB"/>
              </w:rPr>
              <w:t>Strategy for the coordination of efforts among the three Sectors of the Union</w:t>
            </w:r>
            <w:r w:rsidR="004A0A27" w:rsidRPr="00381AC3">
              <w:rPr>
                <w:rFonts w:asciiTheme="minorHAnsi" w:hAnsiTheme="minorHAnsi" w:cstheme="minorHAnsi"/>
                <w:szCs w:val="24"/>
                <w:lang w:eastAsia="en-GB"/>
              </w:rPr>
              <w:t xml:space="preserve"> </w:t>
            </w:r>
          </w:p>
        </w:tc>
        <w:tc>
          <w:tcPr>
            <w:tcW w:w="1178" w:type="pct"/>
          </w:tcPr>
          <w:p w14:paraId="6ED66744" w14:textId="5AFCF2AE" w:rsidR="009156F1" w:rsidRPr="00381AC3" w:rsidRDefault="00A02405" w:rsidP="00492674">
            <w:pPr>
              <w:spacing w:before="80" w:after="80"/>
              <w:jc w:val="center"/>
              <w:rPr>
                <w:rFonts w:asciiTheme="minorHAnsi" w:hAnsiTheme="minorHAnsi" w:cstheme="minorHAnsi"/>
                <w:szCs w:val="24"/>
              </w:rPr>
            </w:pPr>
            <w:hyperlink r:id="rId17" w:history="1">
              <w:r w:rsidRPr="00381AC3">
                <w:rPr>
                  <w:rStyle w:val="Hyperlink"/>
                </w:rPr>
                <w:t>C25/27</w:t>
              </w:r>
            </w:hyperlink>
          </w:p>
        </w:tc>
      </w:tr>
      <w:tr w:rsidR="000C76A9" w:rsidRPr="00381AC3" w14:paraId="7C3EDDF6" w14:textId="77777777" w:rsidTr="7FF38753">
        <w:trPr>
          <w:trHeight w:val="20"/>
        </w:trPr>
        <w:tc>
          <w:tcPr>
            <w:tcW w:w="242" w:type="pct"/>
          </w:tcPr>
          <w:p w14:paraId="3C4B7AA3" w14:textId="303885AB" w:rsidR="000C76A9" w:rsidRPr="00381AC3" w:rsidRDefault="000C76A9" w:rsidP="00492674">
            <w:pPr>
              <w:spacing w:before="80" w:after="80"/>
              <w:rPr>
                <w:sz w:val="22"/>
                <w:szCs w:val="22"/>
              </w:rPr>
            </w:pPr>
            <w:r w:rsidRPr="00381AC3">
              <w:rPr>
                <w:sz w:val="22"/>
                <w:szCs w:val="22"/>
              </w:rPr>
              <w:t>5</w:t>
            </w:r>
          </w:p>
        </w:tc>
        <w:tc>
          <w:tcPr>
            <w:tcW w:w="3580" w:type="pct"/>
          </w:tcPr>
          <w:p w14:paraId="36ACA1E5" w14:textId="64D4E42E" w:rsidR="000C76A9" w:rsidRPr="00381AC3" w:rsidRDefault="00492674" w:rsidP="00492674">
            <w:pPr>
              <w:spacing w:before="80" w:after="80"/>
              <w:rPr>
                <w:rFonts w:asciiTheme="minorHAnsi" w:hAnsiTheme="minorHAnsi" w:cstheme="minorHAnsi"/>
                <w:szCs w:val="24"/>
                <w:lang w:eastAsia="en-GB"/>
              </w:rPr>
            </w:pPr>
            <w:r w:rsidRPr="00381AC3">
              <w:rPr>
                <w:rFonts w:asciiTheme="minorHAnsi" w:hAnsiTheme="minorHAnsi" w:cstheme="minorHAnsi"/>
                <w:szCs w:val="24"/>
                <w:lang w:eastAsia="en-GB"/>
              </w:rPr>
              <w:t xml:space="preserve">Report by the Chair of the Council Working Group on </w:t>
            </w:r>
            <w:r w:rsidR="00973DF7" w:rsidRPr="00381AC3">
              <w:rPr>
                <w:rFonts w:asciiTheme="minorHAnsi" w:hAnsiTheme="minorHAnsi" w:cstheme="minorHAnsi"/>
                <w:szCs w:val="24"/>
                <w:lang w:eastAsia="en-GB"/>
              </w:rPr>
              <w:t>the use of the six official languages of the Union</w:t>
            </w:r>
            <w:r w:rsidR="00973DF7" w:rsidRPr="00381AC3" w:rsidDel="00973DF7">
              <w:rPr>
                <w:rFonts w:asciiTheme="minorHAnsi" w:hAnsiTheme="minorHAnsi" w:cstheme="minorHAnsi"/>
                <w:szCs w:val="24"/>
                <w:lang w:eastAsia="en-GB"/>
              </w:rPr>
              <w:t xml:space="preserve"> </w:t>
            </w:r>
          </w:p>
        </w:tc>
        <w:tc>
          <w:tcPr>
            <w:tcW w:w="1178" w:type="pct"/>
          </w:tcPr>
          <w:p w14:paraId="17CBB080" w14:textId="729A26D6" w:rsidR="000C76A9" w:rsidRPr="00381AC3" w:rsidRDefault="00A02405" w:rsidP="00492674">
            <w:pPr>
              <w:spacing w:before="80" w:after="80"/>
              <w:jc w:val="center"/>
              <w:rPr>
                <w:rFonts w:asciiTheme="minorHAnsi" w:hAnsiTheme="minorHAnsi" w:cstheme="minorHAnsi"/>
                <w:szCs w:val="24"/>
              </w:rPr>
            </w:pPr>
            <w:hyperlink r:id="rId18" w:history="1">
              <w:r w:rsidRPr="00381AC3">
                <w:rPr>
                  <w:rStyle w:val="Hyperlink"/>
                </w:rPr>
                <w:t>C25/12</w:t>
              </w:r>
            </w:hyperlink>
            <w:r w:rsidR="005033AB" w:rsidRPr="005033AB">
              <w:rPr>
                <w:bCs/>
              </w:rPr>
              <w:t>,</w:t>
            </w:r>
            <w:r w:rsidRPr="00381AC3">
              <w:rPr>
                <w:b/>
              </w:rPr>
              <w:t xml:space="preserve"> </w:t>
            </w:r>
            <w:hyperlink r:id="rId19" w:history="1">
              <w:r w:rsidRPr="00381AC3">
                <w:rPr>
                  <w:rStyle w:val="Hyperlink"/>
                </w:rPr>
                <w:t>C25/78</w:t>
              </w:r>
            </w:hyperlink>
          </w:p>
        </w:tc>
      </w:tr>
      <w:tr w:rsidR="000C76A9" w:rsidRPr="00381AC3" w14:paraId="176C324B" w14:textId="77777777" w:rsidTr="7FF38753">
        <w:trPr>
          <w:trHeight w:val="20"/>
        </w:trPr>
        <w:tc>
          <w:tcPr>
            <w:tcW w:w="242" w:type="pct"/>
          </w:tcPr>
          <w:p w14:paraId="4BF8DD05" w14:textId="2CD2164D" w:rsidR="000C76A9" w:rsidRPr="00381AC3" w:rsidRDefault="000C76A9" w:rsidP="00492674">
            <w:pPr>
              <w:spacing w:before="80" w:after="80"/>
              <w:rPr>
                <w:sz w:val="22"/>
                <w:szCs w:val="22"/>
              </w:rPr>
            </w:pPr>
            <w:r w:rsidRPr="00381AC3">
              <w:rPr>
                <w:sz w:val="22"/>
                <w:szCs w:val="22"/>
              </w:rPr>
              <w:t>6</w:t>
            </w:r>
          </w:p>
        </w:tc>
        <w:tc>
          <w:tcPr>
            <w:tcW w:w="3580" w:type="pct"/>
          </w:tcPr>
          <w:p w14:paraId="2543F371" w14:textId="192F59EE" w:rsidR="000C76A9" w:rsidRPr="00381AC3" w:rsidRDefault="00492674" w:rsidP="00492674">
            <w:pPr>
              <w:spacing w:before="80" w:after="80"/>
              <w:rPr>
                <w:rFonts w:asciiTheme="minorHAnsi" w:hAnsiTheme="minorHAnsi" w:cstheme="minorHAnsi"/>
                <w:szCs w:val="24"/>
                <w:lang w:eastAsia="en-GB"/>
              </w:rPr>
            </w:pPr>
            <w:r w:rsidRPr="00381AC3">
              <w:rPr>
                <w:rFonts w:asciiTheme="minorHAnsi" w:hAnsiTheme="minorHAnsi" w:cstheme="minorHAnsi"/>
                <w:szCs w:val="24"/>
                <w:lang w:eastAsia="en-GB"/>
              </w:rPr>
              <w:t>ITU</w:t>
            </w:r>
            <w:r w:rsidR="00A652FC" w:rsidRPr="00381AC3">
              <w:rPr>
                <w:rFonts w:asciiTheme="minorHAnsi" w:hAnsiTheme="minorHAnsi" w:cstheme="minorHAnsi"/>
                <w:szCs w:val="24"/>
                <w:lang w:eastAsia="en-GB"/>
              </w:rPr>
              <w:t>'</w:t>
            </w:r>
            <w:r w:rsidRPr="00381AC3">
              <w:rPr>
                <w:rFonts w:asciiTheme="minorHAnsi" w:hAnsiTheme="minorHAnsi" w:cstheme="minorHAnsi"/>
                <w:szCs w:val="24"/>
                <w:lang w:eastAsia="en-GB"/>
              </w:rPr>
              <w:t xml:space="preserve">s role in the implementation of the </w:t>
            </w:r>
            <w:r w:rsidR="006052CC" w:rsidRPr="00381AC3">
              <w:rPr>
                <w:rFonts w:asciiTheme="minorHAnsi" w:hAnsiTheme="minorHAnsi" w:cstheme="minorHAnsi"/>
                <w:szCs w:val="24"/>
                <w:lang w:eastAsia="en-GB"/>
              </w:rPr>
              <w:t>"</w:t>
            </w:r>
            <w:r w:rsidRPr="00381AC3">
              <w:rPr>
                <w:rFonts w:asciiTheme="minorHAnsi" w:hAnsiTheme="minorHAnsi" w:cstheme="minorHAnsi"/>
                <w:szCs w:val="24"/>
                <w:lang w:eastAsia="en-GB"/>
              </w:rPr>
              <w:t>Space2030</w:t>
            </w:r>
            <w:r w:rsidR="006052CC" w:rsidRPr="00381AC3">
              <w:rPr>
                <w:rFonts w:asciiTheme="minorHAnsi" w:hAnsiTheme="minorHAnsi" w:cstheme="minorHAnsi"/>
                <w:szCs w:val="24"/>
                <w:lang w:eastAsia="en-GB"/>
              </w:rPr>
              <w:t>"</w:t>
            </w:r>
            <w:r w:rsidRPr="00381AC3">
              <w:rPr>
                <w:rFonts w:asciiTheme="minorHAnsi" w:hAnsiTheme="minorHAnsi" w:cstheme="minorHAnsi"/>
                <w:szCs w:val="24"/>
                <w:lang w:eastAsia="en-GB"/>
              </w:rPr>
              <w:t xml:space="preserve"> agenda: space as a driver of sustainable development, and its follow-up and review process</w:t>
            </w:r>
          </w:p>
        </w:tc>
        <w:tc>
          <w:tcPr>
            <w:tcW w:w="1178" w:type="pct"/>
          </w:tcPr>
          <w:p w14:paraId="3ADEFBBC" w14:textId="7BFBDFE7" w:rsidR="000C76A9" w:rsidRPr="00381AC3" w:rsidRDefault="00492674" w:rsidP="00492674">
            <w:pPr>
              <w:spacing w:before="80" w:after="80"/>
              <w:jc w:val="center"/>
              <w:rPr>
                <w:rFonts w:asciiTheme="minorHAnsi" w:hAnsiTheme="minorHAnsi" w:cstheme="minorHAnsi"/>
                <w:szCs w:val="24"/>
              </w:rPr>
            </w:pPr>
            <w:hyperlink r:id="rId20" w:history="1">
              <w:r w:rsidRPr="00381AC3">
                <w:rPr>
                  <w:rStyle w:val="Hyperlink"/>
                  <w:rFonts w:asciiTheme="minorHAnsi" w:hAnsiTheme="minorHAnsi" w:cstheme="minorHAnsi"/>
                  <w:szCs w:val="24"/>
                  <w:lang w:eastAsia="en-GB"/>
                </w:rPr>
                <w:t>C25/36</w:t>
              </w:r>
            </w:hyperlink>
          </w:p>
        </w:tc>
      </w:tr>
      <w:bookmarkEnd w:id="8"/>
    </w:tbl>
    <w:p w14:paraId="360BA973" w14:textId="77777777" w:rsidR="00F66005" w:rsidRPr="00381AC3" w:rsidRDefault="00F66005" w:rsidP="007244B9">
      <w:pP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1D7ED322" w14:textId="24EF0B46" w:rsidR="000C76A9" w:rsidRPr="00381AC3" w:rsidRDefault="0090147A" w:rsidP="000C76A9">
      <w:pPr>
        <w:tabs>
          <w:tab w:val="clear" w:pos="567"/>
          <w:tab w:val="clear" w:pos="1134"/>
          <w:tab w:val="clear" w:pos="1701"/>
          <w:tab w:val="clear" w:pos="2268"/>
          <w:tab w:val="clear" w:pos="2835"/>
        </w:tabs>
        <w:overflowPunct/>
        <w:autoSpaceDE/>
        <w:autoSpaceDN/>
        <w:adjustRightInd/>
        <w:spacing w:before="0"/>
        <w:textAlignment w:val="auto"/>
        <w:rPr>
          <w:rFonts w:eastAsia="Calibri" w:cs="Calibri"/>
          <w:kern w:val="2"/>
          <w:sz w:val="22"/>
          <w:szCs w:val="24"/>
          <w14:ligatures w14:val="standardContextual"/>
        </w:rPr>
      </w:pPr>
      <w:r w:rsidRPr="00381AC3">
        <w:br w:type="page"/>
      </w:r>
      <w:bookmarkEnd w:id="5"/>
      <w:bookmarkEnd w:id="9"/>
    </w:p>
    <w:p w14:paraId="5C1301B2" w14:textId="37CEEEA1" w:rsidR="00492674" w:rsidRPr="00381AC3" w:rsidRDefault="00492674" w:rsidP="00492674">
      <w:pPr>
        <w:pStyle w:val="Heading1"/>
      </w:pPr>
      <w:r w:rsidRPr="00381AC3">
        <w:rPr>
          <w:rStyle w:val="normaltextrun"/>
          <w:rFonts w:cs="Calibri"/>
          <w:bCs/>
          <w:color w:val="000000"/>
          <w:szCs w:val="28"/>
          <w:shd w:val="clear" w:color="auto" w:fill="FFFFFF"/>
        </w:rPr>
        <w:lastRenderedPageBreak/>
        <w:t>1</w:t>
      </w:r>
      <w:r w:rsidRPr="00381AC3">
        <w:rPr>
          <w:rStyle w:val="normaltextrun"/>
          <w:rFonts w:cs="Calibri"/>
          <w:bCs/>
          <w:color w:val="000000"/>
          <w:szCs w:val="28"/>
          <w:shd w:val="clear" w:color="auto" w:fill="FFFFFF"/>
        </w:rPr>
        <w:tab/>
        <w:t xml:space="preserve">Report of the Chair of </w:t>
      </w:r>
      <w:r w:rsidR="001E746B" w:rsidRPr="00381AC3">
        <w:rPr>
          <w:rStyle w:val="normaltextrun"/>
          <w:rFonts w:cs="Calibri"/>
          <w:bCs/>
          <w:color w:val="000000"/>
          <w:szCs w:val="28"/>
          <w:shd w:val="clear" w:color="auto" w:fill="FFFFFF"/>
        </w:rPr>
        <w:t xml:space="preserve">the </w:t>
      </w:r>
      <w:r w:rsidRPr="00381AC3">
        <w:rPr>
          <w:rStyle w:val="normaltextrun"/>
          <w:rFonts w:cs="Calibri"/>
          <w:bCs/>
          <w:color w:val="000000"/>
          <w:szCs w:val="28"/>
          <w:shd w:val="clear" w:color="auto" w:fill="FFFFFF"/>
        </w:rPr>
        <w:t xml:space="preserve">Council Working Group on child online protection (Document </w:t>
      </w:r>
      <w:hyperlink r:id="rId21" w:history="1">
        <w:r w:rsidR="00A02405" w:rsidRPr="00381AC3">
          <w:rPr>
            <w:rStyle w:val="Hyperlink"/>
            <w:rFonts w:asciiTheme="minorHAnsi" w:hAnsiTheme="minorHAnsi" w:cstheme="minorHAnsi"/>
            <w:szCs w:val="24"/>
            <w:lang w:eastAsia="en-GB"/>
          </w:rPr>
          <w:t>C25/15</w:t>
        </w:r>
      </w:hyperlink>
      <w:r w:rsidRPr="00381AC3">
        <w:rPr>
          <w:rStyle w:val="normaltextrun"/>
          <w:rFonts w:cs="Calibri"/>
          <w:bCs/>
          <w:color w:val="000000"/>
          <w:szCs w:val="28"/>
          <w:shd w:val="clear" w:color="auto" w:fill="FFFFFF"/>
        </w:rPr>
        <w:t>)</w:t>
      </w:r>
    </w:p>
    <w:p w14:paraId="6731073C" w14:textId="02B8C087" w:rsidR="00492674" w:rsidRPr="00D103E1" w:rsidRDefault="00492674" w:rsidP="00534A5F">
      <w:pPr>
        <w:jc w:val="both"/>
        <w:rPr>
          <w:spacing w:val="-2"/>
        </w:rPr>
      </w:pPr>
      <w:r w:rsidRPr="00D103E1">
        <w:rPr>
          <w:spacing w:val="-2"/>
        </w:rPr>
        <w:t>1.1</w:t>
      </w:r>
      <w:r w:rsidRPr="00D103E1">
        <w:rPr>
          <w:spacing w:val="-2"/>
        </w:rPr>
        <w:tab/>
        <w:t>The Chair of the Council Working Group on child online protection</w:t>
      </w:r>
      <w:r w:rsidR="001C2CF6" w:rsidRPr="00D103E1">
        <w:rPr>
          <w:spacing w:val="-2"/>
        </w:rPr>
        <w:t xml:space="preserve"> (CWG-COP)</w:t>
      </w:r>
      <w:r w:rsidRPr="00D103E1">
        <w:rPr>
          <w:spacing w:val="-2"/>
        </w:rPr>
        <w:t xml:space="preserve"> introduced </w:t>
      </w:r>
      <w:r w:rsidR="00083ED7" w:rsidRPr="00D103E1">
        <w:rPr>
          <w:spacing w:val="-2"/>
        </w:rPr>
        <w:t xml:space="preserve">the report contained in </w:t>
      </w:r>
      <w:r w:rsidR="006052CC" w:rsidRPr="00D103E1">
        <w:rPr>
          <w:spacing w:val="-2"/>
        </w:rPr>
        <w:t xml:space="preserve">Document </w:t>
      </w:r>
      <w:r w:rsidRPr="00D103E1">
        <w:rPr>
          <w:spacing w:val="-2"/>
        </w:rPr>
        <w:t>C25/15</w:t>
      </w:r>
      <w:r w:rsidR="00DC61C2" w:rsidRPr="00D103E1">
        <w:rPr>
          <w:spacing w:val="-2"/>
        </w:rPr>
        <w:t>,</w:t>
      </w:r>
      <w:r w:rsidR="00083ED7" w:rsidRPr="00D103E1">
        <w:rPr>
          <w:spacing w:val="-2"/>
        </w:rPr>
        <w:t xml:space="preserve"> on</w:t>
      </w:r>
      <w:r w:rsidRPr="00D103E1">
        <w:rPr>
          <w:spacing w:val="-2"/>
        </w:rPr>
        <w:t xml:space="preserve"> the main results of the</w:t>
      </w:r>
      <w:r w:rsidR="001C2CF6" w:rsidRPr="00D103E1">
        <w:rPr>
          <w:spacing w:val="-2"/>
        </w:rPr>
        <w:t xml:space="preserve"> group</w:t>
      </w:r>
      <w:r w:rsidR="00A652FC" w:rsidRPr="00D103E1">
        <w:rPr>
          <w:spacing w:val="-2"/>
        </w:rPr>
        <w:t>'</w:t>
      </w:r>
      <w:r w:rsidR="001C2CF6" w:rsidRPr="00D103E1">
        <w:rPr>
          <w:spacing w:val="-2"/>
        </w:rPr>
        <w:t>s</w:t>
      </w:r>
      <w:r w:rsidRPr="00D103E1">
        <w:rPr>
          <w:spacing w:val="-2"/>
        </w:rPr>
        <w:t xml:space="preserve"> </w:t>
      </w:r>
      <w:r w:rsidR="001C2CF6" w:rsidRPr="00D103E1">
        <w:rPr>
          <w:spacing w:val="-2"/>
        </w:rPr>
        <w:t>21</w:t>
      </w:r>
      <w:r w:rsidR="001C2CF6" w:rsidRPr="00D103E1">
        <w:rPr>
          <w:spacing w:val="-2"/>
          <w:vertAlign w:val="superscript"/>
        </w:rPr>
        <w:t>st</w:t>
      </w:r>
      <w:r w:rsidRPr="00D103E1">
        <w:rPr>
          <w:spacing w:val="-2"/>
        </w:rPr>
        <w:t xml:space="preserve"> and </w:t>
      </w:r>
      <w:r w:rsidR="001C2CF6" w:rsidRPr="00D103E1">
        <w:rPr>
          <w:spacing w:val="-2"/>
        </w:rPr>
        <w:t>22</w:t>
      </w:r>
      <w:r w:rsidR="001C2CF6" w:rsidRPr="00D103E1">
        <w:rPr>
          <w:spacing w:val="-2"/>
          <w:vertAlign w:val="superscript"/>
        </w:rPr>
        <w:t>nd</w:t>
      </w:r>
      <w:r w:rsidRPr="00D103E1">
        <w:rPr>
          <w:spacing w:val="-2"/>
        </w:rPr>
        <w:t xml:space="preserve"> meetings</w:t>
      </w:r>
      <w:r w:rsidR="001C2CF6" w:rsidRPr="00D103E1">
        <w:rPr>
          <w:spacing w:val="-2"/>
        </w:rPr>
        <w:t>, at which</w:t>
      </w:r>
      <w:r w:rsidRPr="00D103E1">
        <w:rPr>
          <w:spacing w:val="-2"/>
        </w:rPr>
        <w:t xml:space="preserve"> </w:t>
      </w:r>
      <w:r w:rsidR="001C2CF6" w:rsidRPr="00D103E1">
        <w:rPr>
          <w:spacing w:val="-2"/>
        </w:rPr>
        <w:t>many</w:t>
      </w:r>
      <w:r w:rsidRPr="00D103E1">
        <w:rPr>
          <w:spacing w:val="-2"/>
        </w:rPr>
        <w:t xml:space="preserve"> contributions from </w:t>
      </w:r>
      <w:r w:rsidR="001C2CF6" w:rsidRPr="00D103E1">
        <w:rPr>
          <w:spacing w:val="-2"/>
        </w:rPr>
        <w:t>partners and members on the challenges of and solutions for child online protection</w:t>
      </w:r>
      <w:r w:rsidR="00490364" w:rsidRPr="00D103E1">
        <w:rPr>
          <w:spacing w:val="-2"/>
        </w:rPr>
        <w:t xml:space="preserve"> had been considered</w:t>
      </w:r>
      <w:r w:rsidR="001C2CF6" w:rsidRPr="00D103E1">
        <w:rPr>
          <w:spacing w:val="-2"/>
        </w:rPr>
        <w:t xml:space="preserve">. He noted that </w:t>
      </w:r>
      <w:r w:rsidR="00DC61C2" w:rsidRPr="00D103E1">
        <w:rPr>
          <w:spacing w:val="-2"/>
        </w:rPr>
        <w:t>the Telecommunication Development Bureau (</w:t>
      </w:r>
      <w:r w:rsidR="001C2CF6" w:rsidRPr="00D103E1">
        <w:rPr>
          <w:spacing w:val="-2"/>
        </w:rPr>
        <w:t>BDT</w:t>
      </w:r>
      <w:r w:rsidR="00DC61C2" w:rsidRPr="00D103E1">
        <w:rPr>
          <w:spacing w:val="-2"/>
        </w:rPr>
        <w:t>)</w:t>
      </w:r>
      <w:r w:rsidR="001C2CF6" w:rsidRPr="00D103E1">
        <w:rPr>
          <w:spacing w:val="-2"/>
        </w:rPr>
        <w:t xml:space="preserve"> had recently </w:t>
      </w:r>
      <w:r w:rsidR="00967550" w:rsidRPr="00D103E1">
        <w:rPr>
          <w:spacing w:val="-2"/>
        </w:rPr>
        <w:t>launched the ITU Industry Connect series, which facilitated</w:t>
      </w:r>
      <w:r w:rsidR="001C2CF6" w:rsidRPr="00D103E1">
        <w:rPr>
          <w:spacing w:val="-2"/>
        </w:rPr>
        <w:t xml:space="preserve"> online dialogue with</w:t>
      </w:r>
      <w:r w:rsidR="00967550" w:rsidRPr="00D103E1">
        <w:rPr>
          <w:spacing w:val="-2"/>
        </w:rPr>
        <w:t xml:space="preserve"> and among</w:t>
      </w:r>
      <w:r w:rsidR="001C2CF6" w:rsidRPr="00D103E1">
        <w:rPr>
          <w:spacing w:val="-2"/>
        </w:rPr>
        <w:t xml:space="preserve"> industry stakeholders on the matter</w:t>
      </w:r>
      <w:r w:rsidRPr="00D103E1">
        <w:rPr>
          <w:spacing w:val="-2"/>
        </w:rPr>
        <w:t xml:space="preserve">. </w:t>
      </w:r>
    </w:p>
    <w:p w14:paraId="5EEF645C" w14:textId="0EF73A47" w:rsidR="00492674" w:rsidRPr="00381AC3" w:rsidRDefault="00492674" w:rsidP="00534A5F">
      <w:pPr>
        <w:jc w:val="both"/>
        <w:rPr>
          <w:szCs w:val="24"/>
        </w:rPr>
      </w:pPr>
      <w:r w:rsidRPr="00381AC3">
        <w:rPr>
          <w:szCs w:val="24"/>
        </w:rPr>
        <w:t>1.2</w:t>
      </w:r>
      <w:r w:rsidRPr="00381AC3">
        <w:rPr>
          <w:szCs w:val="24"/>
        </w:rPr>
        <w:tab/>
        <w:t xml:space="preserve">Councillors and observers commended the work of </w:t>
      </w:r>
      <w:r w:rsidR="00172467" w:rsidRPr="00381AC3">
        <w:rPr>
          <w:szCs w:val="24"/>
        </w:rPr>
        <w:t>CWG-COP</w:t>
      </w:r>
      <w:r w:rsidR="00E34D4C" w:rsidRPr="00381AC3">
        <w:rPr>
          <w:szCs w:val="24"/>
        </w:rPr>
        <w:t xml:space="preserve"> as a platform to share best practices and progress</w:t>
      </w:r>
      <w:r w:rsidRPr="00381AC3">
        <w:rPr>
          <w:szCs w:val="24"/>
        </w:rPr>
        <w:t xml:space="preserve"> to</w:t>
      </w:r>
      <w:r w:rsidR="00172467" w:rsidRPr="00381AC3">
        <w:rPr>
          <w:szCs w:val="24"/>
        </w:rPr>
        <w:t>wards</w:t>
      </w:r>
      <w:r w:rsidRPr="00381AC3">
        <w:rPr>
          <w:szCs w:val="24"/>
        </w:rPr>
        <w:t xml:space="preserve"> ensuring children</w:t>
      </w:r>
      <w:r w:rsidR="00A652FC" w:rsidRPr="00381AC3">
        <w:rPr>
          <w:szCs w:val="24"/>
        </w:rPr>
        <w:t>'</w:t>
      </w:r>
      <w:r w:rsidRPr="00381AC3">
        <w:rPr>
          <w:szCs w:val="24"/>
        </w:rPr>
        <w:t xml:space="preserve">s safety in an evolving digital landscape. The Internet should be a positive, safe space for </w:t>
      </w:r>
      <w:r w:rsidR="00172467" w:rsidRPr="00381AC3">
        <w:rPr>
          <w:szCs w:val="24"/>
        </w:rPr>
        <w:t>children, who were among the most vulnerable users</w:t>
      </w:r>
      <w:r w:rsidRPr="00381AC3">
        <w:rPr>
          <w:szCs w:val="24"/>
        </w:rPr>
        <w:t>. The</w:t>
      </w:r>
      <w:r w:rsidR="005A08FC" w:rsidRPr="00381AC3">
        <w:rPr>
          <w:szCs w:val="24"/>
        </w:rPr>
        <w:t xml:space="preserve"> group</w:t>
      </w:r>
      <w:r w:rsidR="00A652FC" w:rsidRPr="00381AC3">
        <w:rPr>
          <w:szCs w:val="24"/>
        </w:rPr>
        <w:t>'</w:t>
      </w:r>
      <w:r w:rsidR="005A08FC" w:rsidRPr="00381AC3">
        <w:rPr>
          <w:szCs w:val="24"/>
        </w:rPr>
        <w:t>s commitment to multistakeholder engagement, including young people themselves, and enhanced coordination with study groups was important. Indeed, one councillor suggested that other Council working groups would benefit from being open to all stakeholders</w:t>
      </w:r>
      <w:r w:rsidR="00986D0B" w:rsidRPr="00381AC3">
        <w:rPr>
          <w:szCs w:val="24"/>
        </w:rPr>
        <w:t>, like CWG-COP</w:t>
      </w:r>
      <w:r w:rsidRPr="00381AC3">
        <w:rPr>
          <w:szCs w:val="24"/>
        </w:rPr>
        <w:t>.</w:t>
      </w:r>
      <w:r w:rsidR="005A08FC" w:rsidRPr="00381AC3">
        <w:rPr>
          <w:szCs w:val="24"/>
        </w:rPr>
        <w:t xml:space="preserve"> Several councillors noted the valuable contribut</w:t>
      </w:r>
      <w:r w:rsidR="00490364" w:rsidRPr="00381AC3">
        <w:rPr>
          <w:szCs w:val="24"/>
        </w:rPr>
        <w:t>ion</w:t>
      </w:r>
      <w:r w:rsidR="005A08FC" w:rsidRPr="00381AC3">
        <w:rPr>
          <w:szCs w:val="24"/>
        </w:rPr>
        <w:t xml:space="preserve"> that ITU-T Study Group 17 could make on the topic</w:t>
      </w:r>
      <w:r w:rsidR="00F779CD" w:rsidRPr="00381AC3">
        <w:rPr>
          <w:szCs w:val="24"/>
        </w:rPr>
        <w:t xml:space="preserve">, while others noted the value of the ITU Industry Connect in exchanging best practices and increasing access to </w:t>
      </w:r>
      <w:r w:rsidR="00E34D4C" w:rsidRPr="00381AC3">
        <w:rPr>
          <w:szCs w:val="24"/>
        </w:rPr>
        <w:t>useful tools and cooperation.</w:t>
      </w:r>
      <w:r w:rsidR="00D660F3" w:rsidRPr="00381AC3">
        <w:rPr>
          <w:szCs w:val="24"/>
        </w:rPr>
        <w:t xml:space="preserve"> One observer stressed the important role of industry in protecting children online.</w:t>
      </w:r>
    </w:p>
    <w:p w14:paraId="4A8BD957" w14:textId="19A22266" w:rsidR="00492674" w:rsidRPr="00381AC3" w:rsidRDefault="00492674" w:rsidP="00534A5F">
      <w:pPr>
        <w:jc w:val="both"/>
        <w:rPr>
          <w:szCs w:val="24"/>
        </w:rPr>
      </w:pPr>
      <w:r w:rsidRPr="00381AC3">
        <w:rPr>
          <w:szCs w:val="24"/>
        </w:rPr>
        <w:t>1.</w:t>
      </w:r>
      <w:r w:rsidR="00E34D4C" w:rsidRPr="00381AC3">
        <w:rPr>
          <w:szCs w:val="24"/>
        </w:rPr>
        <w:t>3</w:t>
      </w:r>
      <w:r w:rsidRPr="00381AC3">
        <w:rPr>
          <w:szCs w:val="24"/>
        </w:rPr>
        <w:tab/>
        <w:t xml:space="preserve">Councillors cited examples of efforts at national and regional levels on child online </w:t>
      </w:r>
      <w:r w:rsidR="00986D0B" w:rsidRPr="00381AC3">
        <w:rPr>
          <w:szCs w:val="24"/>
        </w:rPr>
        <w:t>protection</w:t>
      </w:r>
      <w:r w:rsidRPr="00381AC3">
        <w:rPr>
          <w:szCs w:val="24"/>
        </w:rPr>
        <w:t xml:space="preserve">, including with support from the </w:t>
      </w:r>
      <w:r w:rsidR="00E34D4C" w:rsidRPr="00381AC3">
        <w:rPr>
          <w:szCs w:val="24"/>
        </w:rPr>
        <w:t>s</w:t>
      </w:r>
      <w:r w:rsidRPr="00381AC3">
        <w:rPr>
          <w:szCs w:val="24"/>
        </w:rPr>
        <w:t>ecretariat; several councillors</w:t>
      </w:r>
      <w:r w:rsidR="00E34D4C" w:rsidRPr="00381AC3">
        <w:rPr>
          <w:szCs w:val="24"/>
        </w:rPr>
        <w:t>, however,</w:t>
      </w:r>
      <w:r w:rsidRPr="00381AC3">
        <w:rPr>
          <w:szCs w:val="24"/>
        </w:rPr>
        <w:t xml:space="preserve"> </w:t>
      </w:r>
      <w:r w:rsidR="00E34D4C" w:rsidRPr="00381AC3">
        <w:rPr>
          <w:szCs w:val="24"/>
        </w:rPr>
        <w:t>called for more assistance to developing countries, which suffered from limited capacity, lack of effective policies or harmonized national strategies and bureaucratic delays</w:t>
      </w:r>
      <w:r w:rsidR="00D6001B" w:rsidRPr="00381AC3">
        <w:rPr>
          <w:szCs w:val="24"/>
        </w:rPr>
        <w:t>,</w:t>
      </w:r>
      <w:r w:rsidR="00E34D4C" w:rsidRPr="00381AC3">
        <w:rPr>
          <w:szCs w:val="24"/>
        </w:rPr>
        <w:t xml:space="preserve"> and thus struggled to keep pace with evolving threats.</w:t>
      </w:r>
      <w:r w:rsidR="00D660F3" w:rsidRPr="00381AC3">
        <w:rPr>
          <w:szCs w:val="24"/>
        </w:rPr>
        <w:t xml:space="preserve"> </w:t>
      </w:r>
    </w:p>
    <w:p w14:paraId="0A7BCEBD" w14:textId="3323DF35" w:rsidR="00492674" w:rsidRPr="00381AC3" w:rsidRDefault="00492674" w:rsidP="00534A5F">
      <w:pPr>
        <w:jc w:val="both"/>
        <w:rPr>
          <w:szCs w:val="24"/>
        </w:rPr>
      </w:pPr>
      <w:r w:rsidRPr="00381AC3">
        <w:rPr>
          <w:szCs w:val="24"/>
        </w:rPr>
        <w:t>1.</w:t>
      </w:r>
      <w:r w:rsidR="0022360C" w:rsidRPr="00381AC3">
        <w:rPr>
          <w:szCs w:val="24"/>
        </w:rPr>
        <w:t>4</w:t>
      </w:r>
      <w:r w:rsidRPr="00381AC3">
        <w:rPr>
          <w:szCs w:val="24"/>
        </w:rPr>
        <w:tab/>
        <w:t xml:space="preserve">One councillor stressed </w:t>
      </w:r>
      <w:r w:rsidR="00D660F3" w:rsidRPr="00381AC3">
        <w:rPr>
          <w:szCs w:val="24"/>
        </w:rPr>
        <w:t>the need for</w:t>
      </w:r>
      <w:r w:rsidRPr="00381AC3">
        <w:rPr>
          <w:szCs w:val="24"/>
        </w:rPr>
        <w:t xml:space="preserve"> effective policies and measures, including in areas such as consumer protection and education</w:t>
      </w:r>
      <w:r w:rsidR="00D660F3" w:rsidRPr="00381AC3">
        <w:rPr>
          <w:szCs w:val="24"/>
        </w:rPr>
        <w:t xml:space="preserve">, while an observer called for measures to ensure that emerging technologies such as </w:t>
      </w:r>
      <w:r w:rsidR="00986D0B" w:rsidRPr="00381AC3">
        <w:rPr>
          <w:szCs w:val="24"/>
        </w:rPr>
        <w:t>artificial intelligence (</w:t>
      </w:r>
      <w:r w:rsidR="00D660F3" w:rsidRPr="00381AC3">
        <w:rPr>
          <w:szCs w:val="24"/>
        </w:rPr>
        <w:t>AI</w:t>
      </w:r>
      <w:r w:rsidR="00986D0B" w:rsidRPr="00381AC3">
        <w:rPr>
          <w:szCs w:val="24"/>
        </w:rPr>
        <w:t>)</w:t>
      </w:r>
      <w:r w:rsidR="00D660F3" w:rsidRPr="00381AC3">
        <w:rPr>
          <w:szCs w:val="24"/>
        </w:rPr>
        <w:t xml:space="preserve"> could be used safely and for the benefit of children</w:t>
      </w:r>
      <w:r w:rsidRPr="00381AC3">
        <w:rPr>
          <w:szCs w:val="24"/>
        </w:rPr>
        <w:t xml:space="preserve">. </w:t>
      </w:r>
    </w:p>
    <w:p w14:paraId="4AB6E474" w14:textId="6F00A8EB" w:rsidR="00492674" w:rsidRPr="00D103E1" w:rsidRDefault="00492674" w:rsidP="00534A5F">
      <w:pPr>
        <w:jc w:val="both"/>
        <w:rPr>
          <w:spacing w:val="-3"/>
          <w:szCs w:val="24"/>
        </w:rPr>
      </w:pPr>
      <w:r w:rsidRPr="00D103E1">
        <w:rPr>
          <w:spacing w:val="-3"/>
          <w:szCs w:val="24"/>
        </w:rPr>
        <w:t>1.</w:t>
      </w:r>
      <w:r w:rsidR="0022360C" w:rsidRPr="00D103E1">
        <w:rPr>
          <w:spacing w:val="-3"/>
          <w:szCs w:val="24"/>
        </w:rPr>
        <w:t>5</w:t>
      </w:r>
      <w:r w:rsidRPr="00D103E1">
        <w:rPr>
          <w:spacing w:val="-3"/>
          <w:szCs w:val="24"/>
        </w:rPr>
        <w:tab/>
        <w:t xml:space="preserve">The Director of BDT </w:t>
      </w:r>
      <w:r w:rsidR="00D660F3" w:rsidRPr="00D103E1">
        <w:rPr>
          <w:spacing w:val="-3"/>
          <w:szCs w:val="24"/>
        </w:rPr>
        <w:t>said that CWG-COP made an important contribution to child online protection</w:t>
      </w:r>
      <w:r w:rsidR="0022360C" w:rsidRPr="00D103E1">
        <w:rPr>
          <w:spacing w:val="-3"/>
          <w:szCs w:val="24"/>
        </w:rPr>
        <w:t>, thus rising engagement was welcome</w:t>
      </w:r>
      <w:r w:rsidRPr="00D103E1">
        <w:rPr>
          <w:spacing w:val="-3"/>
          <w:szCs w:val="24"/>
        </w:rPr>
        <w:t>. He encouraged Member States to translat</w:t>
      </w:r>
      <w:r w:rsidR="00D660F3" w:rsidRPr="00D103E1">
        <w:rPr>
          <w:spacing w:val="-3"/>
          <w:szCs w:val="24"/>
        </w:rPr>
        <w:t>e</w:t>
      </w:r>
      <w:r w:rsidRPr="00D103E1">
        <w:rPr>
          <w:spacing w:val="-3"/>
          <w:szCs w:val="24"/>
        </w:rPr>
        <w:t xml:space="preserve"> the ITU Guidelines on Child Online Protection</w:t>
      </w:r>
      <w:r w:rsidR="00D660F3" w:rsidRPr="00D103E1">
        <w:rPr>
          <w:spacing w:val="-3"/>
          <w:szCs w:val="24"/>
        </w:rPr>
        <w:t xml:space="preserve">, addressing children, parents and educators, industry and </w:t>
      </w:r>
      <w:r w:rsidR="00732F51" w:rsidRPr="00D103E1">
        <w:rPr>
          <w:spacing w:val="-3"/>
          <w:szCs w:val="24"/>
        </w:rPr>
        <w:t>policy-makers</w:t>
      </w:r>
      <w:r w:rsidR="00D660F3" w:rsidRPr="00D103E1">
        <w:rPr>
          <w:spacing w:val="-3"/>
          <w:szCs w:val="24"/>
        </w:rPr>
        <w:t>,</w:t>
      </w:r>
      <w:r w:rsidRPr="00D103E1">
        <w:rPr>
          <w:spacing w:val="-3"/>
          <w:szCs w:val="24"/>
        </w:rPr>
        <w:t xml:space="preserve"> into local languages</w:t>
      </w:r>
      <w:r w:rsidR="00D660F3" w:rsidRPr="00D103E1">
        <w:rPr>
          <w:spacing w:val="-3"/>
          <w:szCs w:val="24"/>
        </w:rPr>
        <w:t xml:space="preserve"> to ensure maximum impact</w:t>
      </w:r>
      <w:r w:rsidRPr="00D103E1">
        <w:rPr>
          <w:spacing w:val="-3"/>
          <w:szCs w:val="24"/>
        </w:rPr>
        <w:t xml:space="preserve">. </w:t>
      </w:r>
      <w:r w:rsidR="0022360C" w:rsidRPr="00D103E1">
        <w:rPr>
          <w:spacing w:val="-3"/>
          <w:szCs w:val="24"/>
        </w:rPr>
        <w:t>He noted</w:t>
      </w:r>
      <w:r w:rsidRPr="00D103E1">
        <w:rPr>
          <w:spacing w:val="-3"/>
          <w:szCs w:val="24"/>
        </w:rPr>
        <w:t xml:space="preserve"> that the </w:t>
      </w:r>
      <w:r w:rsidR="0022360C" w:rsidRPr="00D103E1">
        <w:rPr>
          <w:spacing w:val="-3"/>
          <w:szCs w:val="24"/>
        </w:rPr>
        <w:t xml:space="preserve">role of industry in child online protection would be discussed at the </w:t>
      </w:r>
      <w:r w:rsidR="00CC3B9A" w:rsidRPr="00D103E1">
        <w:rPr>
          <w:spacing w:val="-3"/>
          <w:szCs w:val="24"/>
        </w:rPr>
        <w:t xml:space="preserve">2025 </w:t>
      </w:r>
      <w:r w:rsidRPr="00D103E1">
        <w:rPr>
          <w:spacing w:val="-3"/>
          <w:szCs w:val="24"/>
        </w:rPr>
        <w:t>Global Symposium for Regulators</w:t>
      </w:r>
      <w:r w:rsidR="00CC3B9A" w:rsidRPr="00D103E1">
        <w:rPr>
          <w:spacing w:val="-3"/>
          <w:szCs w:val="24"/>
        </w:rPr>
        <w:t xml:space="preserve"> (GSR-25)</w:t>
      </w:r>
      <w:r w:rsidRPr="00D103E1">
        <w:rPr>
          <w:spacing w:val="-3"/>
          <w:szCs w:val="24"/>
        </w:rPr>
        <w:t xml:space="preserve"> </w:t>
      </w:r>
      <w:r w:rsidR="0022360C" w:rsidRPr="00D103E1">
        <w:rPr>
          <w:spacing w:val="-3"/>
          <w:szCs w:val="24"/>
        </w:rPr>
        <w:t xml:space="preserve">and </w:t>
      </w:r>
      <w:r w:rsidR="00DC3E53" w:rsidRPr="00D103E1">
        <w:rPr>
          <w:spacing w:val="-3"/>
          <w:szCs w:val="24"/>
        </w:rPr>
        <w:t xml:space="preserve">that child online protection in the context of AI and emerging technologies </w:t>
      </w:r>
      <w:r w:rsidR="0022360C" w:rsidRPr="00D103E1">
        <w:rPr>
          <w:spacing w:val="-3"/>
          <w:szCs w:val="24"/>
        </w:rPr>
        <w:t>was also discussed within t</w:t>
      </w:r>
      <w:r w:rsidRPr="00D103E1">
        <w:rPr>
          <w:spacing w:val="-3"/>
          <w:szCs w:val="24"/>
        </w:rPr>
        <w:t xml:space="preserve">he </w:t>
      </w:r>
      <w:r w:rsidR="00DC3E53" w:rsidRPr="00D103E1">
        <w:rPr>
          <w:spacing w:val="-3"/>
          <w:szCs w:val="24"/>
        </w:rPr>
        <w:t xml:space="preserve">UN </w:t>
      </w:r>
      <w:r w:rsidRPr="00D103E1">
        <w:rPr>
          <w:spacing w:val="-3"/>
          <w:szCs w:val="24"/>
        </w:rPr>
        <w:t xml:space="preserve">Committee on the Rights of the Child. </w:t>
      </w:r>
      <w:r w:rsidR="0022360C" w:rsidRPr="00D103E1">
        <w:rPr>
          <w:spacing w:val="-3"/>
          <w:szCs w:val="24"/>
        </w:rPr>
        <w:t xml:space="preserve">Engagement with </w:t>
      </w:r>
      <w:r w:rsidRPr="00D103E1">
        <w:rPr>
          <w:spacing w:val="-3"/>
          <w:szCs w:val="24"/>
        </w:rPr>
        <w:t>schools</w:t>
      </w:r>
      <w:r w:rsidR="0022360C" w:rsidRPr="00D103E1">
        <w:rPr>
          <w:spacing w:val="-3"/>
          <w:szCs w:val="24"/>
        </w:rPr>
        <w:t xml:space="preserve"> was also </w:t>
      </w:r>
      <w:r w:rsidRPr="00D103E1">
        <w:rPr>
          <w:spacing w:val="-3"/>
          <w:szCs w:val="24"/>
        </w:rPr>
        <w:t xml:space="preserve">important </w:t>
      </w:r>
      <w:r w:rsidR="0022360C" w:rsidRPr="00D103E1">
        <w:rPr>
          <w:spacing w:val="-3"/>
          <w:szCs w:val="24"/>
        </w:rPr>
        <w:t xml:space="preserve">as it allowed teachers </w:t>
      </w:r>
      <w:r w:rsidRPr="00D103E1">
        <w:rPr>
          <w:spacing w:val="-3"/>
          <w:szCs w:val="24"/>
        </w:rPr>
        <w:t xml:space="preserve">to </w:t>
      </w:r>
      <w:r w:rsidR="0022360C" w:rsidRPr="00D103E1">
        <w:rPr>
          <w:spacing w:val="-3"/>
          <w:szCs w:val="24"/>
        </w:rPr>
        <w:t>educate children at an earlier stage</w:t>
      </w:r>
      <w:r w:rsidRPr="00D103E1">
        <w:rPr>
          <w:spacing w:val="-3"/>
          <w:szCs w:val="24"/>
        </w:rPr>
        <w:t>.</w:t>
      </w:r>
    </w:p>
    <w:p w14:paraId="65670E08" w14:textId="0F6A6643" w:rsidR="00492674" w:rsidRPr="00381AC3" w:rsidRDefault="00492674" w:rsidP="00534A5F">
      <w:pPr>
        <w:jc w:val="both"/>
        <w:rPr>
          <w:szCs w:val="24"/>
        </w:rPr>
      </w:pPr>
      <w:r w:rsidRPr="00381AC3">
        <w:rPr>
          <w:szCs w:val="24"/>
        </w:rPr>
        <w:t>1.</w:t>
      </w:r>
      <w:r w:rsidR="0022360C" w:rsidRPr="00381AC3">
        <w:rPr>
          <w:szCs w:val="24"/>
        </w:rPr>
        <w:t>6</w:t>
      </w:r>
      <w:r w:rsidRPr="00381AC3">
        <w:rPr>
          <w:szCs w:val="24"/>
        </w:rPr>
        <w:tab/>
        <w:t xml:space="preserve">The Council </w:t>
      </w:r>
      <w:r w:rsidRPr="00381AC3">
        <w:rPr>
          <w:b/>
          <w:bCs/>
          <w:szCs w:val="24"/>
        </w:rPr>
        <w:t>noted</w:t>
      </w:r>
      <w:r w:rsidRPr="00381AC3">
        <w:rPr>
          <w:szCs w:val="24"/>
        </w:rPr>
        <w:t xml:space="preserve"> the report contained in Document C25/15. </w:t>
      </w:r>
    </w:p>
    <w:p w14:paraId="2AAAA6CB" w14:textId="440F9E56" w:rsidR="00492674" w:rsidRPr="00381AC3" w:rsidRDefault="00492674" w:rsidP="00534A5F">
      <w:pPr>
        <w:pStyle w:val="Heading1"/>
      </w:pPr>
      <w:r w:rsidRPr="00381AC3">
        <w:t>2</w:t>
      </w:r>
      <w:r w:rsidRPr="00381AC3">
        <w:tab/>
        <w:t>Report on Resolution 214 (Bucharest, 2022)</w:t>
      </w:r>
      <w:r w:rsidR="00B656B0" w:rsidRPr="00381AC3">
        <w:t xml:space="preserve"> of the Plenipotentiary Conference, on</w:t>
      </w:r>
      <w:r w:rsidRPr="00381AC3">
        <w:t xml:space="preserve"> </w:t>
      </w:r>
      <w:r w:rsidR="005C50FB" w:rsidRPr="00381AC3">
        <w:t>AI</w:t>
      </w:r>
      <w:r w:rsidRPr="00381AC3">
        <w:t xml:space="preserve"> technologies and telecommunications/</w:t>
      </w:r>
      <w:r w:rsidR="005C50FB" w:rsidRPr="00381AC3">
        <w:t>ICTs</w:t>
      </w:r>
      <w:r w:rsidRPr="00381AC3">
        <w:t xml:space="preserve"> (Document</w:t>
      </w:r>
      <w:r w:rsidR="008D3D96">
        <w:t>s</w:t>
      </w:r>
      <w:r w:rsidRPr="00381AC3">
        <w:t xml:space="preserve"> </w:t>
      </w:r>
      <w:hyperlink r:id="rId22" w:history="1">
        <w:r w:rsidR="00A02405" w:rsidRPr="00381AC3">
          <w:rPr>
            <w:rStyle w:val="Hyperlink"/>
            <w:rFonts w:asciiTheme="minorHAnsi" w:hAnsiTheme="minorHAnsi" w:cstheme="minorHAnsi"/>
            <w:szCs w:val="24"/>
            <w:lang w:eastAsia="en-GB"/>
          </w:rPr>
          <w:t>C25/56</w:t>
        </w:r>
      </w:hyperlink>
      <w:r w:rsidR="005033AB">
        <w:t xml:space="preserve">, </w:t>
      </w:r>
      <w:hyperlink r:id="rId23" w:history="1">
        <w:r w:rsidR="005033AB" w:rsidRPr="008D3D96">
          <w:rPr>
            <w:rStyle w:val="Hyperlink"/>
          </w:rPr>
          <w:t>C25/96</w:t>
        </w:r>
      </w:hyperlink>
      <w:r w:rsidR="005033AB">
        <w:t>)</w:t>
      </w:r>
    </w:p>
    <w:p w14:paraId="6FCD7E3A" w14:textId="7FCF117E" w:rsidR="00492674" w:rsidRPr="00381AC3" w:rsidRDefault="00492674" w:rsidP="00D103E1">
      <w:pPr>
        <w:jc w:val="both"/>
        <w:rPr>
          <w:szCs w:val="24"/>
        </w:rPr>
      </w:pPr>
      <w:r w:rsidRPr="00381AC3">
        <w:rPr>
          <w:szCs w:val="24"/>
        </w:rPr>
        <w:t>2.1</w:t>
      </w:r>
      <w:r w:rsidRPr="00381AC3">
        <w:rPr>
          <w:szCs w:val="24"/>
        </w:rPr>
        <w:tab/>
        <w:t xml:space="preserve">The Deputy </w:t>
      </w:r>
      <w:r w:rsidR="00863B1B" w:rsidRPr="00381AC3">
        <w:rPr>
          <w:szCs w:val="24"/>
        </w:rPr>
        <w:t xml:space="preserve">to the </w:t>
      </w:r>
      <w:r w:rsidRPr="00381AC3">
        <w:rPr>
          <w:szCs w:val="24"/>
        </w:rPr>
        <w:t xml:space="preserve">Director of </w:t>
      </w:r>
      <w:r w:rsidR="00986D0B" w:rsidRPr="00381AC3">
        <w:rPr>
          <w:szCs w:val="24"/>
        </w:rPr>
        <w:t>the Telecommunication Standardization Bureau (</w:t>
      </w:r>
      <w:r w:rsidRPr="00381AC3">
        <w:rPr>
          <w:szCs w:val="24"/>
        </w:rPr>
        <w:t>TSB</w:t>
      </w:r>
      <w:r w:rsidR="00986D0B" w:rsidRPr="00381AC3">
        <w:rPr>
          <w:szCs w:val="24"/>
        </w:rPr>
        <w:t>)</w:t>
      </w:r>
      <w:r w:rsidRPr="00381AC3">
        <w:rPr>
          <w:szCs w:val="24"/>
        </w:rPr>
        <w:t xml:space="preserve"> introduced Document C25/56, </w:t>
      </w:r>
      <w:r w:rsidR="00863B1B" w:rsidRPr="00381AC3">
        <w:rPr>
          <w:szCs w:val="24"/>
        </w:rPr>
        <w:t xml:space="preserve">reporting on </w:t>
      </w:r>
      <w:r w:rsidRPr="00381AC3">
        <w:rPr>
          <w:szCs w:val="24"/>
        </w:rPr>
        <w:t>ITU</w:t>
      </w:r>
      <w:r w:rsidR="00A652FC" w:rsidRPr="00381AC3">
        <w:rPr>
          <w:szCs w:val="24"/>
        </w:rPr>
        <w:t>'</w:t>
      </w:r>
      <w:r w:rsidRPr="00381AC3">
        <w:rPr>
          <w:szCs w:val="24"/>
        </w:rPr>
        <w:t>s AI</w:t>
      </w:r>
      <w:r w:rsidR="00863B1B" w:rsidRPr="00381AC3">
        <w:rPr>
          <w:szCs w:val="24"/>
        </w:rPr>
        <w:t xml:space="preserve">-related </w:t>
      </w:r>
      <w:r w:rsidRPr="00381AC3">
        <w:rPr>
          <w:szCs w:val="24"/>
        </w:rPr>
        <w:t>activities</w:t>
      </w:r>
      <w:r w:rsidR="00863B1B" w:rsidRPr="00381AC3">
        <w:rPr>
          <w:szCs w:val="24"/>
        </w:rPr>
        <w:t>, guided by Resolution</w:t>
      </w:r>
      <w:r w:rsidR="00D103E1">
        <w:rPr>
          <w:szCs w:val="24"/>
        </w:rPr>
        <w:t> </w:t>
      </w:r>
      <w:r w:rsidR="00863B1B" w:rsidRPr="00381AC3">
        <w:rPr>
          <w:szCs w:val="24"/>
        </w:rPr>
        <w:t>214 (Bucharest, 2022)</w:t>
      </w:r>
      <w:r w:rsidR="00986D0B" w:rsidRPr="00381AC3">
        <w:rPr>
          <w:szCs w:val="24"/>
        </w:rPr>
        <w:t xml:space="preserve"> of the Plenipotentiary Conference (PP)</w:t>
      </w:r>
      <w:r w:rsidR="00863B1B" w:rsidRPr="00381AC3">
        <w:rPr>
          <w:szCs w:val="24"/>
        </w:rPr>
        <w:t xml:space="preserve"> and U</w:t>
      </w:r>
      <w:r w:rsidR="00986D0B" w:rsidRPr="00381AC3">
        <w:rPr>
          <w:szCs w:val="24"/>
        </w:rPr>
        <w:t xml:space="preserve">nited </w:t>
      </w:r>
      <w:r w:rsidR="00863B1B" w:rsidRPr="00381AC3">
        <w:rPr>
          <w:szCs w:val="24"/>
        </w:rPr>
        <w:t>N</w:t>
      </w:r>
      <w:r w:rsidR="00986D0B" w:rsidRPr="00381AC3">
        <w:rPr>
          <w:szCs w:val="24"/>
        </w:rPr>
        <w:t xml:space="preserve">ations </w:t>
      </w:r>
      <w:r w:rsidR="00863B1B" w:rsidRPr="00381AC3">
        <w:rPr>
          <w:szCs w:val="24"/>
        </w:rPr>
        <w:lastRenderedPageBreak/>
        <w:t>G</w:t>
      </w:r>
      <w:r w:rsidR="00986D0B" w:rsidRPr="00381AC3">
        <w:rPr>
          <w:szCs w:val="24"/>
        </w:rPr>
        <w:t xml:space="preserve">eneral </w:t>
      </w:r>
      <w:r w:rsidR="00863B1B" w:rsidRPr="00381AC3">
        <w:rPr>
          <w:szCs w:val="24"/>
        </w:rPr>
        <w:t>A</w:t>
      </w:r>
      <w:r w:rsidR="00986D0B" w:rsidRPr="00381AC3">
        <w:rPr>
          <w:szCs w:val="24"/>
        </w:rPr>
        <w:t>ssembly</w:t>
      </w:r>
      <w:r w:rsidR="00863B1B" w:rsidRPr="00381AC3">
        <w:rPr>
          <w:szCs w:val="24"/>
        </w:rPr>
        <w:t xml:space="preserve"> Resolutions 78/265 and 78/311, across </w:t>
      </w:r>
      <w:r w:rsidRPr="00381AC3">
        <w:rPr>
          <w:szCs w:val="24"/>
        </w:rPr>
        <w:t>standards, skills</w:t>
      </w:r>
      <w:r w:rsidR="00863B1B" w:rsidRPr="00381AC3">
        <w:rPr>
          <w:szCs w:val="24"/>
        </w:rPr>
        <w:t xml:space="preserve"> development</w:t>
      </w:r>
      <w:r w:rsidRPr="00381AC3">
        <w:rPr>
          <w:szCs w:val="24"/>
        </w:rPr>
        <w:t>, governance and multistakeholder platform</w:t>
      </w:r>
      <w:r w:rsidR="00863B1B" w:rsidRPr="00381AC3">
        <w:rPr>
          <w:szCs w:val="24"/>
        </w:rPr>
        <w:t>s</w:t>
      </w:r>
      <w:r w:rsidRPr="00381AC3">
        <w:rPr>
          <w:szCs w:val="24"/>
        </w:rPr>
        <w:t xml:space="preserve">. </w:t>
      </w:r>
      <w:r w:rsidR="00863B1B" w:rsidRPr="00381AC3">
        <w:rPr>
          <w:szCs w:val="24"/>
        </w:rPr>
        <w:t>ITU engaged in multistakeholder collaboration, including with other United Nations entities. I</w:t>
      </w:r>
      <w:r w:rsidRPr="00381AC3">
        <w:rPr>
          <w:szCs w:val="24"/>
        </w:rPr>
        <w:t>nterest in ITU</w:t>
      </w:r>
      <w:r w:rsidR="00A652FC" w:rsidRPr="00381AC3">
        <w:rPr>
          <w:szCs w:val="24"/>
        </w:rPr>
        <w:t>'</w:t>
      </w:r>
      <w:r w:rsidR="00863B1B" w:rsidRPr="00381AC3">
        <w:rPr>
          <w:szCs w:val="24"/>
        </w:rPr>
        <w:t>s</w:t>
      </w:r>
      <w:r w:rsidRPr="00381AC3">
        <w:rPr>
          <w:szCs w:val="24"/>
        </w:rPr>
        <w:t xml:space="preserve"> activities </w:t>
      </w:r>
      <w:r w:rsidR="00863B1B" w:rsidRPr="00381AC3">
        <w:rPr>
          <w:szCs w:val="24"/>
        </w:rPr>
        <w:t>was growing</w:t>
      </w:r>
      <w:r w:rsidRPr="00381AC3">
        <w:rPr>
          <w:szCs w:val="24"/>
        </w:rPr>
        <w:t xml:space="preserve">, </w:t>
      </w:r>
      <w:r w:rsidR="00863B1B" w:rsidRPr="00381AC3">
        <w:rPr>
          <w:szCs w:val="24"/>
        </w:rPr>
        <w:t>testament to</w:t>
      </w:r>
      <w:r w:rsidRPr="00381AC3">
        <w:rPr>
          <w:szCs w:val="24"/>
        </w:rPr>
        <w:t xml:space="preserve"> </w:t>
      </w:r>
      <w:r w:rsidR="00863B1B" w:rsidRPr="00381AC3">
        <w:rPr>
          <w:szCs w:val="24"/>
        </w:rPr>
        <w:t xml:space="preserve">its leading </w:t>
      </w:r>
      <w:r w:rsidRPr="00381AC3">
        <w:rPr>
          <w:szCs w:val="24"/>
        </w:rPr>
        <w:t>role and expertise</w:t>
      </w:r>
      <w:r w:rsidR="00863B1B" w:rsidRPr="00381AC3">
        <w:rPr>
          <w:szCs w:val="24"/>
        </w:rPr>
        <w:t xml:space="preserve">. He </w:t>
      </w:r>
      <w:r w:rsidRPr="00381AC3">
        <w:rPr>
          <w:szCs w:val="24"/>
        </w:rPr>
        <w:t xml:space="preserve">noted that </w:t>
      </w:r>
      <w:r w:rsidR="00863B1B" w:rsidRPr="00381AC3">
        <w:rPr>
          <w:szCs w:val="24"/>
        </w:rPr>
        <w:t xml:space="preserve">Document </w:t>
      </w:r>
      <w:hyperlink r:id="rId24" w:history="1">
        <w:r w:rsidR="00863B1B" w:rsidRPr="00381AC3">
          <w:rPr>
            <w:rStyle w:val="Hyperlink"/>
            <w:szCs w:val="24"/>
          </w:rPr>
          <w:t>C25/43</w:t>
        </w:r>
      </w:hyperlink>
      <w:r w:rsidR="00863B1B" w:rsidRPr="00381AC3">
        <w:rPr>
          <w:szCs w:val="24"/>
        </w:rPr>
        <w:t xml:space="preserve"> contained a request for </w:t>
      </w:r>
      <w:r w:rsidRPr="00381AC3">
        <w:rPr>
          <w:szCs w:val="24"/>
        </w:rPr>
        <w:t xml:space="preserve">additional funding to support </w:t>
      </w:r>
      <w:r w:rsidR="00863B1B" w:rsidRPr="00381AC3">
        <w:rPr>
          <w:szCs w:val="24"/>
        </w:rPr>
        <w:t xml:space="preserve">those </w:t>
      </w:r>
      <w:r w:rsidRPr="00381AC3">
        <w:rPr>
          <w:szCs w:val="24"/>
        </w:rPr>
        <w:t>AI-related activities.</w:t>
      </w:r>
    </w:p>
    <w:p w14:paraId="39707806" w14:textId="1903A1EF" w:rsidR="00492674" w:rsidRPr="00D103E1" w:rsidRDefault="00492674" w:rsidP="00534A5F">
      <w:pPr>
        <w:jc w:val="both"/>
        <w:rPr>
          <w:spacing w:val="-2"/>
          <w:szCs w:val="24"/>
        </w:rPr>
      </w:pPr>
      <w:r w:rsidRPr="00D103E1">
        <w:rPr>
          <w:spacing w:val="-2"/>
          <w:szCs w:val="24"/>
        </w:rPr>
        <w:t>2.2</w:t>
      </w:r>
      <w:r w:rsidRPr="00D103E1">
        <w:rPr>
          <w:spacing w:val="-2"/>
          <w:szCs w:val="24"/>
        </w:rPr>
        <w:tab/>
        <w:t xml:space="preserve">The councillor from Rwanda introduced </w:t>
      </w:r>
      <w:r w:rsidR="000C2F17" w:rsidRPr="00D103E1">
        <w:rPr>
          <w:spacing w:val="-2"/>
          <w:szCs w:val="24"/>
        </w:rPr>
        <w:t>the</w:t>
      </w:r>
      <w:r w:rsidRPr="00D103E1">
        <w:rPr>
          <w:spacing w:val="-2"/>
          <w:szCs w:val="24"/>
        </w:rPr>
        <w:t xml:space="preserve"> contribution contained in Document</w:t>
      </w:r>
      <w:r w:rsidR="00D103E1" w:rsidRPr="00D103E1">
        <w:rPr>
          <w:spacing w:val="-2"/>
          <w:szCs w:val="24"/>
        </w:rPr>
        <w:t> </w:t>
      </w:r>
      <w:r w:rsidRPr="00D103E1">
        <w:rPr>
          <w:spacing w:val="-2"/>
          <w:szCs w:val="24"/>
        </w:rPr>
        <w:t xml:space="preserve">C25/96, requesting </w:t>
      </w:r>
      <w:r w:rsidR="000C2F17" w:rsidRPr="00D103E1">
        <w:rPr>
          <w:spacing w:val="-2"/>
          <w:szCs w:val="24"/>
        </w:rPr>
        <w:t xml:space="preserve">ITU assistance in </w:t>
      </w:r>
      <w:r w:rsidRPr="00D103E1">
        <w:rPr>
          <w:spacing w:val="-2"/>
          <w:szCs w:val="24"/>
        </w:rPr>
        <w:t>assess</w:t>
      </w:r>
      <w:r w:rsidR="000C2F17" w:rsidRPr="00D103E1">
        <w:rPr>
          <w:spacing w:val="-2"/>
          <w:szCs w:val="24"/>
        </w:rPr>
        <w:t>ing and advancing</w:t>
      </w:r>
      <w:r w:rsidRPr="00D103E1">
        <w:rPr>
          <w:spacing w:val="-2"/>
          <w:szCs w:val="24"/>
        </w:rPr>
        <w:t xml:space="preserve"> the </w:t>
      </w:r>
      <w:r w:rsidR="0015601C" w:rsidRPr="00D103E1">
        <w:rPr>
          <w:spacing w:val="-2"/>
          <w:szCs w:val="24"/>
        </w:rPr>
        <w:t xml:space="preserve">AI </w:t>
      </w:r>
      <w:r w:rsidRPr="00D103E1">
        <w:rPr>
          <w:spacing w:val="-2"/>
          <w:szCs w:val="24"/>
        </w:rPr>
        <w:t xml:space="preserve">readiness </w:t>
      </w:r>
      <w:r w:rsidR="000C2F17" w:rsidRPr="00D103E1">
        <w:rPr>
          <w:spacing w:val="-2"/>
          <w:szCs w:val="24"/>
        </w:rPr>
        <w:t>of</w:t>
      </w:r>
      <w:r w:rsidRPr="00D103E1">
        <w:rPr>
          <w:spacing w:val="-2"/>
          <w:szCs w:val="24"/>
        </w:rPr>
        <w:t xml:space="preserve"> least developed countries</w:t>
      </w:r>
      <w:r w:rsidR="000C2F17" w:rsidRPr="00D103E1">
        <w:rPr>
          <w:spacing w:val="-2"/>
          <w:szCs w:val="24"/>
        </w:rPr>
        <w:t xml:space="preserve"> (LDCs)</w:t>
      </w:r>
      <w:r w:rsidRPr="00D103E1">
        <w:rPr>
          <w:spacing w:val="-2"/>
          <w:szCs w:val="24"/>
        </w:rPr>
        <w:t xml:space="preserve"> </w:t>
      </w:r>
      <w:r w:rsidR="0015601C" w:rsidRPr="00D103E1">
        <w:rPr>
          <w:spacing w:val="-2"/>
          <w:szCs w:val="24"/>
        </w:rPr>
        <w:t xml:space="preserve">and in </w:t>
      </w:r>
      <w:r w:rsidRPr="00D103E1">
        <w:rPr>
          <w:spacing w:val="-2"/>
          <w:szCs w:val="24"/>
        </w:rPr>
        <w:t>develop</w:t>
      </w:r>
      <w:r w:rsidR="0015601C" w:rsidRPr="00D103E1">
        <w:rPr>
          <w:spacing w:val="-2"/>
          <w:szCs w:val="24"/>
        </w:rPr>
        <w:t>ing</w:t>
      </w:r>
      <w:r w:rsidRPr="00D103E1">
        <w:rPr>
          <w:spacing w:val="-2"/>
          <w:szCs w:val="24"/>
        </w:rPr>
        <w:t xml:space="preserve"> </w:t>
      </w:r>
      <w:r w:rsidR="006E5782" w:rsidRPr="00D103E1">
        <w:rPr>
          <w:spacing w:val="-2"/>
          <w:szCs w:val="24"/>
        </w:rPr>
        <w:t xml:space="preserve">contextualized </w:t>
      </w:r>
      <w:r w:rsidR="000C2F17" w:rsidRPr="00D103E1">
        <w:rPr>
          <w:spacing w:val="-2"/>
          <w:szCs w:val="24"/>
        </w:rPr>
        <w:t xml:space="preserve">national </w:t>
      </w:r>
      <w:r w:rsidRPr="00D103E1">
        <w:rPr>
          <w:spacing w:val="-2"/>
          <w:szCs w:val="24"/>
        </w:rPr>
        <w:t>AI policies and strategies</w:t>
      </w:r>
      <w:r w:rsidR="000C2F17" w:rsidRPr="00D103E1">
        <w:rPr>
          <w:spacing w:val="-2"/>
          <w:szCs w:val="24"/>
        </w:rPr>
        <w:t>, which were lacking in an overwhelming majority of such countries</w:t>
      </w:r>
      <w:r w:rsidR="0015601C" w:rsidRPr="00D103E1">
        <w:rPr>
          <w:spacing w:val="-2"/>
          <w:szCs w:val="24"/>
        </w:rPr>
        <w:t>.</w:t>
      </w:r>
      <w:r w:rsidR="000C2F17" w:rsidRPr="00D103E1">
        <w:rPr>
          <w:spacing w:val="-2"/>
          <w:szCs w:val="24"/>
        </w:rPr>
        <w:t xml:space="preserve"> </w:t>
      </w:r>
      <w:r w:rsidR="0015601C" w:rsidRPr="00D103E1">
        <w:rPr>
          <w:spacing w:val="-2"/>
          <w:szCs w:val="24"/>
        </w:rPr>
        <w:t>T</w:t>
      </w:r>
      <w:r w:rsidR="000C2F17" w:rsidRPr="00D103E1">
        <w:rPr>
          <w:spacing w:val="-2"/>
          <w:szCs w:val="24"/>
        </w:rPr>
        <w:t xml:space="preserve">he secretariat </w:t>
      </w:r>
      <w:r w:rsidR="0015601C" w:rsidRPr="00D103E1">
        <w:rPr>
          <w:spacing w:val="-2"/>
          <w:szCs w:val="24"/>
        </w:rPr>
        <w:t xml:space="preserve">was requested </w:t>
      </w:r>
      <w:r w:rsidR="000C2F17" w:rsidRPr="00D103E1">
        <w:rPr>
          <w:spacing w:val="-2"/>
          <w:szCs w:val="24"/>
        </w:rPr>
        <w:t xml:space="preserve">to report to the next session of the Council on </w:t>
      </w:r>
      <w:r w:rsidR="0015601C" w:rsidRPr="00D103E1">
        <w:rPr>
          <w:spacing w:val="-2"/>
          <w:szCs w:val="24"/>
        </w:rPr>
        <w:t xml:space="preserve">any </w:t>
      </w:r>
      <w:r w:rsidRPr="00D103E1">
        <w:rPr>
          <w:spacing w:val="-2"/>
          <w:szCs w:val="24"/>
        </w:rPr>
        <w:t xml:space="preserve">activities </w:t>
      </w:r>
      <w:r w:rsidR="000C2F17" w:rsidRPr="00D103E1">
        <w:rPr>
          <w:spacing w:val="-2"/>
          <w:szCs w:val="24"/>
        </w:rPr>
        <w:t>undertaken in that regard</w:t>
      </w:r>
      <w:r w:rsidRPr="00D103E1">
        <w:rPr>
          <w:spacing w:val="-2"/>
          <w:szCs w:val="24"/>
        </w:rPr>
        <w:t>.</w:t>
      </w:r>
    </w:p>
    <w:p w14:paraId="704A63A8" w14:textId="41B7609F" w:rsidR="001252E3" w:rsidRPr="00381AC3" w:rsidRDefault="001252E3" w:rsidP="00534A5F">
      <w:pPr>
        <w:jc w:val="both"/>
        <w:rPr>
          <w:szCs w:val="24"/>
        </w:rPr>
      </w:pPr>
      <w:r w:rsidRPr="00381AC3">
        <w:rPr>
          <w:szCs w:val="24"/>
        </w:rPr>
        <w:t>2.3</w:t>
      </w:r>
      <w:r w:rsidRPr="00381AC3">
        <w:rPr>
          <w:szCs w:val="24"/>
        </w:rPr>
        <w:tab/>
        <w:t xml:space="preserve">Councillors </w:t>
      </w:r>
      <w:r w:rsidR="003E1CE8" w:rsidRPr="00381AC3">
        <w:rPr>
          <w:szCs w:val="24"/>
        </w:rPr>
        <w:t xml:space="preserve">and observers </w:t>
      </w:r>
      <w:r w:rsidRPr="00381AC3">
        <w:rPr>
          <w:szCs w:val="24"/>
        </w:rPr>
        <w:t xml:space="preserve">welcomed the leading role that ITU was </w:t>
      </w:r>
      <w:r w:rsidR="00AC4626" w:rsidRPr="00381AC3">
        <w:rPr>
          <w:szCs w:val="24"/>
        </w:rPr>
        <w:t>playing</w:t>
      </w:r>
      <w:r w:rsidRPr="00381AC3">
        <w:rPr>
          <w:szCs w:val="24"/>
        </w:rPr>
        <w:t xml:space="preserve"> on the multilateral </w:t>
      </w:r>
      <w:r w:rsidR="005B31A9" w:rsidRPr="00381AC3">
        <w:rPr>
          <w:szCs w:val="24"/>
        </w:rPr>
        <w:t>stage</w:t>
      </w:r>
      <w:r w:rsidRPr="00381AC3">
        <w:rPr>
          <w:szCs w:val="24"/>
        </w:rPr>
        <w:t xml:space="preserve"> in the development of AI </w:t>
      </w:r>
      <w:r w:rsidR="005548EF" w:rsidRPr="00381AC3">
        <w:rPr>
          <w:szCs w:val="24"/>
        </w:rPr>
        <w:t xml:space="preserve">applications </w:t>
      </w:r>
      <w:r w:rsidRPr="00381AC3">
        <w:rPr>
          <w:szCs w:val="24"/>
        </w:rPr>
        <w:t xml:space="preserve">and governance, noting a global recognition for its expertise in technical standards and digital development. </w:t>
      </w:r>
      <w:r w:rsidR="00DE0051" w:rsidRPr="00381AC3">
        <w:rPr>
          <w:szCs w:val="24"/>
        </w:rPr>
        <w:t>C</w:t>
      </w:r>
      <w:r w:rsidRPr="00381AC3">
        <w:rPr>
          <w:szCs w:val="24"/>
        </w:rPr>
        <w:t>ouncillors stressed</w:t>
      </w:r>
      <w:r w:rsidR="0015601C" w:rsidRPr="00381AC3">
        <w:rPr>
          <w:szCs w:val="24"/>
        </w:rPr>
        <w:t xml:space="preserve"> the need</w:t>
      </w:r>
      <w:r w:rsidRPr="00381AC3">
        <w:rPr>
          <w:szCs w:val="24"/>
        </w:rPr>
        <w:t xml:space="preserve"> for ITU to continue in that role, in particular through </w:t>
      </w:r>
      <w:r w:rsidR="00DE0051" w:rsidRPr="00381AC3">
        <w:rPr>
          <w:szCs w:val="24"/>
        </w:rPr>
        <w:t xml:space="preserve">standards development work in </w:t>
      </w:r>
      <w:r w:rsidRPr="00381AC3">
        <w:rPr>
          <w:szCs w:val="24"/>
        </w:rPr>
        <w:t>TSB</w:t>
      </w:r>
      <w:r w:rsidR="00DE0051" w:rsidRPr="00381AC3">
        <w:rPr>
          <w:szCs w:val="24"/>
        </w:rPr>
        <w:t>,</w:t>
      </w:r>
      <w:r w:rsidRPr="00381AC3">
        <w:rPr>
          <w:szCs w:val="24"/>
        </w:rPr>
        <w:t xml:space="preserve"> </w:t>
      </w:r>
      <w:r w:rsidR="00DE0051" w:rsidRPr="00381AC3">
        <w:rPr>
          <w:szCs w:val="24"/>
        </w:rPr>
        <w:t xml:space="preserve">in order </w:t>
      </w:r>
      <w:r w:rsidRPr="00381AC3">
        <w:rPr>
          <w:szCs w:val="24"/>
        </w:rPr>
        <w:t xml:space="preserve">to </w:t>
      </w:r>
      <w:r w:rsidR="00DE0051" w:rsidRPr="00381AC3">
        <w:rPr>
          <w:szCs w:val="24"/>
        </w:rPr>
        <w:t xml:space="preserve">lay the groundwork for appropriate </w:t>
      </w:r>
      <w:r w:rsidR="0015601C" w:rsidRPr="00381AC3">
        <w:rPr>
          <w:szCs w:val="24"/>
        </w:rPr>
        <w:t>governance</w:t>
      </w:r>
      <w:r w:rsidR="00DE0051" w:rsidRPr="00381AC3">
        <w:rPr>
          <w:szCs w:val="24"/>
        </w:rPr>
        <w:t xml:space="preserve"> and technical frameworks that ensure safe and inclusive development of AI. Several councillors noted the need, however, for standards to be practically applicable in local contexts; promoting open-source tools was important to that end.</w:t>
      </w:r>
    </w:p>
    <w:p w14:paraId="5A5763B6" w14:textId="69FB2ABE" w:rsidR="00AC4626" w:rsidRPr="00381AC3" w:rsidRDefault="00AC4626" w:rsidP="00534A5F">
      <w:pPr>
        <w:jc w:val="both"/>
        <w:rPr>
          <w:szCs w:val="24"/>
        </w:rPr>
      </w:pPr>
      <w:r w:rsidRPr="00381AC3">
        <w:rPr>
          <w:szCs w:val="24"/>
        </w:rPr>
        <w:t>2.4</w:t>
      </w:r>
      <w:r w:rsidRPr="00381AC3">
        <w:rPr>
          <w:szCs w:val="24"/>
        </w:rPr>
        <w:tab/>
        <w:t xml:space="preserve">Councillors noted the value of ITU participation and leadership in a number of multilateral platforms, in particular AI for Good and </w:t>
      </w:r>
      <w:r w:rsidR="00986D0B" w:rsidRPr="00381AC3">
        <w:rPr>
          <w:szCs w:val="24"/>
        </w:rPr>
        <w:t xml:space="preserve">the </w:t>
      </w:r>
      <w:r w:rsidRPr="00381AC3">
        <w:rPr>
          <w:szCs w:val="24"/>
        </w:rPr>
        <w:t>Partner2Connect</w:t>
      </w:r>
      <w:r w:rsidR="00986D0B" w:rsidRPr="00381AC3">
        <w:rPr>
          <w:szCs w:val="24"/>
        </w:rPr>
        <w:t xml:space="preserve"> Digital Coalition</w:t>
      </w:r>
      <w:r w:rsidRPr="00381AC3">
        <w:rPr>
          <w:szCs w:val="24"/>
        </w:rPr>
        <w:t>. Continued involvement in such forums was important to enhancing the reach of ITU</w:t>
      </w:r>
      <w:r w:rsidR="00A652FC" w:rsidRPr="00381AC3">
        <w:rPr>
          <w:szCs w:val="24"/>
        </w:rPr>
        <w:t>'</w:t>
      </w:r>
      <w:r w:rsidRPr="00381AC3">
        <w:rPr>
          <w:szCs w:val="24"/>
        </w:rPr>
        <w:t>s work and expertise, while maximizing the impact of multilateral cooperation and minimizing duplication.</w:t>
      </w:r>
      <w:r w:rsidR="005548EF" w:rsidRPr="00381AC3">
        <w:rPr>
          <w:szCs w:val="24"/>
        </w:rPr>
        <w:t xml:space="preserve"> One councillor suggested cooperation with the Coalition for Sustainable AI, while several councillors drew attention to national and regional initiatives aimed at the sustainable and inclusive development of AI.</w:t>
      </w:r>
      <w:r w:rsidR="005B31A9" w:rsidRPr="00381AC3">
        <w:rPr>
          <w:szCs w:val="24"/>
        </w:rPr>
        <w:t xml:space="preserve"> Another councillor called for increased collaboration with industry and academia, and</w:t>
      </w:r>
      <w:r w:rsidR="005B31A9" w:rsidRPr="00381AC3">
        <w:t xml:space="preserve"> a</w:t>
      </w:r>
      <w:r w:rsidR="005B31A9" w:rsidRPr="00381AC3">
        <w:rPr>
          <w:szCs w:val="24"/>
        </w:rPr>
        <w:t xml:space="preserve"> third recalled Resolution 74 (Rev. New Delhi, 2024) of the World Telecommunication Standardization Assembly, on enhancing participation of Sector Members from developing countries in the work of ITU-T.</w:t>
      </w:r>
    </w:p>
    <w:p w14:paraId="5E8241A4" w14:textId="6E82C7EA" w:rsidR="000C2F17" w:rsidRPr="00381AC3" w:rsidRDefault="00492674" w:rsidP="00534A5F">
      <w:pPr>
        <w:jc w:val="both"/>
        <w:rPr>
          <w:szCs w:val="24"/>
        </w:rPr>
      </w:pPr>
      <w:r w:rsidRPr="00381AC3">
        <w:rPr>
          <w:szCs w:val="24"/>
        </w:rPr>
        <w:t>2.</w:t>
      </w:r>
      <w:r w:rsidR="005B31A9" w:rsidRPr="00381AC3">
        <w:rPr>
          <w:szCs w:val="24"/>
        </w:rPr>
        <w:t>5</w:t>
      </w:r>
      <w:r w:rsidRPr="00381AC3">
        <w:rPr>
          <w:szCs w:val="24"/>
        </w:rPr>
        <w:tab/>
        <w:t>Councillors</w:t>
      </w:r>
      <w:r w:rsidR="003E1CE8" w:rsidRPr="00381AC3">
        <w:rPr>
          <w:szCs w:val="24"/>
        </w:rPr>
        <w:t xml:space="preserve"> and observers</w:t>
      </w:r>
      <w:r w:rsidRPr="00381AC3">
        <w:rPr>
          <w:szCs w:val="24"/>
        </w:rPr>
        <w:t xml:space="preserve"> expressed support for </w:t>
      </w:r>
      <w:r w:rsidR="000C2F17" w:rsidRPr="00381AC3">
        <w:rPr>
          <w:szCs w:val="24"/>
        </w:rPr>
        <w:t>increased assistance to LDCs</w:t>
      </w:r>
      <w:r w:rsidRPr="00381AC3">
        <w:rPr>
          <w:szCs w:val="24"/>
        </w:rPr>
        <w:t xml:space="preserve">, with </w:t>
      </w:r>
      <w:r w:rsidR="000C2F17" w:rsidRPr="00381AC3">
        <w:rPr>
          <w:szCs w:val="24"/>
        </w:rPr>
        <w:t xml:space="preserve">the </w:t>
      </w:r>
      <w:r w:rsidRPr="00381AC3">
        <w:rPr>
          <w:szCs w:val="24"/>
        </w:rPr>
        <w:t>councillor</w:t>
      </w:r>
      <w:r w:rsidR="000C2F17" w:rsidRPr="00381AC3">
        <w:rPr>
          <w:szCs w:val="24"/>
        </w:rPr>
        <w:t xml:space="preserve"> from Canada identifying two Canadian institutions that could assist in that regard</w:t>
      </w:r>
      <w:r w:rsidR="00767738" w:rsidRPr="00381AC3">
        <w:rPr>
          <w:szCs w:val="24"/>
        </w:rPr>
        <w:t>.</w:t>
      </w:r>
      <w:r w:rsidR="00586354" w:rsidRPr="00381AC3">
        <w:rPr>
          <w:szCs w:val="24"/>
        </w:rPr>
        <w:t xml:space="preserve"> </w:t>
      </w:r>
      <w:r w:rsidR="005B31A9" w:rsidRPr="00381AC3">
        <w:rPr>
          <w:szCs w:val="24"/>
        </w:rPr>
        <w:t>Several councillors asked what capacity</w:t>
      </w:r>
      <w:r w:rsidR="008B1DB6" w:rsidRPr="00381AC3">
        <w:rPr>
          <w:szCs w:val="24"/>
        </w:rPr>
        <w:t>-</w:t>
      </w:r>
      <w:r w:rsidR="005B31A9" w:rsidRPr="00381AC3">
        <w:rPr>
          <w:szCs w:val="24"/>
        </w:rPr>
        <w:t xml:space="preserve">building initiatives had been implemented under PP Resolution 214 (Bucharest, 2022). </w:t>
      </w:r>
      <w:r w:rsidR="00465900" w:rsidRPr="00381AC3">
        <w:rPr>
          <w:szCs w:val="24"/>
        </w:rPr>
        <w:t>AI applications had the potential to contribute to achieving the</w:t>
      </w:r>
      <w:r w:rsidR="00986D0B" w:rsidRPr="00381AC3">
        <w:rPr>
          <w:szCs w:val="24"/>
        </w:rPr>
        <w:t xml:space="preserve"> Sustainable Development Goals</w:t>
      </w:r>
      <w:r w:rsidR="00465900" w:rsidRPr="00381AC3">
        <w:rPr>
          <w:szCs w:val="24"/>
        </w:rPr>
        <w:t xml:space="preserve"> </w:t>
      </w:r>
      <w:r w:rsidR="00986D0B" w:rsidRPr="00381AC3">
        <w:rPr>
          <w:szCs w:val="24"/>
        </w:rPr>
        <w:t>(</w:t>
      </w:r>
      <w:r w:rsidR="00465900" w:rsidRPr="00381AC3">
        <w:rPr>
          <w:szCs w:val="24"/>
        </w:rPr>
        <w:t>SDGs</w:t>
      </w:r>
      <w:r w:rsidR="00986D0B" w:rsidRPr="00381AC3">
        <w:rPr>
          <w:szCs w:val="24"/>
        </w:rPr>
        <w:t>)</w:t>
      </w:r>
      <w:r w:rsidR="00465900" w:rsidRPr="00381AC3">
        <w:rPr>
          <w:szCs w:val="24"/>
        </w:rPr>
        <w:t xml:space="preserve"> and bridging digital divides; however, c</w:t>
      </w:r>
      <w:r w:rsidR="00E11E1D" w:rsidRPr="00381AC3">
        <w:rPr>
          <w:szCs w:val="24"/>
        </w:rPr>
        <w:t>ontextualized</w:t>
      </w:r>
      <w:r w:rsidR="00586354" w:rsidRPr="00381AC3">
        <w:rPr>
          <w:szCs w:val="24"/>
        </w:rPr>
        <w:t xml:space="preserve"> capacity-building and technical assistance</w:t>
      </w:r>
      <w:r w:rsidR="00920641" w:rsidRPr="00381AC3">
        <w:rPr>
          <w:szCs w:val="24"/>
        </w:rPr>
        <w:t xml:space="preserve"> would be </w:t>
      </w:r>
      <w:r w:rsidR="00586354" w:rsidRPr="00381AC3">
        <w:rPr>
          <w:szCs w:val="24"/>
        </w:rPr>
        <w:t xml:space="preserve">critical </w:t>
      </w:r>
      <w:r w:rsidR="00465900" w:rsidRPr="00381AC3">
        <w:rPr>
          <w:szCs w:val="24"/>
        </w:rPr>
        <w:t>to</w:t>
      </w:r>
      <w:r w:rsidR="00586354" w:rsidRPr="00381AC3">
        <w:rPr>
          <w:szCs w:val="24"/>
        </w:rPr>
        <w:t xml:space="preserve"> ensuring LDCs</w:t>
      </w:r>
      <w:r w:rsidR="00A652FC" w:rsidRPr="00381AC3">
        <w:rPr>
          <w:szCs w:val="24"/>
        </w:rPr>
        <w:t>'</w:t>
      </w:r>
      <w:r w:rsidR="00586354" w:rsidRPr="00381AC3">
        <w:rPr>
          <w:szCs w:val="24"/>
        </w:rPr>
        <w:t xml:space="preserve"> and other developing countries</w:t>
      </w:r>
      <w:r w:rsidR="00A652FC" w:rsidRPr="00381AC3">
        <w:rPr>
          <w:szCs w:val="24"/>
        </w:rPr>
        <w:t>'</w:t>
      </w:r>
      <w:r w:rsidR="00586354" w:rsidRPr="00381AC3">
        <w:rPr>
          <w:szCs w:val="24"/>
        </w:rPr>
        <w:t xml:space="preserve"> access</w:t>
      </w:r>
      <w:r w:rsidR="00E11E1D" w:rsidRPr="00381AC3">
        <w:rPr>
          <w:szCs w:val="24"/>
        </w:rPr>
        <w:t xml:space="preserve"> to and</w:t>
      </w:r>
      <w:r w:rsidR="00586354" w:rsidRPr="00381AC3">
        <w:rPr>
          <w:szCs w:val="24"/>
        </w:rPr>
        <w:t xml:space="preserve"> use and governance of AI systems</w:t>
      </w:r>
      <w:r w:rsidR="00E11E1D" w:rsidRPr="00381AC3">
        <w:rPr>
          <w:szCs w:val="24"/>
        </w:rPr>
        <w:t xml:space="preserve"> in a manner adapted to their specific needs. One councillor said that engagement with regional telecommunication bodies and local academia piloting AI use cases in local contexts could be a</w:t>
      </w:r>
      <w:r w:rsidR="004E46A1" w:rsidRPr="00381AC3">
        <w:rPr>
          <w:szCs w:val="24"/>
        </w:rPr>
        <w:t xml:space="preserve"> valuable</w:t>
      </w:r>
      <w:r w:rsidR="00E11E1D" w:rsidRPr="00381AC3">
        <w:rPr>
          <w:szCs w:val="24"/>
        </w:rPr>
        <w:t xml:space="preserve"> source of knowledge transfer</w:t>
      </w:r>
      <w:r w:rsidR="00465900" w:rsidRPr="00381AC3">
        <w:rPr>
          <w:szCs w:val="24"/>
        </w:rPr>
        <w:t>; while another said that increased technical support could serve to identify pilot projects in key socio-economic sectors.</w:t>
      </w:r>
      <w:r w:rsidR="005B31A9" w:rsidRPr="00381AC3">
        <w:rPr>
          <w:szCs w:val="24"/>
        </w:rPr>
        <w:t xml:space="preserve"> </w:t>
      </w:r>
    </w:p>
    <w:p w14:paraId="65B85EAE" w14:textId="12C1E5B7" w:rsidR="00920641" w:rsidRPr="00381AC3" w:rsidRDefault="00920641" w:rsidP="00534A5F">
      <w:pPr>
        <w:jc w:val="both"/>
        <w:rPr>
          <w:szCs w:val="24"/>
        </w:rPr>
      </w:pPr>
      <w:r w:rsidRPr="00381AC3">
        <w:rPr>
          <w:szCs w:val="24"/>
        </w:rPr>
        <w:t>2.</w:t>
      </w:r>
      <w:r w:rsidR="005B31A9" w:rsidRPr="00381AC3">
        <w:rPr>
          <w:szCs w:val="24"/>
        </w:rPr>
        <w:t>6</w:t>
      </w:r>
      <w:r w:rsidRPr="00381AC3">
        <w:rPr>
          <w:szCs w:val="24"/>
        </w:rPr>
        <w:tab/>
        <w:t xml:space="preserve">One councillor </w:t>
      </w:r>
      <w:r w:rsidR="004E46A1" w:rsidRPr="00381AC3">
        <w:rPr>
          <w:szCs w:val="24"/>
        </w:rPr>
        <w:t>stressed</w:t>
      </w:r>
      <w:r w:rsidRPr="00381AC3">
        <w:rPr>
          <w:szCs w:val="24"/>
        </w:rPr>
        <w:t xml:space="preserve"> that LDCs and other developing countries lacked institutional capacity, technical expertise and financial resources to formulate robust policies and strategies; without targeted, contextualized support they risked</w:t>
      </w:r>
      <w:r w:rsidR="00767738" w:rsidRPr="00381AC3">
        <w:rPr>
          <w:szCs w:val="24"/>
        </w:rPr>
        <w:t xml:space="preserve"> falling victim </w:t>
      </w:r>
      <w:r w:rsidR="00B225A7" w:rsidRPr="00381AC3">
        <w:rPr>
          <w:szCs w:val="24"/>
        </w:rPr>
        <w:t>t</w:t>
      </w:r>
      <w:r w:rsidR="00767738" w:rsidRPr="00381AC3">
        <w:rPr>
          <w:szCs w:val="24"/>
        </w:rPr>
        <w:t xml:space="preserve">o another digital divide </w:t>
      </w:r>
      <w:r w:rsidR="003A4112" w:rsidRPr="00381AC3">
        <w:rPr>
          <w:szCs w:val="24"/>
        </w:rPr>
        <w:t xml:space="preserve">and </w:t>
      </w:r>
      <w:r w:rsidR="00767738" w:rsidRPr="00381AC3">
        <w:rPr>
          <w:szCs w:val="24"/>
        </w:rPr>
        <w:t xml:space="preserve">being marginalized in the rapidly developing global AI ecosystem. ITU </w:t>
      </w:r>
      <w:r w:rsidR="004E46A1" w:rsidRPr="00381AC3">
        <w:rPr>
          <w:szCs w:val="24"/>
        </w:rPr>
        <w:t>assistance</w:t>
      </w:r>
      <w:r w:rsidR="00767738" w:rsidRPr="00381AC3">
        <w:rPr>
          <w:szCs w:val="24"/>
        </w:rPr>
        <w:t xml:space="preserve"> should ensure that AI development in such countries was aligned with global best practices</w:t>
      </w:r>
      <w:r w:rsidR="003A4112" w:rsidRPr="00381AC3">
        <w:rPr>
          <w:szCs w:val="24"/>
        </w:rPr>
        <w:t>,</w:t>
      </w:r>
      <w:r w:rsidR="00767738" w:rsidRPr="00381AC3">
        <w:rPr>
          <w:szCs w:val="24"/>
        </w:rPr>
        <w:t xml:space="preserve"> foster</w:t>
      </w:r>
      <w:r w:rsidR="003A4112" w:rsidRPr="00381AC3">
        <w:rPr>
          <w:szCs w:val="24"/>
        </w:rPr>
        <w:t>ing</w:t>
      </w:r>
      <w:r w:rsidR="00767738" w:rsidRPr="00381AC3">
        <w:rPr>
          <w:szCs w:val="24"/>
        </w:rPr>
        <w:t xml:space="preserve"> interoperability, trust, ethical practices and consistency across borders.</w:t>
      </w:r>
      <w:r w:rsidR="003A4112" w:rsidRPr="00381AC3">
        <w:rPr>
          <w:szCs w:val="24"/>
        </w:rPr>
        <w:t xml:space="preserve"> </w:t>
      </w:r>
      <w:r w:rsidR="003A4112" w:rsidRPr="00381AC3">
        <w:rPr>
          <w:szCs w:val="24"/>
        </w:rPr>
        <w:lastRenderedPageBreak/>
        <w:t>Several councillors noted that the 202</w:t>
      </w:r>
      <w:r w:rsidR="00161A62" w:rsidRPr="00381AC3">
        <w:rPr>
          <w:szCs w:val="24"/>
        </w:rPr>
        <w:t>5</w:t>
      </w:r>
      <w:r w:rsidR="003A4112" w:rsidRPr="00381AC3">
        <w:rPr>
          <w:szCs w:val="24"/>
        </w:rPr>
        <w:t xml:space="preserve"> world </w:t>
      </w:r>
      <w:r w:rsidR="005B31A9" w:rsidRPr="00381AC3">
        <w:rPr>
          <w:szCs w:val="24"/>
        </w:rPr>
        <w:t xml:space="preserve">telecommunication </w:t>
      </w:r>
      <w:r w:rsidR="003A4112" w:rsidRPr="00381AC3">
        <w:rPr>
          <w:szCs w:val="24"/>
        </w:rPr>
        <w:t>development conference</w:t>
      </w:r>
      <w:r w:rsidR="00161A62" w:rsidRPr="00381AC3">
        <w:rPr>
          <w:szCs w:val="24"/>
        </w:rPr>
        <w:t xml:space="preserve"> (WTDC-25)</w:t>
      </w:r>
      <w:r w:rsidR="001F7C8F" w:rsidRPr="00381AC3">
        <w:rPr>
          <w:szCs w:val="24"/>
        </w:rPr>
        <w:t xml:space="preserve">, as well as its preparatory process, </w:t>
      </w:r>
      <w:r w:rsidR="003A4112" w:rsidRPr="00381AC3">
        <w:rPr>
          <w:szCs w:val="24"/>
        </w:rPr>
        <w:t xml:space="preserve">would provide an apt opportunity to identify </w:t>
      </w:r>
      <w:r w:rsidR="006B16F6" w:rsidRPr="00381AC3">
        <w:rPr>
          <w:szCs w:val="24"/>
        </w:rPr>
        <w:t>capacity-building priorities in AI, noting th</w:t>
      </w:r>
      <w:r w:rsidR="001F7C8F" w:rsidRPr="00381AC3">
        <w:rPr>
          <w:szCs w:val="24"/>
        </w:rPr>
        <w:t>at</w:t>
      </w:r>
      <w:r w:rsidR="006B16F6" w:rsidRPr="00381AC3">
        <w:rPr>
          <w:szCs w:val="24"/>
        </w:rPr>
        <w:t xml:space="preserve"> skills development and knowledge sharing were crucial to harnessing AI for good.</w:t>
      </w:r>
      <w:r w:rsidR="00DE0051" w:rsidRPr="00381AC3">
        <w:rPr>
          <w:szCs w:val="24"/>
        </w:rPr>
        <w:t xml:space="preserve"> One councillor called for </w:t>
      </w:r>
      <w:r w:rsidR="003E1CE8" w:rsidRPr="00381AC3">
        <w:rPr>
          <w:szCs w:val="24"/>
        </w:rPr>
        <w:t>a dedicated African strategy on AI.</w:t>
      </w:r>
    </w:p>
    <w:p w14:paraId="19C03293" w14:textId="75152AD8" w:rsidR="003A4112" w:rsidRPr="00381AC3" w:rsidRDefault="003A4112" w:rsidP="00534A5F">
      <w:pPr>
        <w:jc w:val="both"/>
        <w:rPr>
          <w:szCs w:val="24"/>
        </w:rPr>
      </w:pPr>
      <w:r w:rsidRPr="00381AC3">
        <w:rPr>
          <w:szCs w:val="24"/>
        </w:rPr>
        <w:t>2.</w:t>
      </w:r>
      <w:r w:rsidR="005B31A9" w:rsidRPr="00381AC3">
        <w:rPr>
          <w:szCs w:val="24"/>
        </w:rPr>
        <w:t>7</w:t>
      </w:r>
      <w:r w:rsidRPr="00381AC3">
        <w:rPr>
          <w:szCs w:val="24"/>
        </w:rPr>
        <w:tab/>
        <w:t>One councillor suggested that further consideration needed to be given to how, and with what tools, the secretariat would assess countries</w:t>
      </w:r>
      <w:r w:rsidR="00A652FC" w:rsidRPr="00381AC3">
        <w:rPr>
          <w:szCs w:val="24"/>
        </w:rPr>
        <w:t>'</w:t>
      </w:r>
      <w:r w:rsidRPr="00381AC3">
        <w:rPr>
          <w:szCs w:val="24"/>
        </w:rPr>
        <w:t xml:space="preserve"> readiness in terms of </w:t>
      </w:r>
      <w:r w:rsidR="001057EF" w:rsidRPr="00381AC3">
        <w:rPr>
          <w:szCs w:val="24"/>
        </w:rPr>
        <w:t xml:space="preserve">AI </w:t>
      </w:r>
      <w:r w:rsidRPr="00381AC3">
        <w:rPr>
          <w:szCs w:val="24"/>
        </w:rPr>
        <w:t xml:space="preserve">policy and strategy. Another councillor noted that </w:t>
      </w:r>
      <w:r w:rsidR="0015601C" w:rsidRPr="00381AC3">
        <w:rPr>
          <w:szCs w:val="24"/>
        </w:rPr>
        <w:t xml:space="preserve">the </w:t>
      </w:r>
      <w:r w:rsidRPr="00381AC3">
        <w:rPr>
          <w:szCs w:val="24"/>
        </w:rPr>
        <w:t>International Monetary Fund had launched its AI Preparedness Index Dashboard, covering 174 countries, to assess countries</w:t>
      </w:r>
      <w:r w:rsidR="00A652FC" w:rsidRPr="00381AC3">
        <w:rPr>
          <w:szCs w:val="24"/>
        </w:rPr>
        <w:t>'</w:t>
      </w:r>
      <w:r w:rsidRPr="00381AC3">
        <w:rPr>
          <w:szCs w:val="24"/>
        </w:rPr>
        <w:t xml:space="preserve"> level of AI preparedness, using data from different international organizations. ITU might consider building on that work.</w:t>
      </w:r>
      <w:r w:rsidR="006B16F6" w:rsidRPr="00381AC3">
        <w:rPr>
          <w:szCs w:val="24"/>
        </w:rPr>
        <w:t xml:space="preserve"> A further councillor suggested submitting Document C25/96 to </w:t>
      </w:r>
      <w:r w:rsidR="001E746B" w:rsidRPr="00381AC3">
        <w:rPr>
          <w:szCs w:val="24"/>
        </w:rPr>
        <w:t xml:space="preserve">the </w:t>
      </w:r>
      <w:r w:rsidR="001057EF" w:rsidRPr="00381AC3">
        <w:rPr>
          <w:szCs w:val="24"/>
        </w:rPr>
        <w:t>C</w:t>
      </w:r>
      <w:r w:rsidR="001E746B" w:rsidRPr="00381AC3">
        <w:rPr>
          <w:szCs w:val="24"/>
        </w:rPr>
        <w:t xml:space="preserve">ouncil </w:t>
      </w:r>
      <w:r w:rsidR="001057EF" w:rsidRPr="00381AC3">
        <w:rPr>
          <w:szCs w:val="24"/>
        </w:rPr>
        <w:t>W</w:t>
      </w:r>
      <w:r w:rsidR="001E746B" w:rsidRPr="00381AC3">
        <w:rPr>
          <w:szCs w:val="24"/>
        </w:rPr>
        <w:t xml:space="preserve">orking </w:t>
      </w:r>
      <w:r w:rsidR="001057EF" w:rsidRPr="00381AC3">
        <w:rPr>
          <w:szCs w:val="24"/>
        </w:rPr>
        <w:t>G</w:t>
      </w:r>
      <w:r w:rsidR="001E746B" w:rsidRPr="00381AC3">
        <w:rPr>
          <w:szCs w:val="24"/>
        </w:rPr>
        <w:t xml:space="preserve">roup on </w:t>
      </w:r>
      <w:r w:rsidR="00D51089" w:rsidRPr="00381AC3">
        <w:rPr>
          <w:szCs w:val="24"/>
        </w:rPr>
        <w:t>WSIS</w:t>
      </w:r>
      <w:r w:rsidR="00C2343A" w:rsidRPr="00381AC3">
        <w:rPr>
          <w:szCs w:val="24"/>
        </w:rPr>
        <w:t xml:space="preserve"> and the </w:t>
      </w:r>
      <w:r w:rsidR="001057EF" w:rsidRPr="00381AC3">
        <w:rPr>
          <w:szCs w:val="24"/>
        </w:rPr>
        <w:t>SDG</w:t>
      </w:r>
      <w:r w:rsidR="00C2343A" w:rsidRPr="00381AC3">
        <w:rPr>
          <w:szCs w:val="24"/>
        </w:rPr>
        <w:t>s</w:t>
      </w:r>
      <w:r w:rsidR="006B16F6" w:rsidRPr="00381AC3">
        <w:rPr>
          <w:szCs w:val="24"/>
        </w:rPr>
        <w:t xml:space="preserve"> for further study.</w:t>
      </w:r>
    </w:p>
    <w:p w14:paraId="28DED02D" w14:textId="50DF9792" w:rsidR="003E1CE8" w:rsidRPr="00381AC3" w:rsidRDefault="003E1CE8" w:rsidP="00534A5F">
      <w:pPr>
        <w:jc w:val="both"/>
        <w:rPr>
          <w:szCs w:val="24"/>
        </w:rPr>
      </w:pPr>
      <w:r w:rsidRPr="00381AC3">
        <w:rPr>
          <w:szCs w:val="24"/>
        </w:rPr>
        <w:t>2.</w:t>
      </w:r>
      <w:r w:rsidR="005B31A9" w:rsidRPr="00381AC3">
        <w:rPr>
          <w:szCs w:val="24"/>
        </w:rPr>
        <w:t>8</w:t>
      </w:r>
      <w:r w:rsidRPr="00381AC3">
        <w:rPr>
          <w:szCs w:val="24"/>
        </w:rPr>
        <w:tab/>
        <w:t>Several councillors said th</w:t>
      </w:r>
      <w:r w:rsidR="0015601C" w:rsidRPr="00381AC3">
        <w:rPr>
          <w:szCs w:val="24"/>
        </w:rPr>
        <w:t xml:space="preserve">at </w:t>
      </w:r>
      <w:r w:rsidRPr="00381AC3">
        <w:rPr>
          <w:szCs w:val="24"/>
        </w:rPr>
        <w:t xml:space="preserve">existing </w:t>
      </w:r>
      <w:r w:rsidR="0015601C" w:rsidRPr="00381AC3">
        <w:rPr>
          <w:szCs w:val="24"/>
        </w:rPr>
        <w:t xml:space="preserve">ITU </w:t>
      </w:r>
      <w:r w:rsidRPr="00381AC3">
        <w:rPr>
          <w:szCs w:val="24"/>
        </w:rPr>
        <w:t>initiatives needed to be leveraged to provide enhanced assistance. Others, noting the rising demand for AI-related initiatives, including through TSB, said that appropriate, sustainable resources needed to be found to meet that demand. One councillor said that AI-related initiatives were a good target for allocation of budget savings as they had high impact, in particular in developing countries</w:t>
      </w:r>
      <w:r w:rsidR="005548EF" w:rsidRPr="00381AC3">
        <w:rPr>
          <w:szCs w:val="24"/>
        </w:rPr>
        <w:t xml:space="preserve"> and marginalized communities</w:t>
      </w:r>
      <w:r w:rsidRPr="00381AC3">
        <w:rPr>
          <w:szCs w:val="24"/>
        </w:rPr>
        <w:t>.</w:t>
      </w:r>
    </w:p>
    <w:p w14:paraId="6B0065F8" w14:textId="00A4E27A" w:rsidR="00492674" w:rsidRPr="00381AC3" w:rsidRDefault="00871032" w:rsidP="00871032">
      <w:pPr>
        <w:jc w:val="both"/>
        <w:rPr>
          <w:szCs w:val="24"/>
        </w:rPr>
      </w:pPr>
      <w:r w:rsidRPr="00871032">
        <w:rPr>
          <w:szCs w:val="24"/>
        </w:rPr>
        <w:t>2.9</w:t>
      </w:r>
      <w:r w:rsidRPr="00871032">
        <w:rPr>
          <w:szCs w:val="24"/>
        </w:rPr>
        <w:tab/>
        <w:t xml:space="preserve">The Director of BDT noted that multiple regions had been developing regional initiatives relating to the application of AI for adoption at WTDC-25. The conference would provide an excellent opportunity to identify AI-related capacity-building priorities and appropriate indicators to track progress and impact. In his view, that process should be membership driven, but the secretariat was working with other organizations to ensure harmonization and provide the best possible expertise to membership. BDT was working closely with TSB to help support efforts on striking an optimum balance between regulation of AI and fostering innovation; for example, a workshop had been organized during GSR-24 on the role and impact of AI on the development sector. Without appropriate measures, the rapid, unchecked development of AI could create further digital divides. Work was also ongoing on integrating AI into early warning systems and </w:t>
      </w:r>
      <w:r w:rsidR="002856E7" w:rsidRPr="00871032">
        <w:rPr>
          <w:szCs w:val="24"/>
        </w:rPr>
        <w:t>open-source</w:t>
      </w:r>
      <w:r w:rsidRPr="00871032">
        <w:rPr>
          <w:szCs w:val="24"/>
        </w:rPr>
        <w:t xml:space="preserve"> AI within BDT. The ITU Academy offered a valuable source of skills development and awareness raising in AI. He welcomed calls for increased assistance to LDCs and all developing countries and noted that WTDC Resolution</w:t>
      </w:r>
      <w:r w:rsidR="002856E7">
        <w:rPr>
          <w:szCs w:val="24"/>
        </w:rPr>
        <w:t> </w:t>
      </w:r>
      <w:r w:rsidRPr="00871032">
        <w:rPr>
          <w:szCs w:val="24"/>
        </w:rPr>
        <w:t>16 (Rev. Kigali, 2022) and PP Resolution 30 (Rev. Bucharest, 2022) provided a non-technology-specific context for assistance tailored to the needs of such countries. He looked forward to WTDC-25 renewing the Union's mandates for action in that area.</w:t>
      </w:r>
    </w:p>
    <w:p w14:paraId="0954D05C" w14:textId="1FD6DFD3" w:rsidR="00492674" w:rsidRPr="00381AC3" w:rsidRDefault="00492674" w:rsidP="00534A5F">
      <w:pPr>
        <w:jc w:val="both"/>
        <w:rPr>
          <w:szCs w:val="24"/>
          <w:highlight w:val="yellow"/>
        </w:rPr>
      </w:pPr>
      <w:r w:rsidRPr="00381AC3">
        <w:rPr>
          <w:szCs w:val="24"/>
        </w:rPr>
        <w:t>2.</w:t>
      </w:r>
      <w:r w:rsidR="005B31A9" w:rsidRPr="00381AC3">
        <w:rPr>
          <w:szCs w:val="24"/>
        </w:rPr>
        <w:t>10</w:t>
      </w:r>
      <w:r w:rsidRPr="00381AC3">
        <w:rPr>
          <w:szCs w:val="24"/>
        </w:rPr>
        <w:tab/>
        <w:t>The Deputy</w:t>
      </w:r>
      <w:r w:rsidR="00853511" w:rsidRPr="00381AC3">
        <w:rPr>
          <w:szCs w:val="24"/>
        </w:rPr>
        <w:t xml:space="preserve"> to the</w:t>
      </w:r>
      <w:r w:rsidRPr="00381AC3">
        <w:rPr>
          <w:szCs w:val="24"/>
        </w:rPr>
        <w:t xml:space="preserve"> Director of TSB</w:t>
      </w:r>
      <w:r w:rsidR="001A2AB1" w:rsidRPr="00381AC3">
        <w:rPr>
          <w:szCs w:val="24"/>
        </w:rPr>
        <w:t xml:space="preserve"> </w:t>
      </w:r>
      <w:r w:rsidRPr="00381AC3">
        <w:rPr>
          <w:szCs w:val="24"/>
        </w:rPr>
        <w:t xml:space="preserve">said that </w:t>
      </w:r>
      <w:r w:rsidR="005E600B" w:rsidRPr="00381AC3">
        <w:rPr>
          <w:szCs w:val="24"/>
        </w:rPr>
        <w:t>collaboration between ITU-T and ITU-D offered great value in terms of</w:t>
      </w:r>
      <w:r w:rsidRPr="00381AC3">
        <w:rPr>
          <w:szCs w:val="24"/>
        </w:rPr>
        <w:t xml:space="preserve"> capacity-building for </w:t>
      </w:r>
      <w:r w:rsidR="005E600B" w:rsidRPr="00381AC3">
        <w:rPr>
          <w:szCs w:val="24"/>
        </w:rPr>
        <w:t>LDCs</w:t>
      </w:r>
      <w:r w:rsidRPr="00381AC3">
        <w:rPr>
          <w:szCs w:val="24"/>
        </w:rPr>
        <w:t xml:space="preserve"> and </w:t>
      </w:r>
      <w:r w:rsidR="005E600B" w:rsidRPr="00381AC3">
        <w:rPr>
          <w:szCs w:val="24"/>
        </w:rPr>
        <w:t xml:space="preserve">other </w:t>
      </w:r>
      <w:r w:rsidRPr="00381AC3">
        <w:rPr>
          <w:szCs w:val="24"/>
        </w:rPr>
        <w:t xml:space="preserve">developing countries. </w:t>
      </w:r>
      <w:r w:rsidR="001A2AB1" w:rsidRPr="00381AC3">
        <w:rPr>
          <w:szCs w:val="24"/>
        </w:rPr>
        <w:t>He noted that</w:t>
      </w:r>
      <w:r w:rsidRPr="00381AC3">
        <w:rPr>
          <w:szCs w:val="24"/>
        </w:rPr>
        <w:t xml:space="preserve"> work was under way </w:t>
      </w:r>
      <w:r w:rsidR="001A2AB1" w:rsidRPr="00381AC3">
        <w:rPr>
          <w:szCs w:val="24"/>
        </w:rPr>
        <w:t>to</w:t>
      </w:r>
      <w:r w:rsidRPr="00381AC3">
        <w:rPr>
          <w:szCs w:val="24"/>
        </w:rPr>
        <w:t xml:space="preserve"> develop</w:t>
      </w:r>
      <w:r w:rsidR="001A2AB1" w:rsidRPr="00381AC3">
        <w:rPr>
          <w:szCs w:val="24"/>
        </w:rPr>
        <w:t xml:space="preserve"> tools to assess</w:t>
      </w:r>
      <w:r w:rsidRPr="00381AC3">
        <w:rPr>
          <w:szCs w:val="24"/>
        </w:rPr>
        <w:t xml:space="preserve"> AI</w:t>
      </w:r>
      <w:r w:rsidR="005E600B" w:rsidRPr="00381AC3">
        <w:rPr>
          <w:szCs w:val="24"/>
        </w:rPr>
        <w:t>-</w:t>
      </w:r>
      <w:r w:rsidRPr="00381AC3">
        <w:rPr>
          <w:szCs w:val="24"/>
        </w:rPr>
        <w:t>readiness</w:t>
      </w:r>
      <w:r w:rsidR="005E600B" w:rsidRPr="00381AC3">
        <w:rPr>
          <w:szCs w:val="24"/>
        </w:rPr>
        <w:t xml:space="preserve">, </w:t>
      </w:r>
      <w:r w:rsidR="001A2AB1" w:rsidRPr="00381AC3">
        <w:rPr>
          <w:szCs w:val="24"/>
        </w:rPr>
        <w:t>involving</w:t>
      </w:r>
      <w:r w:rsidRPr="00381AC3">
        <w:rPr>
          <w:szCs w:val="24"/>
        </w:rPr>
        <w:t xml:space="preserve"> coordination </w:t>
      </w:r>
      <w:r w:rsidR="005E600B" w:rsidRPr="00381AC3">
        <w:rPr>
          <w:szCs w:val="24"/>
        </w:rPr>
        <w:t xml:space="preserve">with other organizations to </w:t>
      </w:r>
      <w:r w:rsidRPr="00381AC3">
        <w:rPr>
          <w:szCs w:val="24"/>
        </w:rPr>
        <w:t>leverag</w:t>
      </w:r>
      <w:r w:rsidR="005E600B" w:rsidRPr="00381AC3">
        <w:rPr>
          <w:szCs w:val="24"/>
        </w:rPr>
        <w:t>e</w:t>
      </w:r>
      <w:r w:rsidRPr="00381AC3">
        <w:rPr>
          <w:szCs w:val="24"/>
        </w:rPr>
        <w:t xml:space="preserve"> </w:t>
      </w:r>
      <w:r w:rsidR="005E600B" w:rsidRPr="00381AC3">
        <w:rPr>
          <w:szCs w:val="24"/>
        </w:rPr>
        <w:t xml:space="preserve">complementary </w:t>
      </w:r>
      <w:r w:rsidRPr="00381AC3">
        <w:rPr>
          <w:szCs w:val="24"/>
        </w:rPr>
        <w:t>work.</w:t>
      </w:r>
    </w:p>
    <w:p w14:paraId="15CA173E" w14:textId="4D6A97F0" w:rsidR="00492674" w:rsidRPr="00381AC3" w:rsidRDefault="00492674" w:rsidP="00534A5F">
      <w:pPr>
        <w:jc w:val="both"/>
      </w:pPr>
      <w:r w:rsidRPr="00381AC3">
        <w:t>2.</w:t>
      </w:r>
      <w:r w:rsidR="005B31A9" w:rsidRPr="00381AC3">
        <w:t>11</w:t>
      </w:r>
      <w:r w:rsidRPr="00381AC3">
        <w:tab/>
        <w:t xml:space="preserve">The Chair invited the </w:t>
      </w:r>
      <w:r w:rsidR="006052CC" w:rsidRPr="00381AC3">
        <w:t xml:space="preserve">Council </w:t>
      </w:r>
      <w:r w:rsidRPr="00381AC3">
        <w:t xml:space="preserve">to note the report contained in Document </w:t>
      </w:r>
      <w:hyperlink r:id="rId25" w:history="1">
        <w:r w:rsidRPr="00381AC3">
          <w:rPr>
            <w:rStyle w:val="Hyperlink"/>
          </w:rPr>
          <w:t>C25/52</w:t>
        </w:r>
      </w:hyperlink>
      <w:r w:rsidRPr="00381AC3">
        <w:t>, to note the contribution in Document C25/96 and invite the secretariat to continue work</w:t>
      </w:r>
      <w:r w:rsidR="00853511" w:rsidRPr="00381AC3">
        <w:t xml:space="preserve"> to </w:t>
      </w:r>
      <w:r w:rsidRPr="00381AC3">
        <w:t>provide technical support</w:t>
      </w:r>
      <w:r w:rsidR="005E600B" w:rsidRPr="00381AC3">
        <w:t>, within existing budgets,</w:t>
      </w:r>
      <w:r w:rsidRPr="00381AC3">
        <w:t xml:space="preserve"> to </w:t>
      </w:r>
      <w:r w:rsidR="005E600B" w:rsidRPr="00381AC3">
        <w:t>LDCs in</w:t>
      </w:r>
      <w:r w:rsidRPr="00381AC3">
        <w:t xml:space="preserve"> develop</w:t>
      </w:r>
      <w:r w:rsidR="005E600B" w:rsidRPr="00381AC3">
        <w:t>ing</w:t>
      </w:r>
      <w:r w:rsidRPr="00381AC3">
        <w:t xml:space="preserve"> AI policies and capacity.</w:t>
      </w:r>
      <w:r w:rsidR="004A0A27" w:rsidRPr="00381AC3">
        <w:t xml:space="preserve"> </w:t>
      </w:r>
    </w:p>
    <w:p w14:paraId="04EA5362" w14:textId="5098675F" w:rsidR="00492674" w:rsidRPr="00381AC3" w:rsidRDefault="00492674" w:rsidP="00534A5F">
      <w:pPr>
        <w:spacing w:before="100"/>
        <w:jc w:val="both"/>
        <w:rPr>
          <w:szCs w:val="24"/>
        </w:rPr>
      </w:pPr>
      <w:r w:rsidRPr="00381AC3">
        <w:rPr>
          <w:szCs w:val="24"/>
        </w:rPr>
        <w:t>2.</w:t>
      </w:r>
      <w:r w:rsidR="005B31A9" w:rsidRPr="00381AC3">
        <w:rPr>
          <w:szCs w:val="24"/>
        </w:rPr>
        <w:t>1</w:t>
      </w:r>
      <w:r w:rsidRPr="00381AC3">
        <w:rPr>
          <w:szCs w:val="24"/>
        </w:rPr>
        <w:t>2</w:t>
      </w:r>
      <w:r w:rsidRPr="00381AC3">
        <w:rPr>
          <w:szCs w:val="24"/>
        </w:rPr>
        <w:tab/>
      </w:r>
      <w:r w:rsidR="005E600B" w:rsidRPr="00381AC3">
        <w:rPr>
          <w:szCs w:val="24"/>
        </w:rPr>
        <w:t xml:space="preserve">It was so </w:t>
      </w:r>
      <w:r w:rsidR="005E600B" w:rsidRPr="00381AC3">
        <w:rPr>
          <w:b/>
          <w:bCs/>
          <w:szCs w:val="24"/>
        </w:rPr>
        <w:t>agreed</w:t>
      </w:r>
      <w:r w:rsidRPr="00381AC3">
        <w:rPr>
          <w:szCs w:val="24"/>
        </w:rPr>
        <w:t>.</w:t>
      </w:r>
    </w:p>
    <w:p w14:paraId="3F10C366" w14:textId="32042455" w:rsidR="00A02405" w:rsidRPr="00381AC3" w:rsidRDefault="00A02405" w:rsidP="002856E7">
      <w:pPr>
        <w:pStyle w:val="Heading1"/>
      </w:pPr>
      <w:r w:rsidRPr="00381AC3">
        <w:lastRenderedPageBreak/>
        <w:t>3</w:t>
      </w:r>
      <w:r w:rsidRPr="00381AC3">
        <w:tab/>
        <w:t>World Telecommunication and Information Society Day (Documents</w:t>
      </w:r>
      <w:r w:rsidR="00DE0E66">
        <w:t> </w:t>
      </w:r>
      <w:hyperlink r:id="rId26" w:history="1">
        <w:r w:rsidRPr="00381AC3">
          <w:rPr>
            <w:rStyle w:val="Hyperlink"/>
            <w:rFonts w:asciiTheme="minorHAnsi" w:hAnsiTheme="minorHAnsi" w:cstheme="minorHAnsi"/>
            <w:szCs w:val="24"/>
            <w:lang w:eastAsia="en-GB"/>
          </w:rPr>
          <w:t>C25/17</w:t>
        </w:r>
      </w:hyperlink>
      <w:r w:rsidRPr="00381AC3">
        <w:rPr>
          <w:rFonts w:asciiTheme="minorHAnsi" w:hAnsiTheme="minorHAnsi" w:cstheme="minorHAnsi"/>
          <w:sz w:val="24"/>
          <w:szCs w:val="24"/>
          <w:lang w:eastAsia="en-GB"/>
        </w:rPr>
        <w:t xml:space="preserve">, </w:t>
      </w:r>
      <w:hyperlink r:id="rId27" w:history="1">
        <w:r w:rsidRPr="00381AC3">
          <w:rPr>
            <w:rStyle w:val="Hyperlink"/>
            <w:rFonts w:asciiTheme="minorHAnsi" w:hAnsiTheme="minorHAnsi" w:cstheme="minorHAnsi"/>
            <w:szCs w:val="24"/>
            <w:lang w:eastAsia="en-GB"/>
          </w:rPr>
          <w:t>C25/76</w:t>
        </w:r>
      </w:hyperlink>
      <w:r w:rsidRPr="00381AC3">
        <w:rPr>
          <w:rFonts w:asciiTheme="minorHAnsi" w:hAnsiTheme="minorHAnsi" w:cstheme="minorHAnsi"/>
          <w:sz w:val="24"/>
          <w:szCs w:val="24"/>
          <w:lang w:eastAsia="en-GB"/>
        </w:rPr>
        <w:t xml:space="preserve">, </w:t>
      </w:r>
      <w:hyperlink r:id="rId28" w:history="1">
        <w:r w:rsidRPr="00381AC3">
          <w:rPr>
            <w:rStyle w:val="Hyperlink"/>
            <w:rFonts w:asciiTheme="minorHAnsi" w:hAnsiTheme="minorHAnsi" w:cstheme="minorHAnsi"/>
            <w:szCs w:val="24"/>
            <w:lang w:eastAsia="en-GB"/>
          </w:rPr>
          <w:t>C25/89</w:t>
        </w:r>
      </w:hyperlink>
      <w:r w:rsidR="005033AB">
        <w:rPr>
          <w:rFonts w:asciiTheme="minorHAnsi" w:hAnsiTheme="minorHAnsi" w:cstheme="minorHAnsi"/>
          <w:sz w:val="24"/>
          <w:szCs w:val="24"/>
          <w:lang w:eastAsia="en-GB"/>
        </w:rPr>
        <w:t>,</w:t>
      </w:r>
      <w:r w:rsidRPr="00381AC3">
        <w:rPr>
          <w:rFonts w:asciiTheme="minorHAnsi" w:hAnsiTheme="minorHAnsi" w:cstheme="minorHAnsi"/>
          <w:sz w:val="24"/>
          <w:szCs w:val="24"/>
          <w:lang w:eastAsia="en-GB"/>
        </w:rPr>
        <w:t xml:space="preserve"> </w:t>
      </w:r>
      <w:hyperlink r:id="rId29" w:history="1">
        <w:r w:rsidRPr="00381AC3">
          <w:rPr>
            <w:rStyle w:val="Hyperlink"/>
            <w:rFonts w:asciiTheme="minorHAnsi" w:hAnsiTheme="minorHAnsi" w:cstheme="minorHAnsi"/>
            <w:szCs w:val="24"/>
            <w:lang w:eastAsia="en-GB"/>
          </w:rPr>
          <w:t>C25/100</w:t>
        </w:r>
      </w:hyperlink>
      <w:r w:rsidRPr="00381AC3">
        <w:t xml:space="preserve">) </w:t>
      </w:r>
    </w:p>
    <w:p w14:paraId="0124F2EE" w14:textId="43737344" w:rsidR="00A02405" w:rsidRPr="00381AC3" w:rsidRDefault="00A02405" w:rsidP="002856E7">
      <w:pPr>
        <w:jc w:val="both"/>
      </w:pPr>
      <w:r w:rsidRPr="00381AC3">
        <w:t>3.1</w:t>
      </w:r>
      <w:r w:rsidRPr="00381AC3">
        <w:tab/>
        <w:t xml:space="preserve">A representative of the General Secretariat </w:t>
      </w:r>
      <w:r w:rsidR="00A61A35" w:rsidRPr="00381AC3">
        <w:t xml:space="preserve">introduced </w:t>
      </w:r>
      <w:r w:rsidR="00CC3B9A" w:rsidRPr="00381AC3">
        <w:t xml:space="preserve">the report contained in </w:t>
      </w:r>
      <w:r w:rsidRPr="00381AC3">
        <w:t>Document C25/17</w:t>
      </w:r>
      <w:r w:rsidR="00CC3B9A" w:rsidRPr="00381AC3">
        <w:t>,</w:t>
      </w:r>
      <w:r w:rsidRPr="00381AC3">
        <w:t xml:space="preserve"> on </w:t>
      </w:r>
      <w:r w:rsidR="00432873" w:rsidRPr="00381AC3">
        <w:t xml:space="preserve">the celebration of the 2025 </w:t>
      </w:r>
      <w:r w:rsidRPr="00381AC3">
        <w:t>World Telecommunication and Information Society Day (WTISD-25) and the 160</w:t>
      </w:r>
      <w:r w:rsidRPr="00381AC3">
        <w:rPr>
          <w:vertAlign w:val="superscript"/>
        </w:rPr>
        <w:t>th</w:t>
      </w:r>
      <w:r w:rsidRPr="00381AC3">
        <w:t xml:space="preserve"> anniversary of ITU</w:t>
      </w:r>
      <w:r w:rsidR="003C324D" w:rsidRPr="00381AC3">
        <w:t xml:space="preserve"> (ITU160)</w:t>
      </w:r>
      <w:r w:rsidR="00A61A35" w:rsidRPr="00381AC3">
        <w:t xml:space="preserve"> and played</w:t>
      </w:r>
      <w:r w:rsidRPr="00381AC3">
        <w:t xml:space="preserve"> a short video sharing highlights from</w:t>
      </w:r>
      <w:r w:rsidR="00A61A35" w:rsidRPr="00381AC3">
        <w:t xml:space="preserve"> </w:t>
      </w:r>
      <w:r w:rsidR="00C06EEE">
        <w:t>the</w:t>
      </w:r>
      <w:r w:rsidR="00C06EEE" w:rsidRPr="00381AC3">
        <w:t xml:space="preserve"> </w:t>
      </w:r>
      <w:r w:rsidR="00C06EEE">
        <w:t xml:space="preserve">combined secretariat </w:t>
      </w:r>
      <w:r w:rsidR="00A61A35" w:rsidRPr="00381AC3">
        <w:t>event</w:t>
      </w:r>
      <w:r w:rsidRPr="00381AC3">
        <w:t xml:space="preserve">. Member States </w:t>
      </w:r>
      <w:r w:rsidR="001F51D6" w:rsidRPr="00381AC3">
        <w:t xml:space="preserve">were invited </w:t>
      </w:r>
      <w:r w:rsidRPr="00381AC3">
        <w:t xml:space="preserve">to contact the secretariat if they wished to </w:t>
      </w:r>
      <w:r w:rsidR="00A61A35" w:rsidRPr="00381AC3">
        <w:t xml:space="preserve">use </w:t>
      </w:r>
      <w:r w:rsidRPr="00381AC3">
        <w:t>the light show</w:t>
      </w:r>
      <w:r w:rsidR="00A61A35" w:rsidRPr="00381AC3">
        <w:t xml:space="preserve"> from the 160</w:t>
      </w:r>
      <w:r w:rsidR="00A61A35" w:rsidRPr="00381AC3">
        <w:rPr>
          <w:vertAlign w:val="superscript"/>
        </w:rPr>
        <w:t>th</w:t>
      </w:r>
      <w:r w:rsidR="00A61A35" w:rsidRPr="00381AC3">
        <w:t xml:space="preserve"> anniversary celebrations</w:t>
      </w:r>
      <w:r w:rsidRPr="00381AC3">
        <w:t xml:space="preserve"> </w:t>
      </w:r>
      <w:r w:rsidR="00A61A35" w:rsidRPr="00381AC3">
        <w:t xml:space="preserve">in </w:t>
      </w:r>
      <w:r w:rsidRPr="00381AC3">
        <w:t>their countries.</w:t>
      </w:r>
    </w:p>
    <w:p w14:paraId="018843E5" w14:textId="18581C24" w:rsidR="00A02405" w:rsidRPr="00381AC3" w:rsidRDefault="00A02405" w:rsidP="002856E7">
      <w:pPr>
        <w:jc w:val="both"/>
      </w:pPr>
      <w:r w:rsidRPr="00381AC3">
        <w:t>3.2</w:t>
      </w:r>
      <w:r w:rsidRPr="00381AC3">
        <w:tab/>
        <w:t>The councillor from Malaysia presented Document C25/76, summar</w:t>
      </w:r>
      <w:r w:rsidR="00A61A35" w:rsidRPr="00381AC3">
        <w:t>izing</w:t>
      </w:r>
      <w:r w:rsidRPr="00381AC3">
        <w:t xml:space="preserve"> the celebration of WTISD-25, </w:t>
      </w:r>
      <w:r w:rsidR="001F51D6" w:rsidRPr="00381AC3">
        <w:t xml:space="preserve">the 2025 </w:t>
      </w:r>
      <w:r w:rsidRPr="00381AC3">
        <w:t xml:space="preserve">International Girls in ICT </w:t>
      </w:r>
      <w:r w:rsidR="00A61A35" w:rsidRPr="00381AC3">
        <w:t>Day</w:t>
      </w:r>
      <w:r w:rsidR="0014245B" w:rsidRPr="00381AC3">
        <w:t xml:space="preserve"> </w:t>
      </w:r>
      <w:r w:rsidRPr="00381AC3">
        <w:t>and ITU</w:t>
      </w:r>
      <w:r w:rsidR="003C324D" w:rsidRPr="00381AC3">
        <w:t>160</w:t>
      </w:r>
      <w:r w:rsidRPr="00381AC3">
        <w:t xml:space="preserve"> in Malaysia</w:t>
      </w:r>
      <w:r w:rsidR="00A61A35" w:rsidRPr="00381AC3">
        <w:t xml:space="preserve">, which </w:t>
      </w:r>
      <w:r w:rsidRPr="00381AC3">
        <w:t>had brought together stakeholders from government, industry and international organizations to reflect on a shared commitment to ITU</w:t>
      </w:r>
      <w:r w:rsidR="00A652FC" w:rsidRPr="00381AC3">
        <w:t>'</w:t>
      </w:r>
      <w:r w:rsidRPr="00381AC3">
        <w:t xml:space="preserve">s global goals. </w:t>
      </w:r>
    </w:p>
    <w:p w14:paraId="63A15AD8" w14:textId="1CF78BE6" w:rsidR="00A02405" w:rsidRPr="00381AC3" w:rsidRDefault="00A02405" w:rsidP="002856E7">
      <w:pPr>
        <w:jc w:val="both"/>
      </w:pPr>
      <w:r w:rsidRPr="00381AC3">
        <w:t>3.3</w:t>
      </w:r>
      <w:r w:rsidRPr="00381AC3">
        <w:tab/>
        <w:t xml:space="preserve">The councillor from Saudi Arabia </w:t>
      </w:r>
      <w:r w:rsidR="00A61A35" w:rsidRPr="00381AC3">
        <w:t xml:space="preserve">introduced the multicountry contribution contained in </w:t>
      </w:r>
      <w:r w:rsidRPr="00381AC3">
        <w:t>Document C25/89</w:t>
      </w:r>
      <w:r w:rsidR="00A61A35" w:rsidRPr="00381AC3">
        <w:t xml:space="preserve"> on behalf of seven countries. It</w:t>
      </w:r>
      <w:r w:rsidRPr="00381AC3">
        <w:t xml:space="preserve"> proposed </w:t>
      </w:r>
      <w:r w:rsidR="0014245B" w:rsidRPr="00381AC3">
        <w:t xml:space="preserve">two </w:t>
      </w:r>
      <w:r w:rsidRPr="00381AC3">
        <w:t>themes for WTISD-26</w:t>
      </w:r>
      <w:r w:rsidR="00A61A35" w:rsidRPr="00381AC3">
        <w:t xml:space="preserve">: </w:t>
      </w:r>
      <w:r w:rsidR="006052CC" w:rsidRPr="00381AC3">
        <w:t>"</w:t>
      </w:r>
      <w:r w:rsidRPr="00381AC3">
        <w:t>Empowering digital trust in an AI-driven world</w:t>
      </w:r>
      <w:r w:rsidR="006052CC" w:rsidRPr="00381AC3">
        <w:t>"</w:t>
      </w:r>
      <w:r w:rsidR="00A61A35" w:rsidRPr="00381AC3">
        <w:t>, which</w:t>
      </w:r>
      <w:r w:rsidRPr="00381AC3">
        <w:t xml:space="preserve"> underlined the need for responsible AI development, transparency and ethical data governance</w:t>
      </w:r>
      <w:r w:rsidR="00A61A35" w:rsidRPr="00381AC3">
        <w:t>; and</w:t>
      </w:r>
      <w:r w:rsidRPr="00381AC3">
        <w:t xml:space="preserve"> </w:t>
      </w:r>
      <w:r w:rsidR="006052CC" w:rsidRPr="00381AC3">
        <w:t>"</w:t>
      </w:r>
      <w:r w:rsidRPr="00381AC3">
        <w:t xml:space="preserve">Space for All: </w:t>
      </w:r>
      <w:r w:rsidR="00A61A35" w:rsidRPr="00381AC3">
        <w:t xml:space="preserve">Expanding </w:t>
      </w:r>
      <w:r w:rsidRPr="00381AC3">
        <w:t>connectivity beyond borders</w:t>
      </w:r>
      <w:r w:rsidR="006052CC" w:rsidRPr="00381AC3">
        <w:t>"</w:t>
      </w:r>
      <w:r w:rsidRPr="00381AC3">
        <w:t xml:space="preserve">, </w:t>
      </w:r>
      <w:r w:rsidR="00A61A35" w:rsidRPr="00381AC3">
        <w:t xml:space="preserve">which </w:t>
      </w:r>
      <w:r w:rsidRPr="00381AC3">
        <w:t>highlighted the role of satellite and space technologies in achieving universal access and digital inclusion.</w:t>
      </w:r>
    </w:p>
    <w:p w14:paraId="4026EDB7" w14:textId="2AB0302F" w:rsidR="00A02405" w:rsidRPr="00381AC3" w:rsidRDefault="00A02405" w:rsidP="002856E7">
      <w:pPr>
        <w:jc w:val="both"/>
      </w:pPr>
      <w:r w:rsidRPr="00381AC3">
        <w:t>3.4</w:t>
      </w:r>
      <w:r w:rsidRPr="00381AC3">
        <w:tab/>
        <w:t xml:space="preserve">The councillor from Nigeria </w:t>
      </w:r>
      <w:r w:rsidR="00A61A35" w:rsidRPr="00381AC3">
        <w:t xml:space="preserve">introduced </w:t>
      </w:r>
      <w:r w:rsidRPr="00381AC3">
        <w:t>Document C25/100, propos</w:t>
      </w:r>
      <w:r w:rsidR="00A61A35" w:rsidRPr="00381AC3">
        <w:t>ing another</w:t>
      </w:r>
      <w:r w:rsidRPr="00381AC3">
        <w:t xml:space="preserve"> theme </w:t>
      </w:r>
      <w:r w:rsidR="00A61A35" w:rsidRPr="00381AC3">
        <w:t xml:space="preserve">for WTISD-26: </w:t>
      </w:r>
      <w:r w:rsidR="006052CC" w:rsidRPr="00381AC3">
        <w:t>"</w:t>
      </w:r>
      <w:r w:rsidRPr="00381AC3">
        <w:t>Digital Lifelines: Strengthening Resilience in a Connected World</w:t>
      </w:r>
      <w:r w:rsidR="006052CC" w:rsidRPr="00381AC3">
        <w:t>"</w:t>
      </w:r>
      <w:r w:rsidR="00A61A35" w:rsidRPr="00381AC3">
        <w:t xml:space="preserve">, in order to underline the importance of </w:t>
      </w:r>
      <w:r w:rsidRPr="00381AC3">
        <w:t xml:space="preserve">resilient </w:t>
      </w:r>
      <w:r w:rsidR="00A61A35" w:rsidRPr="00381AC3">
        <w:t xml:space="preserve">digital infrastructure </w:t>
      </w:r>
      <w:r w:rsidRPr="00381AC3">
        <w:t xml:space="preserve">to economic stability, inclusive growth and technological innovation. </w:t>
      </w:r>
    </w:p>
    <w:p w14:paraId="307A5D86" w14:textId="60E0F8D9" w:rsidR="00A02405" w:rsidRPr="00381AC3" w:rsidRDefault="00A02405" w:rsidP="002856E7">
      <w:pPr>
        <w:jc w:val="both"/>
      </w:pPr>
      <w:r w:rsidRPr="00381AC3">
        <w:t>3.5</w:t>
      </w:r>
      <w:r w:rsidRPr="00381AC3">
        <w:tab/>
      </w:r>
      <w:r w:rsidR="00A61A35" w:rsidRPr="00381AC3">
        <w:t>R</w:t>
      </w:r>
      <w:r w:rsidRPr="00381AC3">
        <w:t>espon</w:t>
      </w:r>
      <w:r w:rsidR="003A4CCF" w:rsidRPr="00381AC3">
        <w:t>ding</w:t>
      </w:r>
      <w:r w:rsidRPr="00381AC3">
        <w:t xml:space="preserve"> to a</w:t>
      </w:r>
      <w:r w:rsidR="00A61A35" w:rsidRPr="00381AC3">
        <w:t xml:space="preserve"> question from </w:t>
      </w:r>
      <w:r w:rsidRPr="00381AC3">
        <w:t xml:space="preserve">the Chair, the councillors from Saudi Arabia and Nigeria confirmed that, following informal consultations, it had been agreed that </w:t>
      </w:r>
      <w:r w:rsidR="003A4CCF" w:rsidRPr="00381AC3">
        <w:t>"Digital Lifelines: Strengthening Resilience in a Connected World"</w:t>
      </w:r>
      <w:r w:rsidRPr="00381AC3">
        <w:t xml:space="preserve"> would be proposed </w:t>
      </w:r>
      <w:r w:rsidR="0014245B" w:rsidRPr="00381AC3">
        <w:t xml:space="preserve">as the theme </w:t>
      </w:r>
      <w:r w:rsidRPr="00381AC3">
        <w:t>for WTISD</w:t>
      </w:r>
      <w:r w:rsidR="00A652FC" w:rsidRPr="00381AC3">
        <w:noBreakHyphen/>
      </w:r>
      <w:r w:rsidRPr="00381AC3">
        <w:t xml:space="preserve">26 and </w:t>
      </w:r>
      <w:r w:rsidR="003A4CCF" w:rsidRPr="00381AC3">
        <w:t>"Space for All: Expanding connectivity beyond borders"</w:t>
      </w:r>
      <w:r w:rsidRPr="00381AC3">
        <w:t xml:space="preserve"> </w:t>
      </w:r>
      <w:r w:rsidR="003A4CCF" w:rsidRPr="00381AC3">
        <w:t>for</w:t>
      </w:r>
      <w:r w:rsidRPr="00381AC3">
        <w:t xml:space="preserve"> WTISD</w:t>
      </w:r>
      <w:r w:rsidR="003A4CCF" w:rsidRPr="00381AC3">
        <w:t>-</w:t>
      </w:r>
      <w:r w:rsidRPr="00381AC3">
        <w:t xml:space="preserve">27. </w:t>
      </w:r>
    </w:p>
    <w:p w14:paraId="384148E8" w14:textId="00C6ED66" w:rsidR="003A4CCF" w:rsidRPr="00381AC3" w:rsidRDefault="00A02405" w:rsidP="002856E7">
      <w:pPr>
        <w:jc w:val="both"/>
      </w:pPr>
      <w:r w:rsidRPr="00381AC3">
        <w:t>3.6</w:t>
      </w:r>
      <w:r w:rsidRPr="00381AC3">
        <w:tab/>
        <w:t>Councillors expressed appreciation for the activities organized to celebrate WTISD-25 in Malaysia and their focus on strengthening international cooperation and inclusive digital transformation. Many councillors fully supported the themes proposed for WTISD</w:t>
      </w:r>
      <w:r w:rsidRPr="00381AC3">
        <w:noBreakHyphen/>
        <w:t>26 and WTISD</w:t>
      </w:r>
      <w:r w:rsidRPr="00381AC3">
        <w:noBreakHyphen/>
        <w:t>27</w:t>
      </w:r>
      <w:r w:rsidR="003A4CCF" w:rsidRPr="00381AC3">
        <w:t>: r</w:t>
      </w:r>
      <w:r w:rsidRPr="00381AC3">
        <w:t>esilience was an important theme that c</w:t>
      </w:r>
      <w:r w:rsidR="003A4CCF" w:rsidRPr="00381AC3">
        <w:t xml:space="preserve">ut across many areas, while </w:t>
      </w:r>
      <w:r w:rsidRPr="00381AC3">
        <w:t>the theme of space</w:t>
      </w:r>
      <w:r w:rsidR="003A4CCF" w:rsidRPr="00381AC3">
        <w:t xml:space="preserve"> would be particularly relevant against the backdrop of the</w:t>
      </w:r>
      <w:r w:rsidRPr="00381AC3">
        <w:t xml:space="preserve"> 2027 </w:t>
      </w:r>
      <w:r w:rsidR="00C06EEE">
        <w:t>W</w:t>
      </w:r>
      <w:r w:rsidRPr="00381AC3">
        <w:t xml:space="preserve">orld </w:t>
      </w:r>
      <w:r w:rsidR="00C06EEE">
        <w:t>R</w:t>
      </w:r>
      <w:r w:rsidRPr="00381AC3">
        <w:t xml:space="preserve">adiocommunication </w:t>
      </w:r>
      <w:r w:rsidR="00C06EEE">
        <w:t>C</w:t>
      </w:r>
      <w:r w:rsidRPr="00381AC3">
        <w:t xml:space="preserve">onference. </w:t>
      </w:r>
      <w:r w:rsidR="003A4CCF" w:rsidRPr="00381AC3">
        <w:t>One councillor cautioned, though, that "expanding connectivity beyond borders" should not undermine national sovereignty.</w:t>
      </w:r>
    </w:p>
    <w:p w14:paraId="1FDD00E2" w14:textId="0E8A9BBD" w:rsidR="00A02405" w:rsidRPr="00381AC3" w:rsidRDefault="003A4CCF" w:rsidP="002856E7">
      <w:pPr>
        <w:jc w:val="both"/>
      </w:pPr>
      <w:r w:rsidRPr="00381AC3">
        <w:t>3.7</w:t>
      </w:r>
      <w:r w:rsidRPr="00381AC3">
        <w:tab/>
        <w:t xml:space="preserve">One councillor </w:t>
      </w:r>
      <w:r w:rsidR="00A02405" w:rsidRPr="00381AC3">
        <w:t>underscor</w:t>
      </w:r>
      <w:r w:rsidRPr="00381AC3">
        <w:t>ed</w:t>
      </w:r>
      <w:r w:rsidR="00A02405" w:rsidRPr="00381AC3">
        <w:t xml:space="preserve"> the </w:t>
      </w:r>
      <w:r w:rsidRPr="00381AC3">
        <w:t>need to</w:t>
      </w:r>
      <w:r w:rsidR="00A02405" w:rsidRPr="00381AC3">
        <w:t xml:space="preserve"> build sustainable partnerships </w:t>
      </w:r>
      <w:r w:rsidRPr="00381AC3">
        <w:t xml:space="preserve">and financing </w:t>
      </w:r>
      <w:r w:rsidRPr="00534A5F">
        <w:rPr>
          <w:spacing w:val="-6"/>
        </w:rPr>
        <w:t>mechanisms to support WTISD activities</w:t>
      </w:r>
      <w:r w:rsidR="00A02405" w:rsidRPr="00534A5F">
        <w:rPr>
          <w:spacing w:val="-6"/>
        </w:rPr>
        <w:t>.</w:t>
      </w:r>
    </w:p>
    <w:p w14:paraId="14C1EDCA" w14:textId="1BABDAAE" w:rsidR="00A02405" w:rsidRPr="00381AC3" w:rsidRDefault="00A02405" w:rsidP="002856E7">
      <w:pPr>
        <w:jc w:val="both"/>
      </w:pPr>
      <w:r w:rsidRPr="00381AC3">
        <w:t>3.8</w:t>
      </w:r>
      <w:r w:rsidRPr="00381AC3">
        <w:tab/>
        <w:t xml:space="preserve">The Chair invited the Council to note </w:t>
      </w:r>
      <w:r w:rsidR="00836C78" w:rsidRPr="00381AC3">
        <w:t xml:space="preserve">the report contained in </w:t>
      </w:r>
      <w:r w:rsidRPr="00381AC3">
        <w:t xml:space="preserve">Document C25/17, further note the celebrations in Malaysia </w:t>
      </w:r>
      <w:r w:rsidR="003C324D" w:rsidRPr="00381AC3">
        <w:t>reported in Document C25/76</w:t>
      </w:r>
      <w:r w:rsidRPr="00381AC3">
        <w:t xml:space="preserve"> and a</w:t>
      </w:r>
      <w:r w:rsidR="003C324D" w:rsidRPr="00381AC3">
        <w:t>pprove</w:t>
      </w:r>
      <w:r w:rsidRPr="00381AC3">
        <w:t xml:space="preserve"> the proposed themes for WTISD-26 and WTISD-27.</w:t>
      </w:r>
    </w:p>
    <w:p w14:paraId="28E3D36B" w14:textId="727EB16E" w:rsidR="00A02405" w:rsidRPr="00381AC3" w:rsidRDefault="00A02405" w:rsidP="00534A5F">
      <w:pPr>
        <w:spacing w:before="100"/>
        <w:jc w:val="both"/>
      </w:pPr>
      <w:r w:rsidRPr="00381AC3">
        <w:t>3.9</w:t>
      </w:r>
      <w:r w:rsidRPr="00381AC3">
        <w:tab/>
        <w:t xml:space="preserve">It was so </w:t>
      </w:r>
      <w:r w:rsidRPr="00381AC3">
        <w:rPr>
          <w:b/>
          <w:bCs/>
        </w:rPr>
        <w:t>agreed</w:t>
      </w:r>
      <w:r w:rsidRPr="00381AC3">
        <w:t xml:space="preserve">. </w:t>
      </w:r>
    </w:p>
    <w:p w14:paraId="778C6BCA" w14:textId="6E929CCE" w:rsidR="00A02405" w:rsidRPr="00381AC3" w:rsidRDefault="00A02405" w:rsidP="00A02405">
      <w:pPr>
        <w:pStyle w:val="Heading1"/>
      </w:pPr>
      <w:r w:rsidRPr="00381AC3">
        <w:lastRenderedPageBreak/>
        <w:t>4</w:t>
      </w:r>
      <w:r w:rsidRPr="00381AC3">
        <w:tab/>
        <w:t xml:space="preserve">Strategy for the coordination of efforts among the three Sectors of the Union (Document </w:t>
      </w:r>
      <w:hyperlink r:id="rId30" w:history="1">
        <w:r w:rsidRPr="00381AC3">
          <w:rPr>
            <w:rStyle w:val="Hyperlink"/>
          </w:rPr>
          <w:t>C25/27</w:t>
        </w:r>
      </w:hyperlink>
      <w:r w:rsidRPr="00381AC3">
        <w:t>)</w:t>
      </w:r>
    </w:p>
    <w:p w14:paraId="61100F74" w14:textId="64D34E64" w:rsidR="00A02405" w:rsidRPr="00381AC3" w:rsidRDefault="00A02405" w:rsidP="00534A5F">
      <w:pPr>
        <w:jc w:val="both"/>
      </w:pPr>
      <w:r w:rsidRPr="00381AC3">
        <w:t>4.1</w:t>
      </w:r>
      <w:r w:rsidRPr="00381AC3">
        <w:tab/>
        <w:t xml:space="preserve">A representative of the General Secretariat </w:t>
      </w:r>
      <w:r w:rsidR="005B2504" w:rsidRPr="00381AC3">
        <w:t xml:space="preserve">introduced </w:t>
      </w:r>
      <w:r w:rsidRPr="00381AC3">
        <w:t>Document C25/27</w:t>
      </w:r>
      <w:r w:rsidR="005B2504" w:rsidRPr="00381AC3">
        <w:t>,</w:t>
      </w:r>
      <w:r w:rsidRPr="00381AC3">
        <w:t xml:space="preserve"> </w:t>
      </w:r>
      <w:r w:rsidR="005B2504" w:rsidRPr="00381AC3">
        <w:t xml:space="preserve">reporting </w:t>
      </w:r>
      <w:r w:rsidRPr="00381AC3">
        <w:t xml:space="preserve">on the strategy for coordination of efforts among the three Sectors and the General Secretariat and </w:t>
      </w:r>
      <w:r w:rsidR="005B2504" w:rsidRPr="00381AC3">
        <w:t>summarizing the activities of the Inter-Sectoral Coordination Task Force (ISC-TF) and Inter-Sector Coordination Group (ISCG)</w:t>
      </w:r>
      <w:r w:rsidRPr="00381AC3">
        <w:t>.</w:t>
      </w:r>
      <w:r w:rsidR="004A0A27" w:rsidRPr="00381AC3">
        <w:t xml:space="preserve"> </w:t>
      </w:r>
      <w:r w:rsidRPr="00381AC3">
        <w:t>The</w:t>
      </w:r>
      <w:r w:rsidR="005B2504" w:rsidRPr="00381AC3">
        <w:t xml:space="preserve"> web platform linked in</w:t>
      </w:r>
      <w:r w:rsidRPr="00381AC3">
        <w:t xml:space="preserve"> Document </w:t>
      </w:r>
      <w:hyperlink r:id="rId31" w:history="1">
        <w:r w:rsidR="006052CC" w:rsidRPr="00381AC3">
          <w:rPr>
            <w:rStyle w:val="Hyperlink"/>
          </w:rPr>
          <w:t>C25/</w:t>
        </w:r>
        <w:r w:rsidRPr="00381AC3">
          <w:rPr>
            <w:rStyle w:val="Hyperlink"/>
          </w:rPr>
          <w:t>35</w:t>
        </w:r>
      </w:hyperlink>
      <w:r w:rsidRPr="00381AC3">
        <w:t xml:space="preserve"> on the implementation of </w:t>
      </w:r>
      <w:r w:rsidR="005B2504" w:rsidRPr="00381AC3">
        <w:t>PP resolutions provided concrete results of coordination on matters of mutual interest to the Sectors and the General Secretariat</w:t>
      </w:r>
      <w:r w:rsidRPr="00381AC3">
        <w:t>.</w:t>
      </w:r>
    </w:p>
    <w:p w14:paraId="402DC4B6" w14:textId="11E2FE6C" w:rsidR="00A02405" w:rsidRPr="00381AC3" w:rsidRDefault="00A02405" w:rsidP="00534A5F">
      <w:pPr>
        <w:jc w:val="both"/>
      </w:pPr>
      <w:r w:rsidRPr="00381AC3">
        <w:t>4.2</w:t>
      </w:r>
      <w:r w:rsidRPr="00381AC3">
        <w:tab/>
      </w:r>
      <w:r w:rsidR="00A85BA8" w:rsidRPr="00381AC3">
        <w:t>The</w:t>
      </w:r>
      <w:r w:rsidRPr="00381AC3">
        <w:t xml:space="preserve"> Chair of ISCG said that </w:t>
      </w:r>
      <w:r w:rsidR="00A85BA8" w:rsidRPr="00381AC3">
        <w:t xml:space="preserve">coordinators </w:t>
      </w:r>
      <w:r w:rsidRPr="00381AC3">
        <w:t>had</w:t>
      </w:r>
      <w:r w:rsidR="00A85BA8" w:rsidRPr="00381AC3">
        <w:t xml:space="preserve"> been</w:t>
      </w:r>
      <w:r w:rsidRPr="00381AC3">
        <w:t xml:space="preserve"> appointed for </w:t>
      </w:r>
      <w:r w:rsidR="00A85BA8" w:rsidRPr="00381AC3">
        <w:t>the themes of a</w:t>
      </w:r>
      <w:r w:rsidRPr="00381AC3">
        <w:t xml:space="preserve">ccessibility, </w:t>
      </w:r>
      <w:r w:rsidR="00A85BA8" w:rsidRPr="00381AC3">
        <w:t>c</w:t>
      </w:r>
      <w:r w:rsidRPr="00381AC3">
        <w:t xml:space="preserve">limate </w:t>
      </w:r>
      <w:r w:rsidR="00A85BA8" w:rsidRPr="00381AC3">
        <w:t>c</w:t>
      </w:r>
      <w:r w:rsidRPr="00381AC3">
        <w:t xml:space="preserve">hange, </w:t>
      </w:r>
      <w:r w:rsidR="00A85BA8" w:rsidRPr="00381AC3">
        <w:t>r</w:t>
      </w:r>
      <w:r w:rsidRPr="00381AC3">
        <w:t xml:space="preserve">emote </w:t>
      </w:r>
      <w:r w:rsidR="00A85BA8" w:rsidRPr="00381AC3">
        <w:t>p</w:t>
      </w:r>
      <w:r w:rsidRPr="00381AC3">
        <w:t xml:space="preserve">articipation, </w:t>
      </w:r>
      <w:r w:rsidR="00A85BA8" w:rsidRPr="00381AC3">
        <w:t>s</w:t>
      </w:r>
      <w:r w:rsidRPr="00381AC3">
        <w:t xml:space="preserve">ustainable </w:t>
      </w:r>
      <w:r w:rsidR="00A85BA8" w:rsidRPr="00381AC3">
        <w:t>d</w:t>
      </w:r>
      <w:r w:rsidRPr="00381AC3">
        <w:t xml:space="preserve">igital </w:t>
      </w:r>
      <w:r w:rsidR="00A85BA8" w:rsidRPr="00381AC3">
        <w:t>t</w:t>
      </w:r>
      <w:r w:rsidRPr="00381AC3">
        <w:t xml:space="preserve">ransformation, and </w:t>
      </w:r>
      <w:r w:rsidR="00A85BA8" w:rsidRPr="00381AC3">
        <w:t>i</w:t>
      </w:r>
      <w:r w:rsidRPr="00381AC3">
        <w:t xml:space="preserve">ndustry </w:t>
      </w:r>
      <w:r w:rsidR="00A85BA8" w:rsidRPr="00381AC3">
        <w:t>e</w:t>
      </w:r>
      <w:r w:rsidRPr="00381AC3">
        <w:t xml:space="preserve">ngagement. </w:t>
      </w:r>
      <w:r w:rsidR="00A85BA8" w:rsidRPr="00381AC3">
        <w:t xml:space="preserve">ISCG had posted the results of its mapping exercise on its website in </w:t>
      </w:r>
      <w:r w:rsidR="00A85BA8" w:rsidRPr="00534A5F">
        <w:rPr>
          <w:spacing w:val="-2"/>
        </w:rPr>
        <w:t>order to facilitate</w:t>
      </w:r>
      <w:r w:rsidRPr="00534A5F">
        <w:rPr>
          <w:spacing w:val="-2"/>
        </w:rPr>
        <w:t xml:space="preserve"> coordination and avoid overlap </w:t>
      </w:r>
      <w:r w:rsidR="00A85BA8" w:rsidRPr="00534A5F">
        <w:rPr>
          <w:spacing w:val="-2"/>
        </w:rPr>
        <w:t xml:space="preserve">in </w:t>
      </w:r>
      <w:r w:rsidRPr="00534A5F">
        <w:rPr>
          <w:spacing w:val="-2"/>
        </w:rPr>
        <w:t xml:space="preserve">activities and studies between </w:t>
      </w:r>
      <w:r w:rsidR="00A85BA8" w:rsidRPr="00534A5F">
        <w:rPr>
          <w:spacing w:val="-2"/>
        </w:rPr>
        <w:t>the Sectors</w:t>
      </w:r>
      <w:r w:rsidRPr="00534A5F">
        <w:rPr>
          <w:spacing w:val="-2"/>
        </w:rPr>
        <w:t>.</w:t>
      </w:r>
      <w:r w:rsidRPr="00381AC3">
        <w:t xml:space="preserve"> </w:t>
      </w:r>
    </w:p>
    <w:p w14:paraId="53EB333D" w14:textId="79B89BB5" w:rsidR="00A02405" w:rsidRPr="00381AC3" w:rsidRDefault="00A02405" w:rsidP="00534A5F">
      <w:pPr>
        <w:jc w:val="both"/>
      </w:pPr>
      <w:r w:rsidRPr="00381AC3">
        <w:t>4.3</w:t>
      </w:r>
      <w:r w:rsidRPr="00381AC3">
        <w:tab/>
        <w:t xml:space="preserve">Councillors welcomed </w:t>
      </w:r>
      <w:r w:rsidR="00AD6DFF" w:rsidRPr="00381AC3">
        <w:t xml:space="preserve">progress in the </w:t>
      </w:r>
      <w:r w:rsidRPr="00381AC3">
        <w:t>strategy to strengthen coordination between the three Sectors and the General Secretariat</w:t>
      </w:r>
      <w:r w:rsidR="00AD6DFF" w:rsidRPr="00381AC3">
        <w:t xml:space="preserve">, </w:t>
      </w:r>
      <w:r w:rsidR="00644867" w:rsidRPr="00381AC3">
        <w:t>which would offer great value on</w:t>
      </w:r>
      <w:r w:rsidR="00AD6DFF" w:rsidRPr="00381AC3">
        <w:t xml:space="preserve"> the identified </w:t>
      </w:r>
      <w:r w:rsidRPr="00381AC3">
        <w:t>cross-cutting themes.</w:t>
      </w:r>
      <w:r w:rsidR="00AD6DFF" w:rsidRPr="00381AC3">
        <w:t xml:space="preserve"> The mapping work </w:t>
      </w:r>
      <w:r w:rsidR="0030558E" w:rsidRPr="00381AC3">
        <w:t>performed</w:t>
      </w:r>
      <w:r w:rsidR="00AD6DFF" w:rsidRPr="00381AC3">
        <w:t xml:space="preserve"> by ISCG and the PP resolution platform </w:t>
      </w:r>
      <w:r w:rsidRPr="00381AC3">
        <w:t xml:space="preserve">were commended. </w:t>
      </w:r>
      <w:r w:rsidR="00AD6DFF" w:rsidRPr="00381AC3">
        <w:t xml:space="preserve">Several councillors said, however, that it was not clear how </w:t>
      </w:r>
      <w:r w:rsidR="00180E1E" w:rsidRPr="00381AC3">
        <w:t>those</w:t>
      </w:r>
      <w:r w:rsidR="00AD6DFF" w:rsidRPr="00381AC3">
        <w:t xml:space="preserve"> and other efficiency measures were contributing to</w:t>
      </w:r>
      <w:r w:rsidRPr="00381AC3">
        <w:t xml:space="preserve"> </w:t>
      </w:r>
      <w:r w:rsidR="00AD6DFF" w:rsidRPr="00381AC3">
        <w:t xml:space="preserve">avoiding </w:t>
      </w:r>
      <w:r w:rsidRPr="00381AC3">
        <w:t>duplication</w:t>
      </w:r>
      <w:r w:rsidR="00180E1E" w:rsidRPr="00381AC3">
        <w:t xml:space="preserve"> in practice</w:t>
      </w:r>
      <w:r w:rsidRPr="00381AC3">
        <w:t>.</w:t>
      </w:r>
      <w:r w:rsidR="00AD6DFF" w:rsidRPr="00381AC3">
        <w:t xml:space="preserve"> More information in that regard and </w:t>
      </w:r>
      <w:r w:rsidR="00644867" w:rsidRPr="00381AC3">
        <w:t xml:space="preserve">suitable </w:t>
      </w:r>
      <w:r w:rsidR="00AD6DFF" w:rsidRPr="00381AC3">
        <w:t>indicators should be included in the report.</w:t>
      </w:r>
      <w:r w:rsidRPr="00381AC3">
        <w:t xml:space="preserve"> </w:t>
      </w:r>
    </w:p>
    <w:p w14:paraId="4E1B1FA0" w14:textId="249281E9" w:rsidR="00A02405" w:rsidRPr="00381AC3" w:rsidRDefault="00A02405" w:rsidP="00534A5F">
      <w:pPr>
        <w:jc w:val="both"/>
      </w:pPr>
      <w:r w:rsidRPr="00381AC3">
        <w:t>4.</w:t>
      </w:r>
      <w:r w:rsidR="0068338A" w:rsidRPr="00381AC3">
        <w:t>4</w:t>
      </w:r>
      <w:r w:rsidRPr="00381AC3">
        <w:tab/>
        <w:t xml:space="preserve">A representative of the General Secretariat </w:t>
      </w:r>
      <w:r w:rsidR="00C07D95" w:rsidRPr="00381AC3">
        <w:t>said that</w:t>
      </w:r>
      <w:r w:rsidRPr="00381AC3">
        <w:t xml:space="preserve"> the </w:t>
      </w:r>
      <w:r w:rsidR="00644867" w:rsidRPr="00381AC3">
        <w:t>Coordination Committee (CoCo) had approved the inter-Sector coordination strategy and senior management had been involved in the selection of the cross-cutting themes and recommendation of coordinators for them. ISC-TF, chaired by the Deputy Secretary-General, reported periodically to CoCo and provided inputs to ISCG</w:t>
      </w:r>
      <w:r w:rsidR="004E688A" w:rsidRPr="00381AC3">
        <w:t xml:space="preserve"> meetings</w:t>
      </w:r>
      <w:r w:rsidR="00644867" w:rsidRPr="00381AC3">
        <w:t xml:space="preserve">. </w:t>
      </w:r>
      <w:r w:rsidR="00B37EAB" w:rsidRPr="00381AC3">
        <w:t>Measures to e</w:t>
      </w:r>
      <w:r w:rsidR="00644867" w:rsidRPr="00381AC3">
        <w:t>nhanc</w:t>
      </w:r>
      <w:r w:rsidR="00B37EAB" w:rsidRPr="00381AC3">
        <w:t>e</w:t>
      </w:r>
      <w:r w:rsidR="00644867" w:rsidRPr="00381AC3">
        <w:t xml:space="preserve"> coordination and reduc</w:t>
      </w:r>
      <w:r w:rsidR="00B37EAB" w:rsidRPr="00381AC3">
        <w:t>e</w:t>
      </w:r>
      <w:r w:rsidR="00644867" w:rsidRPr="00381AC3">
        <w:t xml:space="preserve"> duplication </w:t>
      </w:r>
      <w:r w:rsidR="00B37EAB" w:rsidRPr="00381AC3">
        <w:t>included a shared secretariat for ISC-TF and ISCG and common scheduling, tools and publications</w:t>
      </w:r>
      <w:r w:rsidR="00644867" w:rsidRPr="00381AC3">
        <w:t>.</w:t>
      </w:r>
      <w:r w:rsidR="00B37EAB" w:rsidRPr="00381AC3">
        <w:t xml:space="preserve"> For example, ISCG would often meet in conjunction with a Sector advisory group.</w:t>
      </w:r>
      <w:r w:rsidR="00644867" w:rsidRPr="00381AC3">
        <w:t xml:space="preserve"> </w:t>
      </w:r>
      <w:r w:rsidR="00B37EAB" w:rsidRPr="00381AC3">
        <w:t xml:space="preserve">While </w:t>
      </w:r>
      <w:r w:rsidRPr="00381AC3">
        <w:t>ISC-TF met every second month</w:t>
      </w:r>
      <w:r w:rsidR="00B37EAB" w:rsidRPr="00381AC3">
        <w:t>, the thematic groups met monthly. Future reports would include indicators to reflect the impact of measures.</w:t>
      </w:r>
      <w:r w:rsidRPr="00381AC3">
        <w:t xml:space="preserve"> </w:t>
      </w:r>
    </w:p>
    <w:p w14:paraId="01991240" w14:textId="025D1C97" w:rsidR="00A02405" w:rsidRPr="00381AC3" w:rsidRDefault="00A02405" w:rsidP="00534A5F">
      <w:pPr>
        <w:jc w:val="both"/>
      </w:pPr>
      <w:r w:rsidRPr="00381AC3">
        <w:t>4.</w:t>
      </w:r>
      <w:r w:rsidR="0068338A" w:rsidRPr="00381AC3">
        <w:t>5</w:t>
      </w:r>
      <w:r w:rsidRPr="00381AC3">
        <w:tab/>
      </w:r>
      <w:r w:rsidR="00773DFC" w:rsidRPr="00381AC3">
        <w:t>T</w:t>
      </w:r>
      <w:r w:rsidRPr="00381AC3">
        <w:t xml:space="preserve">he </w:t>
      </w:r>
      <w:r w:rsidR="00773DFC" w:rsidRPr="00381AC3">
        <w:t xml:space="preserve">Chair of </w:t>
      </w:r>
      <w:r w:rsidRPr="00381AC3">
        <w:t xml:space="preserve">ISCG said that </w:t>
      </w:r>
      <w:r w:rsidR="00773DFC" w:rsidRPr="00381AC3">
        <w:t xml:space="preserve">the group </w:t>
      </w:r>
      <w:r w:rsidRPr="00381AC3">
        <w:t>usually met three times per year</w:t>
      </w:r>
      <w:r w:rsidR="009E0271" w:rsidRPr="00381AC3">
        <w:t xml:space="preserve">, </w:t>
      </w:r>
      <w:r w:rsidRPr="00381AC3">
        <w:t xml:space="preserve">where possible </w:t>
      </w:r>
      <w:r w:rsidR="00773DFC" w:rsidRPr="00381AC3">
        <w:t>in conjunction with a</w:t>
      </w:r>
      <w:r w:rsidRPr="00381AC3">
        <w:t xml:space="preserve"> Sector advisory group</w:t>
      </w:r>
      <w:r w:rsidR="00773DFC" w:rsidRPr="00381AC3">
        <w:t xml:space="preserve"> meeting to facilitate participation of its members</w:t>
      </w:r>
      <w:r w:rsidR="009E0271" w:rsidRPr="00381AC3">
        <w:t>. ISC-TF reported to each ISCG meeting. Improvements had been made to the ISCG website to ensure ease of access to information and outputs</w:t>
      </w:r>
      <w:r w:rsidRPr="00381AC3">
        <w:t xml:space="preserve">. </w:t>
      </w:r>
    </w:p>
    <w:p w14:paraId="685DC703" w14:textId="4501F505" w:rsidR="00A02405" w:rsidRPr="00381AC3" w:rsidRDefault="00A02405" w:rsidP="00534A5F">
      <w:pPr>
        <w:jc w:val="both"/>
      </w:pPr>
      <w:r w:rsidRPr="00381AC3">
        <w:t>4.</w:t>
      </w:r>
      <w:r w:rsidR="0068338A" w:rsidRPr="00381AC3">
        <w:t>6</w:t>
      </w:r>
      <w:r w:rsidRPr="00381AC3">
        <w:tab/>
        <w:t>The Deputy to the Director of TSB said that</w:t>
      </w:r>
      <w:r w:rsidR="00665949" w:rsidRPr="00381AC3">
        <w:t xml:space="preserve"> ITU-T and ITU-R were fully aligned on arrangements to </w:t>
      </w:r>
      <w:r w:rsidRPr="00381AC3">
        <w:t>avoid overlap</w:t>
      </w:r>
      <w:r w:rsidR="00F46FE1" w:rsidRPr="00381AC3">
        <w:t xml:space="preserve"> in work</w:t>
      </w:r>
      <w:r w:rsidR="00665949" w:rsidRPr="00381AC3">
        <w:t xml:space="preserve">. For example, when a contribution fell across the mandate of more than one group, </w:t>
      </w:r>
      <w:r w:rsidR="004E688A" w:rsidRPr="00381AC3">
        <w:t xml:space="preserve">the study groups concerned communicated directly rather than relying on liaison statements </w:t>
      </w:r>
      <w:r w:rsidR="00665949" w:rsidRPr="00381AC3">
        <w:t>to</w:t>
      </w:r>
      <w:r w:rsidR="004E688A" w:rsidRPr="00381AC3">
        <w:t xml:space="preserve"> the advisory groups</w:t>
      </w:r>
      <w:r w:rsidR="00665949" w:rsidRPr="00381AC3">
        <w:t>, and then informed the member accordingly</w:t>
      </w:r>
      <w:r w:rsidR="004E688A" w:rsidRPr="00381AC3">
        <w:t xml:space="preserve">. </w:t>
      </w:r>
      <w:r w:rsidR="00665949" w:rsidRPr="00381AC3">
        <w:t>Communication between the</w:t>
      </w:r>
      <w:r w:rsidRPr="00381AC3">
        <w:t xml:space="preserve"> Radiocommunication Advisory Group (RAG) and the Telecommunication Standardization Advisory Group (TSAG) </w:t>
      </w:r>
      <w:r w:rsidR="00665949" w:rsidRPr="00381AC3">
        <w:t xml:space="preserve">was also made on simple, direct channels. </w:t>
      </w:r>
      <w:r w:rsidR="00F46FE1" w:rsidRPr="00381AC3">
        <w:t>Also</w:t>
      </w:r>
      <w:r w:rsidRPr="00381AC3">
        <w:t xml:space="preserve">, it had been agreed </w:t>
      </w:r>
      <w:r w:rsidR="00F46FE1" w:rsidRPr="00381AC3">
        <w:t xml:space="preserve">by RAG and TSAG </w:t>
      </w:r>
      <w:r w:rsidRPr="00381AC3">
        <w:t xml:space="preserve">that matters concerning satellite orbits and spectrum resources fell within the purview of ITU-R </w:t>
      </w:r>
      <w:r w:rsidR="00F46FE1" w:rsidRPr="00381AC3">
        <w:t>study group</w:t>
      </w:r>
      <w:r w:rsidR="00836C78" w:rsidRPr="00381AC3">
        <w:t>s</w:t>
      </w:r>
      <w:r w:rsidR="00F46FE1" w:rsidRPr="00381AC3">
        <w:t xml:space="preserve">, while </w:t>
      </w:r>
      <w:r w:rsidRPr="00381AC3">
        <w:t xml:space="preserve">economic </w:t>
      </w:r>
      <w:r w:rsidR="00F46FE1" w:rsidRPr="00381AC3">
        <w:t xml:space="preserve">and policy </w:t>
      </w:r>
      <w:r w:rsidRPr="00381AC3">
        <w:t>issues</w:t>
      </w:r>
      <w:r w:rsidR="00F46FE1" w:rsidRPr="00381AC3">
        <w:t xml:space="preserve"> that related to satellite use</w:t>
      </w:r>
      <w:r w:rsidRPr="00381AC3">
        <w:t xml:space="preserve"> were dealt with by </w:t>
      </w:r>
      <w:r w:rsidR="00F46FE1" w:rsidRPr="00381AC3">
        <w:t xml:space="preserve">ITU-T </w:t>
      </w:r>
      <w:r w:rsidRPr="00381AC3">
        <w:t xml:space="preserve">Study Group 3. </w:t>
      </w:r>
    </w:p>
    <w:p w14:paraId="70A8ACE8" w14:textId="31F30129" w:rsidR="00A02405" w:rsidRPr="00381AC3" w:rsidRDefault="00A02405" w:rsidP="00534A5F">
      <w:pPr>
        <w:jc w:val="both"/>
      </w:pPr>
      <w:r w:rsidRPr="00381AC3">
        <w:t>4.</w:t>
      </w:r>
      <w:r w:rsidR="0068338A" w:rsidRPr="00381AC3">
        <w:t>7</w:t>
      </w:r>
      <w:r w:rsidRPr="00381AC3">
        <w:tab/>
        <w:t xml:space="preserve">The Director of </w:t>
      </w:r>
      <w:r w:rsidR="00836C78" w:rsidRPr="00381AC3">
        <w:t xml:space="preserve">the Radiocommunication </w:t>
      </w:r>
      <w:r w:rsidRPr="00381AC3">
        <w:t>B</w:t>
      </w:r>
      <w:r w:rsidR="00836C78" w:rsidRPr="00381AC3">
        <w:t>ureau</w:t>
      </w:r>
      <w:r w:rsidR="00CC3B9A" w:rsidRPr="00381AC3">
        <w:t xml:space="preserve"> (BR)</w:t>
      </w:r>
      <w:r w:rsidRPr="00381AC3">
        <w:t xml:space="preserve"> </w:t>
      </w:r>
      <w:r w:rsidR="00A011A3" w:rsidRPr="00381AC3">
        <w:t>said that</w:t>
      </w:r>
      <w:r w:rsidR="00773DFC" w:rsidRPr="00381AC3">
        <w:t xml:space="preserve"> it was also important that Member States ensure coordination </w:t>
      </w:r>
      <w:r w:rsidR="00836C78" w:rsidRPr="00381AC3">
        <w:t>among</w:t>
      </w:r>
      <w:r w:rsidR="00773DFC" w:rsidRPr="00381AC3">
        <w:t xml:space="preserve"> their representatives involved in cross-cutting work of the different Sectors</w:t>
      </w:r>
      <w:r w:rsidR="00A652FC" w:rsidRPr="00381AC3">
        <w:t>'</w:t>
      </w:r>
      <w:r w:rsidR="00773DFC" w:rsidRPr="00381AC3">
        <w:t xml:space="preserve"> study groups</w:t>
      </w:r>
      <w:r w:rsidRPr="00381AC3">
        <w:t xml:space="preserve">. </w:t>
      </w:r>
    </w:p>
    <w:p w14:paraId="61AC2A6A" w14:textId="7FD14432" w:rsidR="00A02405" w:rsidRPr="00381AC3" w:rsidRDefault="00A02405" w:rsidP="00534A5F">
      <w:pPr>
        <w:jc w:val="both"/>
      </w:pPr>
      <w:r w:rsidRPr="00381AC3">
        <w:t>4.</w:t>
      </w:r>
      <w:r w:rsidR="0068338A" w:rsidRPr="00381AC3">
        <w:t>8</w:t>
      </w:r>
      <w:r w:rsidRPr="00381AC3">
        <w:tab/>
        <w:t xml:space="preserve">The Council </w:t>
      </w:r>
      <w:r w:rsidRPr="00381AC3">
        <w:rPr>
          <w:b/>
          <w:bCs/>
        </w:rPr>
        <w:t xml:space="preserve">noted </w:t>
      </w:r>
      <w:r w:rsidRPr="00381AC3">
        <w:t xml:space="preserve">the report contained in Document C25/27. </w:t>
      </w:r>
    </w:p>
    <w:p w14:paraId="24E4052B" w14:textId="204B0802" w:rsidR="00A02405" w:rsidRPr="00381AC3" w:rsidRDefault="00A02405" w:rsidP="00A02405">
      <w:pPr>
        <w:pStyle w:val="Heading1"/>
      </w:pPr>
      <w:r w:rsidRPr="00381AC3">
        <w:lastRenderedPageBreak/>
        <w:t>5</w:t>
      </w:r>
      <w:r w:rsidRPr="00381AC3">
        <w:tab/>
        <w:t xml:space="preserve">Report by the Chair of the Council Working Group on </w:t>
      </w:r>
      <w:r w:rsidR="00E077C5" w:rsidRPr="00381AC3">
        <w:t>the use of the six official languages of the Union</w:t>
      </w:r>
      <w:r w:rsidRPr="00381AC3">
        <w:t xml:space="preserve"> (Documents </w:t>
      </w:r>
      <w:hyperlink r:id="rId32" w:history="1">
        <w:r w:rsidRPr="00381AC3">
          <w:rPr>
            <w:rStyle w:val="Hyperlink"/>
          </w:rPr>
          <w:t>C25/12</w:t>
        </w:r>
      </w:hyperlink>
      <w:r w:rsidR="005033AB">
        <w:t>,</w:t>
      </w:r>
      <w:r w:rsidRPr="00381AC3">
        <w:t xml:space="preserve"> </w:t>
      </w:r>
      <w:hyperlink r:id="rId33" w:history="1">
        <w:r w:rsidRPr="00381AC3">
          <w:rPr>
            <w:rStyle w:val="Hyperlink"/>
          </w:rPr>
          <w:t>C25/78</w:t>
        </w:r>
      </w:hyperlink>
      <w:r w:rsidRPr="00381AC3">
        <w:t>)</w:t>
      </w:r>
    </w:p>
    <w:p w14:paraId="5AA7023C" w14:textId="711AE698" w:rsidR="00A02405" w:rsidRPr="00381AC3" w:rsidRDefault="00A02405" w:rsidP="00534A5F">
      <w:pPr>
        <w:jc w:val="both"/>
      </w:pPr>
      <w:r w:rsidRPr="00381AC3">
        <w:t>5.1</w:t>
      </w:r>
      <w:r w:rsidRPr="00381AC3">
        <w:tab/>
        <w:t xml:space="preserve">The </w:t>
      </w:r>
      <w:r w:rsidR="00002AB8" w:rsidRPr="00381AC3">
        <w:t>Vice-</w:t>
      </w:r>
      <w:r w:rsidRPr="00381AC3">
        <w:t xml:space="preserve">Chair of the Council Working Group on </w:t>
      </w:r>
      <w:r w:rsidR="009274D2" w:rsidRPr="00381AC3">
        <w:t>the use of the six official languages of the Union</w:t>
      </w:r>
      <w:r w:rsidRPr="00381AC3">
        <w:t xml:space="preserve"> (CWG-</w:t>
      </w:r>
      <w:r w:rsidR="006052CC" w:rsidRPr="00381AC3">
        <w:t>LANG</w:t>
      </w:r>
      <w:r w:rsidRPr="00381AC3">
        <w:t xml:space="preserve">) </w:t>
      </w:r>
      <w:r w:rsidR="00E077C5" w:rsidRPr="00381AC3">
        <w:t xml:space="preserve">introduced </w:t>
      </w:r>
      <w:r w:rsidRPr="00381AC3">
        <w:t>Document C25/12, summariz</w:t>
      </w:r>
      <w:r w:rsidR="00271735" w:rsidRPr="00381AC3">
        <w:t>ing</w:t>
      </w:r>
      <w:r w:rsidRPr="00381AC3">
        <w:t xml:space="preserve"> the </w:t>
      </w:r>
      <w:r w:rsidR="00271735" w:rsidRPr="00381AC3">
        <w:t xml:space="preserve">outcomes </w:t>
      </w:r>
      <w:r w:rsidRPr="00381AC3">
        <w:t>of the 16</w:t>
      </w:r>
      <w:r w:rsidRPr="00381AC3">
        <w:rPr>
          <w:vertAlign w:val="superscript"/>
        </w:rPr>
        <w:t>th</w:t>
      </w:r>
      <w:r w:rsidRPr="00381AC3">
        <w:t xml:space="preserve"> meeting of CWG-LANG</w:t>
      </w:r>
      <w:r w:rsidR="00271735" w:rsidRPr="00381AC3">
        <w:t xml:space="preserve">, which had </w:t>
      </w:r>
      <w:r w:rsidRPr="00381AC3">
        <w:t>analys</w:t>
      </w:r>
      <w:r w:rsidR="00271735" w:rsidRPr="00381AC3">
        <w:t>ed</w:t>
      </w:r>
      <w:r w:rsidRPr="00381AC3">
        <w:t xml:space="preserve"> translation and interpretation</w:t>
      </w:r>
      <w:r w:rsidR="00271735" w:rsidRPr="00381AC3">
        <w:t xml:space="preserve"> budgets and volumes</w:t>
      </w:r>
      <w:r w:rsidRPr="00381AC3">
        <w:t xml:space="preserve"> </w:t>
      </w:r>
      <w:r w:rsidR="00271735" w:rsidRPr="00381AC3">
        <w:t xml:space="preserve">for </w:t>
      </w:r>
      <w:r w:rsidRPr="00381AC3">
        <w:t>the six official languages f</w:t>
      </w:r>
      <w:r w:rsidR="00271735" w:rsidRPr="00381AC3">
        <w:t>rom</w:t>
      </w:r>
      <w:r w:rsidRPr="00381AC3">
        <w:t xml:space="preserve"> 2019</w:t>
      </w:r>
      <w:r w:rsidR="00271735" w:rsidRPr="00381AC3">
        <w:t xml:space="preserve"> to </w:t>
      </w:r>
      <w:r w:rsidRPr="00381AC3">
        <w:t xml:space="preserve">2024. </w:t>
      </w:r>
      <w:r w:rsidR="00347B03" w:rsidRPr="00381AC3">
        <w:t>Sh</w:t>
      </w:r>
      <w:r w:rsidR="00931CD2" w:rsidRPr="00381AC3">
        <w:t xml:space="preserve">e noted that </w:t>
      </w:r>
      <w:r w:rsidRPr="00381AC3">
        <w:t xml:space="preserve">the six official languages </w:t>
      </w:r>
      <w:r w:rsidR="00931CD2" w:rsidRPr="00381AC3">
        <w:t xml:space="preserve">had been </w:t>
      </w:r>
      <w:r w:rsidRPr="00381AC3">
        <w:t>treated on an equal footing</w:t>
      </w:r>
      <w:r w:rsidR="00931CD2" w:rsidRPr="00381AC3">
        <w:t xml:space="preserve"> and highlighted efficiency gains driven by u</w:t>
      </w:r>
      <w:r w:rsidR="00271735" w:rsidRPr="00381AC3">
        <w:t xml:space="preserve">se of new technologies. </w:t>
      </w:r>
      <w:r w:rsidRPr="00381AC3">
        <w:t xml:space="preserve">Document </w:t>
      </w:r>
      <w:hyperlink r:id="rId34" w:history="1">
        <w:r w:rsidR="00381AC3" w:rsidRPr="00381AC3">
          <w:rPr>
            <w:rStyle w:val="Hyperlink"/>
          </w:rPr>
          <w:t>CWG</w:t>
        </w:r>
        <w:r w:rsidR="00381AC3" w:rsidRPr="00381AC3">
          <w:rPr>
            <w:rStyle w:val="Hyperlink"/>
          </w:rPr>
          <w:noBreakHyphen/>
          <w:t>LANG-16/3</w:t>
        </w:r>
      </w:hyperlink>
      <w:r w:rsidR="00271735" w:rsidRPr="00381AC3">
        <w:t xml:space="preserve"> contained information on ITU Translate, the in-house machine translation tool</w:t>
      </w:r>
      <w:r w:rsidRPr="00381AC3">
        <w:t xml:space="preserve">. </w:t>
      </w:r>
      <w:r w:rsidR="00271735" w:rsidRPr="00381AC3">
        <w:t xml:space="preserve">AI-powered interpretation, trialled during the meeting, had proved satisfactory and would be trialled at other ITU meetings. </w:t>
      </w:r>
      <w:r w:rsidRPr="00381AC3">
        <w:t xml:space="preserve">Document </w:t>
      </w:r>
      <w:hyperlink r:id="rId35" w:history="1">
        <w:r w:rsidRPr="00381AC3">
          <w:rPr>
            <w:rStyle w:val="Hyperlink"/>
          </w:rPr>
          <w:t>C25/INF/7</w:t>
        </w:r>
      </w:hyperlink>
      <w:r w:rsidR="00271735" w:rsidRPr="00381AC3">
        <w:t xml:space="preserve"> reported on the challenges and opportunities of A</w:t>
      </w:r>
      <w:r w:rsidR="00AA53E3" w:rsidRPr="00381AC3">
        <w:t>I-powered interpretation</w:t>
      </w:r>
      <w:r w:rsidRPr="00381AC3">
        <w:t>.</w:t>
      </w:r>
      <w:r w:rsidR="004A0A27" w:rsidRPr="00381AC3">
        <w:t xml:space="preserve"> </w:t>
      </w:r>
      <w:r w:rsidR="00931CD2" w:rsidRPr="00381AC3">
        <w:t>Given that</w:t>
      </w:r>
      <w:r w:rsidR="00AA53E3" w:rsidRPr="00381AC3">
        <w:t xml:space="preserve"> progress, the secretariat and Sector advisory groups would review the measures and principles for interpretation and translation at ITU</w:t>
      </w:r>
      <w:r w:rsidRPr="00381AC3">
        <w:t>.</w:t>
      </w:r>
    </w:p>
    <w:p w14:paraId="540D99CD" w14:textId="0BEAF5D6" w:rsidR="00A02405" w:rsidRPr="00381AC3" w:rsidRDefault="00A02405" w:rsidP="00534A5F">
      <w:pPr>
        <w:jc w:val="both"/>
      </w:pPr>
      <w:r w:rsidRPr="00381AC3">
        <w:t>5.2</w:t>
      </w:r>
      <w:r w:rsidRPr="00381AC3">
        <w:tab/>
        <w:t>Councillors expressed support for efforts to strengthen</w:t>
      </w:r>
      <w:r w:rsidR="00AA53E3" w:rsidRPr="00381AC3">
        <w:t xml:space="preserve"> the Union</w:t>
      </w:r>
      <w:r w:rsidR="00A652FC" w:rsidRPr="00381AC3">
        <w:t>'</w:t>
      </w:r>
      <w:r w:rsidR="00AA53E3" w:rsidRPr="00381AC3">
        <w:t>s</w:t>
      </w:r>
      <w:r w:rsidRPr="00381AC3">
        <w:t xml:space="preserve"> language services across the Union</w:t>
      </w:r>
      <w:r w:rsidR="00931CD2" w:rsidRPr="00381AC3">
        <w:t xml:space="preserve"> and the use</w:t>
      </w:r>
      <w:r w:rsidRPr="00381AC3">
        <w:t xml:space="preserve"> of </w:t>
      </w:r>
      <w:r w:rsidR="00931CD2" w:rsidRPr="00381AC3">
        <w:t>ITU Translate, AI-powered interpretation and other tools to</w:t>
      </w:r>
      <w:r w:rsidRPr="00381AC3">
        <w:t xml:space="preserve"> enhance</w:t>
      </w:r>
      <w:r w:rsidR="00AA53E3" w:rsidRPr="00381AC3">
        <w:t xml:space="preserve"> </w:t>
      </w:r>
      <w:r w:rsidRPr="00381AC3">
        <w:t>cost</w:t>
      </w:r>
      <w:r w:rsidRPr="00381AC3">
        <w:noBreakHyphen/>
        <w:t xml:space="preserve">effectiveness </w:t>
      </w:r>
      <w:r w:rsidR="00AA53E3" w:rsidRPr="00381AC3">
        <w:t>and</w:t>
      </w:r>
      <w:r w:rsidRPr="00381AC3">
        <w:t xml:space="preserve"> access to ITU resources. </w:t>
      </w:r>
      <w:r w:rsidR="00AA53E3" w:rsidRPr="00381AC3">
        <w:t>L</w:t>
      </w:r>
      <w:r w:rsidRPr="00381AC3">
        <w:t xml:space="preserve">inguistic inclusivity, especially for </w:t>
      </w:r>
      <w:r w:rsidR="00931CD2" w:rsidRPr="00381AC3">
        <w:t>those</w:t>
      </w:r>
      <w:r w:rsidRPr="00381AC3">
        <w:t xml:space="preserve"> whose nati</w:t>
      </w:r>
      <w:r w:rsidR="00AA53E3" w:rsidRPr="00381AC3">
        <w:t>ve language was not a</w:t>
      </w:r>
      <w:r w:rsidR="00931CD2" w:rsidRPr="00381AC3">
        <w:t>mong ITU</w:t>
      </w:r>
      <w:r w:rsidR="00A652FC" w:rsidRPr="00381AC3">
        <w:t>'</w:t>
      </w:r>
      <w:r w:rsidR="00931CD2" w:rsidRPr="00381AC3">
        <w:t>s six</w:t>
      </w:r>
      <w:r w:rsidRPr="00381AC3">
        <w:t xml:space="preserve"> official language</w:t>
      </w:r>
      <w:r w:rsidR="00931CD2" w:rsidRPr="00381AC3">
        <w:t>s</w:t>
      </w:r>
      <w:r w:rsidR="00AA53E3" w:rsidRPr="00381AC3">
        <w:t>, was</w:t>
      </w:r>
      <w:r w:rsidRPr="00381AC3">
        <w:t xml:space="preserve"> essential for ensur</w:t>
      </w:r>
      <w:r w:rsidR="00AA53E3" w:rsidRPr="00381AC3">
        <w:t>ing</w:t>
      </w:r>
      <w:r w:rsidRPr="00381AC3">
        <w:t xml:space="preserve"> that all Member States could engage effectively in ITU</w:t>
      </w:r>
      <w:r w:rsidR="00A652FC" w:rsidRPr="00381AC3">
        <w:t>'</w:t>
      </w:r>
      <w:r w:rsidRPr="00381AC3">
        <w:t xml:space="preserve">s work. </w:t>
      </w:r>
    </w:p>
    <w:p w14:paraId="28D23DCB" w14:textId="21C1CF6E" w:rsidR="00A02405" w:rsidRPr="00381AC3" w:rsidRDefault="00A02405" w:rsidP="00534A5F">
      <w:pPr>
        <w:jc w:val="both"/>
      </w:pPr>
      <w:r w:rsidRPr="00381AC3">
        <w:t>5.3</w:t>
      </w:r>
      <w:r w:rsidRPr="00381AC3">
        <w:tab/>
        <w:t xml:space="preserve">One councillor </w:t>
      </w:r>
      <w:r w:rsidR="00931CD2" w:rsidRPr="00381AC3">
        <w:t>recommended</w:t>
      </w:r>
      <w:r w:rsidRPr="00381AC3">
        <w:t xml:space="preserve"> </w:t>
      </w:r>
      <w:r w:rsidR="00931CD2" w:rsidRPr="00381AC3">
        <w:t xml:space="preserve">piloting </w:t>
      </w:r>
      <w:r w:rsidR="00401043">
        <w:t>AI-powered</w:t>
      </w:r>
      <w:r w:rsidRPr="00381AC3">
        <w:t xml:space="preserve"> translation and interpretation in study groups and other meetings </w:t>
      </w:r>
      <w:r w:rsidR="00931CD2" w:rsidRPr="00381AC3">
        <w:t>to assess</w:t>
      </w:r>
      <w:r w:rsidRPr="00381AC3">
        <w:t xml:space="preserve"> performance </w:t>
      </w:r>
      <w:r w:rsidR="00931CD2" w:rsidRPr="00381AC3">
        <w:t>further and</w:t>
      </w:r>
      <w:r w:rsidR="00AA53E3" w:rsidRPr="00381AC3">
        <w:t xml:space="preserve"> </w:t>
      </w:r>
      <w:r w:rsidR="00347B03" w:rsidRPr="00381AC3">
        <w:t>enhance accessibility</w:t>
      </w:r>
      <w:r w:rsidRPr="00381AC3">
        <w:t xml:space="preserve">. </w:t>
      </w:r>
      <w:r w:rsidR="00AA53E3" w:rsidRPr="00381AC3">
        <w:t>S</w:t>
      </w:r>
      <w:r w:rsidRPr="00381AC3">
        <w:t xml:space="preserve">elected content </w:t>
      </w:r>
      <w:r w:rsidR="00AA53E3" w:rsidRPr="00381AC3">
        <w:t xml:space="preserve">should also be translated </w:t>
      </w:r>
      <w:r w:rsidRPr="00381AC3">
        <w:t xml:space="preserve">into </w:t>
      </w:r>
      <w:r w:rsidR="00931CD2" w:rsidRPr="00381AC3">
        <w:t xml:space="preserve">non-ITU official </w:t>
      </w:r>
      <w:r w:rsidRPr="00381AC3">
        <w:t xml:space="preserve">languages to support </w:t>
      </w:r>
      <w:r w:rsidR="00AA53E3" w:rsidRPr="00381AC3">
        <w:t xml:space="preserve">local </w:t>
      </w:r>
      <w:r w:rsidRPr="00381AC3">
        <w:t xml:space="preserve">capacity building and </w:t>
      </w:r>
      <w:r w:rsidR="00401043">
        <w:t>community-level</w:t>
      </w:r>
      <w:r w:rsidRPr="00381AC3">
        <w:t xml:space="preserve"> engagement.</w:t>
      </w:r>
      <w:r w:rsidR="00A652FC" w:rsidRPr="00381AC3">
        <w:t xml:space="preserve"> </w:t>
      </w:r>
    </w:p>
    <w:p w14:paraId="249952F0" w14:textId="39D39A72" w:rsidR="00A02405" w:rsidRPr="00381AC3" w:rsidRDefault="00A02405" w:rsidP="00534A5F">
      <w:pPr>
        <w:jc w:val="both"/>
      </w:pPr>
      <w:r w:rsidRPr="00381AC3">
        <w:t>5.4</w:t>
      </w:r>
      <w:r w:rsidRPr="00381AC3">
        <w:tab/>
        <w:t>One observer</w:t>
      </w:r>
      <w:r w:rsidR="00FA63F4" w:rsidRPr="00381AC3">
        <w:t>,</w:t>
      </w:r>
      <w:r w:rsidRPr="00381AC3">
        <w:t xml:space="preserve"> </w:t>
      </w:r>
      <w:r w:rsidR="00931CD2" w:rsidRPr="00381AC3">
        <w:t>welcom</w:t>
      </w:r>
      <w:r w:rsidR="00FA63F4" w:rsidRPr="00381AC3">
        <w:t>ing</w:t>
      </w:r>
      <w:r w:rsidR="00931CD2" w:rsidRPr="00381AC3">
        <w:t xml:space="preserve"> the content of Document </w:t>
      </w:r>
      <w:r w:rsidRPr="00381AC3">
        <w:t>C25/12</w:t>
      </w:r>
      <w:r w:rsidR="00931CD2" w:rsidRPr="00381AC3">
        <w:t xml:space="preserve"> </w:t>
      </w:r>
      <w:r w:rsidRPr="00381AC3">
        <w:t xml:space="preserve">and the </w:t>
      </w:r>
      <w:r w:rsidR="00931CD2" w:rsidRPr="00381AC3">
        <w:t xml:space="preserve">proposed next </w:t>
      </w:r>
      <w:r w:rsidRPr="00381AC3">
        <w:t xml:space="preserve">steps set out </w:t>
      </w:r>
      <w:r w:rsidR="002E44D1" w:rsidRPr="00381AC3">
        <w:t xml:space="preserve">in </w:t>
      </w:r>
      <w:r w:rsidRPr="00381AC3">
        <w:t>Document C25/INF/7</w:t>
      </w:r>
      <w:r w:rsidR="00FA63F4" w:rsidRPr="00381AC3">
        <w:t>,</w:t>
      </w:r>
      <w:r w:rsidRPr="00381AC3">
        <w:t xml:space="preserve"> </w:t>
      </w:r>
      <w:r w:rsidR="00931CD2" w:rsidRPr="00381AC3">
        <w:t xml:space="preserve">called for improved </w:t>
      </w:r>
      <w:r w:rsidRPr="00381AC3">
        <w:t>harmonization of the ITU Coordination Committee for Terminology (ITU CCT) and ISCG</w:t>
      </w:r>
      <w:r w:rsidR="00931CD2" w:rsidRPr="00381AC3">
        <w:t xml:space="preserve"> websites, noting challenges in downloading documents</w:t>
      </w:r>
      <w:r w:rsidRPr="00381AC3">
        <w:t xml:space="preserve"> and </w:t>
      </w:r>
      <w:r w:rsidR="00FA63F4" w:rsidRPr="00381AC3">
        <w:t xml:space="preserve">a </w:t>
      </w:r>
      <w:r w:rsidR="00931CD2" w:rsidRPr="00381AC3">
        <w:t>lack of</w:t>
      </w:r>
      <w:r w:rsidRPr="00381AC3">
        <w:t xml:space="preserve"> ITU Translate</w:t>
      </w:r>
      <w:r w:rsidR="00931CD2" w:rsidRPr="00381AC3">
        <w:t xml:space="preserve"> integration</w:t>
      </w:r>
      <w:r w:rsidRPr="00381AC3">
        <w:t>.</w:t>
      </w:r>
      <w:r w:rsidR="00A652FC" w:rsidRPr="00381AC3">
        <w:t xml:space="preserve"> </w:t>
      </w:r>
    </w:p>
    <w:p w14:paraId="290F91E3" w14:textId="2A31D51D" w:rsidR="00A02405" w:rsidRPr="00381AC3" w:rsidRDefault="00A02405" w:rsidP="00534A5F">
      <w:pPr>
        <w:jc w:val="both"/>
      </w:pPr>
      <w:r w:rsidRPr="00381AC3">
        <w:t>5.5</w:t>
      </w:r>
      <w:r w:rsidRPr="00381AC3">
        <w:tab/>
        <w:t xml:space="preserve">The Council </w:t>
      </w:r>
      <w:r w:rsidRPr="00381AC3">
        <w:rPr>
          <w:b/>
          <w:bCs/>
        </w:rPr>
        <w:t xml:space="preserve">noted </w:t>
      </w:r>
      <w:r w:rsidRPr="00381AC3">
        <w:t xml:space="preserve">the report contained in Document C25/12. </w:t>
      </w:r>
    </w:p>
    <w:p w14:paraId="555C7CFE" w14:textId="3CB05BAB" w:rsidR="00A02405" w:rsidRPr="00381AC3" w:rsidRDefault="00A02405" w:rsidP="00534A5F">
      <w:pPr>
        <w:jc w:val="both"/>
      </w:pPr>
      <w:r w:rsidRPr="00381AC3">
        <w:t>5.6</w:t>
      </w:r>
      <w:r w:rsidRPr="00381AC3">
        <w:tab/>
        <w:t>The observer f</w:t>
      </w:r>
      <w:r w:rsidR="005D4B15">
        <w:t>or</w:t>
      </w:r>
      <w:r w:rsidRPr="00381AC3">
        <w:t xml:space="preserve"> the Russian Federation</w:t>
      </w:r>
      <w:r w:rsidR="004A0A27" w:rsidRPr="00381AC3">
        <w:t xml:space="preserve"> </w:t>
      </w:r>
      <w:r w:rsidRPr="00381AC3">
        <w:t>introduced Document C25/78</w:t>
      </w:r>
      <w:r w:rsidR="00FA63F4" w:rsidRPr="00381AC3">
        <w:t>,</w:t>
      </w:r>
      <w:r w:rsidRPr="00381AC3">
        <w:t xml:space="preserve"> proposing to revise ITU Council Resolution 1386</w:t>
      </w:r>
      <w:r w:rsidR="00347B03" w:rsidRPr="00381AC3">
        <w:t xml:space="preserve"> (C17, last amended C24)</w:t>
      </w:r>
      <w:r w:rsidRPr="00381AC3">
        <w:t>, on ITU CCT, to align with relevant Sector resolutions</w:t>
      </w:r>
      <w:r w:rsidR="00FA63F4" w:rsidRPr="00381AC3">
        <w:t>, based on</w:t>
      </w:r>
      <w:r w:rsidRPr="00381AC3">
        <w:t xml:space="preserve"> </w:t>
      </w:r>
      <w:r w:rsidR="00FA63F4" w:rsidRPr="00381AC3">
        <w:t xml:space="preserve">PP </w:t>
      </w:r>
      <w:r w:rsidRPr="00381AC3">
        <w:t xml:space="preserve">Resolution 154 (Rev. Bucharest, 2022), on the use of the six official languages of the Union on an equal footing. </w:t>
      </w:r>
      <w:r w:rsidR="00FA63F4" w:rsidRPr="00381AC3">
        <w:t>The</w:t>
      </w:r>
      <w:r w:rsidRPr="00381AC3">
        <w:t xml:space="preserve"> re</w:t>
      </w:r>
      <w:r w:rsidR="00FA63F4" w:rsidRPr="00381AC3">
        <w:t xml:space="preserve">sponsibilities of rapporteurs for </w:t>
      </w:r>
      <w:r w:rsidRPr="00381AC3">
        <w:t xml:space="preserve">vocabulary </w:t>
      </w:r>
      <w:r w:rsidR="00FA63F4" w:rsidRPr="00381AC3">
        <w:t>should be enshrined in</w:t>
      </w:r>
      <w:r w:rsidRPr="00381AC3">
        <w:t xml:space="preserve"> Council Resolution 1386</w:t>
      </w:r>
      <w:r w:rsidR="00FA63F4" w:rsidRPr="00381AC3">
        <w:t>, to which S</w:t>
      </w:r>
      <w:r w:rsidRPr="00381AC3">
        <w:t>ector resolutions</w:t>
      </w:r>
      <w:r w:rsidR="00FA63F4" w:rsidRPr="00381AC3">
        <w:t xml:space="preserve"> should</w:t>
      </w:r>
      <w:r w:rsidR="00347B03" w:rsidRPr="00381AC3">
        <w:t xml:space="preserve"> then</w:t>
      </w:r>
      <w:r w:rsidR="00FA63F4" w:rsidRPr="00381AC3">
        <w:t xml:space="preserve"> only refer</w:t>
      </w:r>
      <w:r w:rsidRPr="00381AC3">
        <w:t>.</w:t>
      </w:r>
    </w:p>
    <w:p w14:paraId="3BC993B3" w14:textId="2D18B4A1" w:rsidR="00FA63F4" w:rsidRPr="00381AC3" w:rsidRDefault="00FA63F4" w:rsidP="00534A5F">
      <w:pPr>
        <w:jc w:val="both"/>
      </w:pPr>
      <w:r w:rsidRPr="00381AC3">
        <w:t>5.7</w:t>
      </w:r>
      <w:r w:rsidRPr="00381AC3">
        <w:tab/>
      </w:r>
      <w:r w:rsidR="00EF50C6">
        <w:t xml:space="preserve">One </w:t>
      </w:r>
      <w:r w:rsidRPr="00381AC3">
        <w:t>councillor took the floor to support the proposal.</w:t>
      </w:r>
    </w:p>
    <w:p w14:paraId="5833F9B5" w14:textId="34C373CF" w:rsidR="00A02405" w:rsidRPr="00381AC3" w:rsidRDefault="00A02405" w:rsidP="00534A5F">
      <w:pPr>
        <w:jc w:val="both"/>
      </w:pPr>
      <w:r w:rsidRPr="00381AC3">
        <w:t>5.</w:t>
      </w:r>
      <w:r w:rsidR="00BE3569" w:rsidRPr="00381AC3">
        <w:t>8</w:t>
      </w:r>
      <w:r w:rsidRPr="00381AC3">
        <w:tab/>
        <w:t xml:space="preserve">The Chair invited the </w:t>
      </w:r>
      <w:r w:rsidR="006052CC" w:rsidRPr="00381AC3">
        <w:t xml:space="preserve">Council </w:t>
      </w:r>
      <w:r w:rsidRPr="00381AC3">
        <w:t>to approve</w:t>
      </w:r>
      <w:r w:rsidRPr="00381AC3">
        <w:rPr>
          <w:b/>
          <w:bCs/>
        </w:rPr>
        <w:t xml:space="preserve"> </w:t>
      </w:r>
      <w:r w:rsidR="00347B03" w:rsidRPr="00381AC3">
        <w:t>the draft revision of Resolution 1386 (C17, last amended C24), as contained in D</w:t>
      </w:r>
      <w:r w:rsidRPr="00381AC3">
        <w:t>ocument C25/78.</w:t>
      </w:r>
    </w:p>
    <w:p w14:paraId="5CFF81FF" w14:textId="493EA3B7" w:rsidR="00A02405" w:rsidRPr="00381AC3" w:rsidRDefault="00A02405" w:rsidP="00534A5F">
      <w:pPr>
        <w:jc w:val="both"/>
      </w:pPr>
      <w:r w:rsidRPr="00381AC3">
        <w:t>5.</w:t>
      </w:r>
      <w:r w:rsidR="00BE3569" w:rsidRPr="00381AC3">
        <w:t>9</w:t>
      </w:r>
      <w:r w:rsidRPr="00381AC3">
        <w:tab/>
        <w:t xml:space="preserve">It was so </w:t>
      </w:r>
      <w:r w:rsidRPr="00381AC3">
        <w:rPr>
          <w:b/>
          <w:bCs/>
        </w:rPr>
        <w:t>agreed</w:t>
      </w:r>
      <w:r w:rsidRPr="00381AC3">
        <w:t xml:space="preserve">. </w:t>
      </w:r>
    </w:p>
    <w:p w14:paraId="7BADBBE5" w14:textId="3DA17C21" w:rsidR="00A02405" w:rsidRPr="00381AC3" w:rsidRDefault="006052CC" w:rsidP="006052CC">
      <w:pPr>
        <w:pStyle w:val="Heading1"/>
      </w:pPr>
      <w:r w:rsidRPr="00381AC3">
        <w:lastRenderedPageBreak/>
        <w:t>6</w:t>
      </w:r>
      <w:r w:rsidRPr="00381AC3">
        <w:tab/>
      </w:r>
      <w:r w:rsidR="00A02405" w:rsidRPr="00381AC3">
        <w:t>ITU</w:t>
      </w:r>
      <w:r w:rsidR="00A652FC" w:rsidRPr="00381AC3">
        <w:t>'</w:t>
      </w:r>
      <w:r w:rsidR="00A02405" w:rsidRPr="00381AC3">
        <w:t xml:space="preserve">s role in the implementation of the </w:t>
      </w:r>
      <w:r w:rsidRPr="00381AC3">
        <w:t>"</w:t>
      </w:r>
      <w:r w:rsidR="00A02405" w:rsidRPr="00381AC3">
        <w:t>Space2030</w:t>
      </w:r>
      <w:r w:rsidRPr="00381AC3">
        <w:t>"</w:t>
      </w:r>
      <w:r w:rsidR="00A02405" w:rsidRPr="00381AC3">
        <w:t xml:space="preserve"> agenda: space as a driver of sustainable development, and its follow-up and review process (Document </w:t>
      </w:r>
      <w:hyperlink r:id="rId36" w:history="1">
        <w:r w:rsidR="00A02405" w:rsidRPr="00381AC3">
          <w:rPr>
            <w:rStyle w:val="Hyperlink"/>
          </w:rPr>
          <w:t>C25/36</w:t>
        </w:r>
      </w:hyperlink>
      <w:r w:rsidR="00A02405" w:rsidRPr="00381AC3">
        <w:t xml:space="preserve">) </w:t>
      </w:r>
    </w:p>
    <w:p w14:paraId="530E4916" w14:textId="370588E6" w:rsidR="00A02405" w:rsidRPr="00401043" w:rsidRDefault="006052CC" w:rsidP="00534A5F">
      <w:pPr>
        <w:jc w:val="both"/>
        <w:rPr>
          <w:spacing w:val="-2"/>
        </w:rPr>
      </w:pPr>
      <w:r w:rsidRPr="00401043">
        <w:rPr>
          <w:spacing w:val="-2"/>
        </w:rPr>
        <w:t>6.1</w:t>
      </w:r>
      <w:r w:rsidRPr="00401043">
        <w:rPr>
          <w:spacing w:val="-2"/>
        </w:rPr>
        <w:tab/>
      </w:r>
      <w:r w:rsidR="00A02405" w:rsidRPr="00401043">
        <w:rPr>
          <w:spacing w:val="-2"/>
        </w:rPr>
        <w:t xml:space="preserve">A representative of </w:t>
      </w:r>
      <w:r w:rsidR="002E44D1" w:rsidRPr="00401043">
        <w:rPr>
          <w:spacing w:val="-2"/>
        </w:rPr>
        <w:t>BR</w:t>
      </w:r>
      <w:r w:rsidR="00A02405" w:rsidRPr="00401043">
        <w:rPr>
          <w:spacing w:val="-2"/>
        </w:rPr>
        <w:t xml:space="preserve"> </w:t>
      </w:r>
      <w:r w:rsidR="004B5963" w:rsidRPr="00401043">
        <w:rPr>
          <w:spacing w:val="-2"/>
        </w:rPr>
        <w:t xml:space="preserve">introduced </w:t>
      </w:r>
      <w:r w:rsidR="00A02405" w:rsidRPr="00401043">
        <w:rPr>
          <w:spacing w:val="-2"/>
        </w:rPr>
        <w:t xml:space="preserve">Document C25/36, </w:t>
      </w:r>
      <w:r w:rsidR="004B5963" w:rsidRPr="00401043">
        <w:rPr>
          <w:spacing w:val="-2"/>
        </w:rPr>
        <w:t>summarizing ITU</w:t>
      </w:r>
      <w:r w:rsidR="00A652FC" w:rsidRPr="00401043">
        <w:rPr>
          <w:spacing w:val="-2"/>
        </w:rPr>
        <w:t>'</w:t>
      </w:r>
      <w:r w:rsidR="004B5963" w:rsidRPr="00401043">
        <w:rPr>
          <w:spacing w:val="-2"/>
        </w:rPr>
        <w:t>s role in implementation of the Space2030 agenda. Councillors were invited to consult Document</w:t>
      </w:r>
      <w:r w:rsidR="00401043" w:rsidRPr="00401043">
        <w:rPr>
          <w:spacing w:val="-2"/>
        </w:rPr>
        <w:t> </w:t>
      </w:r>
      <w:hyperlink r:id="rId37" w:history="1">
        <w:r w:rsidR="004B5963" w:rsidRPr="00401043">
          <w:rPr>
            <w:rStyle w:val="Hyperlink"/>
            <w:spacing w:val="-2"/>
          </w:rPr>
          <w:t>C25/INF/3</w:t>
        </w:r>
      </w:hyperlink>
      <w:r w:rsidR="004B5963" w:rsidRPr="00401043">
        <w:rPr>
          <w:spacing w:val="-2"/>
        </w:rPr>
        <w:t xml:space="preserve"> for the full reporting required under PP</w:t>
      </w:r>
      <w:r w:rsidR="00A02405" w:rsidRPr="00401043">
        <w:rPr>
          <w:spacing w:val="-2"/>
        </w:rPr>
        <w:t xml:space="preserve"> Resolution 218 (Bucharest, 2022) on</w:t>
      </w:r>
      <w:r w:rsidR="004B5963" w:rsidRPr="00401043">
        <w:rPr>
          <w:spacing w:val="-2"/>
        </w:rPr>
        <w:t>:</w:t>
      </w:r>
      <w:r w:rsidR="00A02405" w:rsidRPr="00401043">
        <w:rPr>
          <w:spacing w:val="-2"/>
        </w:rPr>
        <w:t xml:space="preserve"> status of plans governed by Appendices 30, 30A and 30B to the Radio Regulations; the role of ITU in implementing the Space2030 </w:t>
      </w:r>
      <w:r w:rsidR="008335E9" w:rsidRPr="00401043">
        <w:rPr>
          <w:spacing w:val="-2"/>
        </w:rPr>
        <w:t>a</w:t>
      </w:r>
      <w:r w:rsidR="00A02405" w:rsidRPr="00401043">
        <w:rPr>
          <w:spacing w:val="-2"/>
        </w:rPr>
        <w:t>genda; the sessions of the United Nations Inter</w:t>
      </w:r>
      <w:r w:rsidR="00A02405" w:rsidRPr="00401043">
        <w:rPr>
          <w:spacing w:val="-2"/>
        </w:rPr>
        <w:noBreakHyphen/>
        <w:t>Agency Meeting on Outer Space Activities (UN-Space)</w:t>
      </w:r>
      <w:r w:rsidR="00CC3B9A" w:rsidRPr="00401043">
        <w:rPr>
          <w:spacing w:val="-2"/>
        </w:rPr>
        <w:t>;</w:t>
      </w:r>
      <w:r w:rsidR="00A02405" w:rsidRPr="00401043">
        <w:rPr>
          <w:spacing w:val="-2"/>
        </w:rPr>
        <w:t xml:space="preserve"> and the measures being implemented in promoting synergies and avoiding duplication related to the use of space technology. </w:t>
      </w:r>
    </w:p>
    <w:p w14:paraId="6616A56F" w14:textId="42C32128" w:rsidR="00A02405" w:rsidRPr="00381AC3" w:rsidRDefault="006052CC" w:rsidP="00534A5F">
      <w:pPr>
        <w:jc w:val="both"/>
      </w:pPr>
      <w:r w:rsidRPr="00381AC3">
        <w:t>6.2</w:t>
      </w:r>
      <w:r w:rsidRPr="00381AC3">
        <w:tab/>
      </w:r>
      <w:r w:rsidR="00A02405" w:rsidRPr="00381AC3">
        <w:t>Councillors welcomed the report and commended the collaborati</w:t>
      </w:r>
      <w:r w:rsidR="004B5963" w:rsidRPr="00381AC3">
        <w:t xml:space="preserve">ve </w:t>
      </w:r>
      <w:r w:rsidRPr="00381AC3">
        <w:t>"</w:t>
      </w:r>
      <w:r w:rsidR="00A02405" w:rsidRPr="00381AC3">
        <w:t>One ITU</w:t>
      </w:r>
      <w:r w:rsidRPr="00381AC3">
        <w:t>"</w:t>
      </w:r>
      <w:r w:rsidR="00A02405" w:rsidRPr="00381AC3">
        <w:t xml:space="preserve"> approach</w:t>
      </w:r>
      <w:r w:rsidR="004B5963" w:rsidRPr="00381AC3">
        <w:t xml:space="preserve"> employed </w:t>
      </w:r>
      <w:r w:rsidR="00A02405" w:rsidRPr="00381AC3">
        <w:t xml:space="preserve">in impactful initiatives such as the Space Sustainability Forum, the Space Connect series, the Space Sustainability Gateway, and joint capacity building with the United Nations Office for Outer Space Affairs. Those efforts contributed directly to </w:t>
      </w:r>
      <w:r w:rsidR="004B5963" w:rsidRPr="00381AC3">
        <w:t>SDG attainment</w:t>
      </w:r>
      <w:r w:rsidR="00A02405" w:rsidRPr="00381AC3">
        <w:t xml:space="preserve"> by promoting inclusive access to space resources, enhancing capacity building and fostering responsible and equitable use of space technology, especially for developing countries</w:t>
      </w:r>
      <w:r w:rsidR="003F265B" w:rsidRPr="00381AC3">
        <w:t>, where s</w:t>
      </w:r>
      <w:r w:rsidR="00A02405" w:rsidRPr="00381AC3">
        <w:t>pace-based services played a growing role in disaster response, climate monitoring</w:t>
      </w:r>
      <w:r w:rsidR="003F265B" w:rsidRPr="00381AC3">
        <w:t>,</w:t>
      </w:r>
      <w:r w:rsidR="00A02405" w:rsidRPr="00381AC3">
        <w:t xml:space="preserve"> connectivity</w:t>
      </w:r>
      <w:r w:rsidR="003F265B" w:rsidRPr="00381AC3">
        <w:t xml:space="preserve"> and bridging the digital divide</w:t>
      </w:r>
      <w:r w:rsidR="00A02405" w:rsidRPr="00381AC3">
        <w:t xml:space="preserve">. </w:t>
      </w:r>
    </w:p>
    <w:p w14:paraId="0DD5885E" w14:textId="45166803" w:rsidR="00A02405" w:rsidRPr="00381AC3" w:rsidRDefault="006052CC" w:rsidP="00534A5F">
      <w:pPr>
        <w:jc w:val="both"/>
      </w:pPr>
      <w:r w:rsidRPr="00381AC3">
        <w:t>6.3</w:t>
      </w:r>
      <w:r w:rsidRPr="00381AC3">
        <w:tab/>
      </w:r>
      <w:r w:rsidR="00A02405" w:rsidRPr="00381AC3">
        <w:t>Councillors supported ITU</w:t>
      </w:r>
      <w:r w:rsidR="00A652FC" w:rsidRPr="00381AC3">
        <w:t>'</w:t>
      </w:r>
      <w:r w:rsidR="00A02405" w:rsidRPr="00381AC3">
        <w:t xml:space="preserve">s initiatives under the Space 2030 </w:t>
      </w:r>
      <w:r w:rsidR="008335E9" w:rsidRPr="00381AC3">
        <w:t>a</w:t>
      </w:r>
      <w:r w:rsidR="00A02405" w:rsidRPr="00381AC3">
        <w:t>genda</w:t>
      </w:r>
      <w:r w:rsidR="003F265B" w:rsidRPr="00381AC3">
        <w:t xml:space="preserve">. They </w:t>
      </w:r>
      <w:r w:rsidR="00A02405" w:rsidRPr="00381AC3">
        <w:t>encouraged further strengthening of partnerships to enhance technical assistance and participation from countries with limited space capability</w:t>
      </w:r>
      <w:r w:rsidR="003F265B" w:rsidRPr="00381AC3">
        <w:t xml:space="preserve">, requesting </w:t>
      </w:r>
      <w:r w:rsidR="00A02405" w:rsidRPr="00381AC3">
        <w:t xml:space="preserve">information on collaboration and coordination with other United Nations bodies and the action taken to promote complementarity and avoid duplication. </w:t>
      </w:r>
    </w:p>
    <w:p w14:paraId="53DD26FC" w14:textId="01B73270" w:rsidR="00A02405" w:rsidRPr="00381AC3" w:rsidRDefault="006052CC" w:rsidP="00534A5F">
      <w:pPr>
        <w:jc w:val="both"/>
      </w:pPr>
      <w:r w:rsidRPr="00381AC3">
        <w:t>6.4</w:t>
      </w:r>
      <w:r w:rsidRPr="00381AC3">
        <w:tab/>
      </w:r>
      <w:r w:rsidR="00A02405" w:rsidRPr="00381AC3">
        <w:t xml:space="preserve">One observer </w:t>
      </w:r>
      <w:r w:rsidR="006707EB" w:rsidRPr="00381AC3">
        <w:t>said that discussion of activities implemented under PP</w:t>
      </w:r>
      <w:r w:rsidR="00A02405" w:rsidRPr="00381AC3">
        <w:t xml:space="preserve"> Resolutions 218 (Bucharest, 2022) and 219 (Bucharest, 2022)</w:t>
      </w:r>
      <w:r w:rsidR="00C94BF7" w:rsidRPr="00381AC3">
        <w:t xml:space="preserve"> should focus exclusively on ITU</w:t>
      </w:r>
      <w:r w:rsidR="00A652FC" w:rsidRPr="00381AC3">
        <w:t>'</w:t>
      </w:r>
      <w:r w:rsidR="00C94BF7" w:rsidRPr="00381AC3">
        <w:t xml:space="preserve">s areas of work and noted that the activities described in the report </w:t>
      </w:r>
      <w:r w:rsidR="00A02405" w:rsidRPr="00381AC3">
        <w:t xml:space="preserve">related </w:t>
      </w:r>
      <w:r w:rsidR="00C94BF7" w:rsidRPr="00381AC3">
        <w:t xml:space="preserve">more closely </w:t>
      </w:r>
      <w:r w:rsidR="00A02405" w:rsidRPr="00381AC3">
        <w:t>to Resolution 219</w:t>
      </w:r>
      <w:r w:rsidR="00C94BF7" w:rsidRPr="00381AC3">
        <w:t xml:space="preserve"> (Bucharest</w:t>
      </w:r>
      <w:r w:rsidR="00965168" w:rsidRPr="00381AC3">
        <w:t>, 2022</w:t>
      </w:r>
      <w:r w:rsidR="00C94BF7" w:rsidRPr="00381AC3">
        <w:t>) than to Resolution 218 (Bucharest</w:t>
      </w:r>
      <w:r w:rsidR="00965168" w:rsidRPr="00381AC3">
        <w:t>, 2022</w:t>
      </w:r>
      <w:r w:rsidR="00C94BF7" w:rsidRPr="00381AC3">
        <w:t xml:space="preserve">) </w:t>
      </w:r>
      <w:r w:rsidR="008335E9" w:rsidRPr="00381AC3">
        <w:t>and</w:t>
      </w:r>
      <w:r w:rsidR="00C94BF7" w:rsidRPr="00381AC3">
        <w:t xml:space="preserve"> the Space2030 </w:t>
      </w:r>
      <w:r w:rsidR="006D715B" w:rsidRPr="00381AC3">
        <w:t>a</w:t>
      </w:r>
      <w:r w:rsidR="00C94BF7" w:rsidRPr="00381AC3">
        <w:t>genda</w:t>
      </w:r>
      <w:r w:rsidR="00A02405" w:rsidRPr="00381AC3">
        <w:t xml:space="preserve">. Care should be taken to </w:t>
      </w:r>
      <w:r w:rsidR="00C94BF7" w:rsidRPr="00381AC3">
        <w:t>avoid</w:t>
      </w:r>
      <w:r w:rsidR="00A02405" w:rsidRPr="00381AC3">
        <w:t xml:space="preserve"> duplication of work and un</w:t>
      </w:r>
      <w:r w:rsidR="00C94BF7" w:rsidRPr="00381AC3">
        <w:t>necessary</w:t>
      </w:r>
      <w:r w:rsidR="00A02405" w:rsidRPr="00381AC3">
        <w:t xml:space="preserve"> expenses.</w:t>
      </w:r>
      <w:r w:rsidR="004A0A27" w:rsidRPr="00381AC3">
        <w:t xml:space="preserve"> </w:t>
      </w:r>
      <w:r w:rsidR="00A02405" w:rsidRPr="00381AC3">
        <w:t xml:space="preserve">He recalled that </w:t>
      </w:r>
      <w:r w:rsidR="00BE3569" w:rsidRPr="00381AC3">
        <w:t>Resolution </w:t>
      </w:r>
      <w:r w:rsidR="00A02405" w:rsidRPr="00381AC3">
        <w:t>219</w:t>
      </w:r>
      <w:r w:rsidR="00C94BF7" w:rsidRPr="00381AC3">
        <w:t xml:space="preserve"> (Bucharest, 2022)</w:t>
      </w:r>
      <w:r w:rsidR="00A02405" w:rsidRPr="00381AC3">
        <w:t xml:space="preserve"> </w:t>
      </w:r>
      <w:r w:rsidR="00C94BF7" w:rsidRPr="00381AC3">
        <w:t>called for</w:t>
      </w:r>
      <w:r w:rsidR="00A02405" w:rsidRPr="00381AC3">
        <w:t xml:space="preserve">, as a matter of urgency, studies on the issue of the increasing use of </w:t>
      </w:r>
      <w:r w:rsidR="005D4B15">
        <w:t xml:space="preserve">the </w:t>
      </w:r>
      <w:r w:rsidR="00A02405" w:rsidRPr="00381AC3">
        <w:t>radio</w:t>
      </w:r>
      <w:r w:rsidR="00A02405" w:rsidRPr="00381AC3">
        <w:noBreakHyphen/>
        <w:t xml:space="preserve">frequency spectrum and associated orbit resources in non-GSO orbits and the </w:t>
      </w:r>
      <w:r w:rsidR="00C94BF7" w:rsidRPr="00381AC3">
        <w:t xml:space="preserve">long-term </w:t>
      </w:r>
      <w:r w:rsidR="00A02405" w:rsidRPr="00381AC3">
        <w:t>sustainability of those resources</w:t>
      </w:r>
      <w:r w:rsidR="00C94BF7" w:rsidRPr="00381AC3">
        <w:t xml:space="preserve"> and that </w:t>
      </w:r>
      <w:r w:rsidR="00A02405" w:rsidRPr="00381AC3">
        <w:t>Resolution ITU</w:t>
      </w:r>
      <w:r w:rsidR="00A02405" w:rsidRPr="00381AC3">
        <w:noBreakHyphen/>
        <w:t xml:space="preserve">R 74 </w:t>
      </w:r>
      <w:r w:rsidR="00C94BF7" w:rsidRPr="00381AC3">
        <w:t>reiterated that call</w:t>
      </w:r>
      <w:r w:rsidR="00A02405" w:rsidRPr="00381AC3">
        <w:t xml:space="preserve">. </w:t>
      </w:r>
    </w:p>
    <w:p w14:paraId="662D6B29" w14:textId="0FC1A193" w:rsidR="00A02405" w:rsidRPr="00381AC3" w:rsidRDefault="006052CC" w:rsidP="00534A5F">
      <w:pPr>
        <w:jc w:val="both"/>
      </w:pPr>
      <w:r w:rsidRPr="00381AC3">
        <w:t>6.5</w:t>
      </w:r>
      <w:r w:rsidRPr="00381AC3">
        <w:tab/>
      </w:r>
      <w:r w:rsidR="00A02405" w:rsidRPr="00381AC3">
        <w:t xml:space="preserve">The Council </w:t>
      </w:r>
      <w:r w:rsidR="00A02405" w:rsidRPr="00381AC3">
        <w:rPr>
          <w:b/>
          <w:bCs/>
        </w:rPr>
        <w:t>noted</w:t>
      </w:r>
      <w:r w:rsidR="00A02405" w:rsidRPr="00381AC3">
        <w:t xml:space="preserve"> the report in Document C25/36. </w:t>
      </w:r>
    </w:p>
    <w:p w14:paraId="5ABABD84" w14:textId="46D89D9B" w:rsidR="00390154" w:rsidRPr="00381AC3" w:rsidRDefault="00390154" w:rsidP="00074FA0">
      <w:pPr>
        <w:tabs>
          <w:tab w:val="clear" w:pos="567"/>
          <w:tab w:val="clear" w:pos="1134"/>
          <w:tab w:val="clear" w:pos="1701"/>
          <w:tab w:val="clear" w:pos="2268"/>
          <w:tab w:val="clear" w:pos="2835"/>
          <w:tab w:val="left" w:pos="6237"/>
        </w:tabs>
        <w:spacing w:before="840"/>
        <w:jc w:val="both"/>
        <w:rPr>
          <w:szCs w:val="24"/>
        </w:rPr>
      </w:pPr>
      <w:r w:rsidRPr="00381AC3">
        <w:rPr>
          <w:szCs w:val="24"/>
        </w:rPr>
        <w:t>The Secretary-General</w:t>
      </w:r>
      <w:r w:rsidR="00EA358F" w:rsidRPr="00381AC3">
        <w:rPr>
          <w:szCs w:val="24"/>
        </w:rPr>
        <w:t>:</w:t>
      </w:r>
      <w:r w:rsidRPr="00381AC3">
        <w:rPr>
          <w:szCs w:val="24"/>
        </w:rPr>
        <w:tab/>
        <w:t>The Chair:</w:t>
      </w:r>
    </w:p>
    <w:p w14:paraId="49055415" w14:textId="76A691F7" w:rsidR="00390154" w:rsidRDefault="00390154" w:rsidP="00390154">
      <w:pPr>
        <w:tabs>
          <w:tab w:val="clear" w:pos="567"/>
          <w:tab w:val="clear" w:pos="1134"/>
          <w:tab w:val="clear" w:pos="1701"/>
          <w:tab w:val="clear" w:pos="2268"/>
          <w:tab w:val="clear" w:pos="2835"/>
          <w:tab w:val="left" w:pos="6237"/>
        </w:tabs>
        <w:spacing w:before="0" w:after="120"/>
        <w:jc w:val="both"/>
        <w:rPr>
          <w:szCs w:val="24"/>
        </w:rPr>
      </w:pPr>
      <w:r w:rsidRPr="00381AC3">
        <w:rPr>
          <w:szCs w:val="24"/>
        </w:rPr>
        <w:t>D. BOGDAN-MARTIN</w:t>
      </w:r>
      <w:r w:rsidRPr="00381AC3">
        <w:rPr>
          <w:szCs w:val="24"/>
        </w:rPr>
        <w:tab/>
      </w:r>
      <w:r w:rsidR="00492674" w:rsidRPr="00381AC3">
        <w:rPr>
          <w:szCs w:val="24"/>
        </w:rPr>
        <w:t>C. FLUTUR</w:t>
      </w:r>
    </w:p>
    <w:p w14:paraId="656299D8" w14:textId="0183BF30" w:rsidR="00534A5F" w:rsidRPr="00CF124B" w:rsidRDefault="00534A5F" w:rsidP="00534A5F">
      <w:pPr>
        <w:tabs>
          <w:tab w:val="clear" w:pos="567"/>
          <w:tab w:val="clear" w:pos="1134"/>
          <w:tab w:val="clear" w:pos="1701"/>
          <w:tab w:val="clear" w:pos="2268"/>
          <w:tab w:val="clear" w:pos="2835"/>
          <w:tab w:val="left" w:pos="6237"/>
        </w:tabs>
        <w:spacing w:before="600"/>
        <w:jc w:val="center"/>
        <w:rPr>
          <w:szCs w:val="24"/>
        </w:rPr>
      </w:pPr>
      <w:r>
        <w:rPr>
          <w:szCs w:val="24"/>
        </w:rPr>
        <w:t>_______________</w:t>
      </w:r>
    </w:p>
    <w:sectPr w:rsidR="00534A5F" w:rsidRPr="00CF124B" w:rsidSect="00AF00D0">
      <w:footerReference w:type="default" r:id="rId38"/>
      <w:headerReference w:type="first" r:id="rId39"/>
      <w:footerReference w:type="first" r:id="rId40"/>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7DF3" w14:textId="77777777" w:rsidR="00297BF5" w:rsidRDefault="00297BF5">
      <w:r>
        <w:separator/>
      </w:r>
    </w:p>
  </w:endnote>
  <w:endnote w:type="continuationSeparator" w:id="0">
    <w:p w14:paraId="4C6FF4C2" w14:textId="77777777" w:rsidR="00297BF5" w:rsidRDefault="00297BF5">
      <w:r>
        <w:continuationSeparator/>
      </w:r>
    </w:p>
  </w:endnote>
  <w:endnote w:type="continuationNotice" w:id="1">
    <w:p w14:paraId="69B101BC" w14:textId="77777777" w:rsidR="00297BF5" w:rsidRDefault="00297BF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F00D0" w:rsidRPr="000C7AD9" w14:paraId="50AFB848" w14:textId="77777777" w:rsidTr="000E09E2">
      <w:trPr>
        <w:jc w:val="center"/>
      </w:trPr>
      <w:tc>
        <w:tcPr>
          <w:tcW w:w="1803" w:type="dxa"/>
          <w:vAlign w:val="center"/>
        </w:tcPr>
        <w:p w14:paraId="6EC76EBA" w14:textId="77777777" w:rsidR="00AF00D0" w:rsidRPr="00AF00D0" w:rsidRDefault="00AF00D0" w:rsidP="00AF00D0">
          <w:pPr>
            <w:pStyle w:val="Footer"/>
            <w:rPr>
              <w:rFonts w:eastAsia="Times New Roman" w:cs="Times New Roman"/>
              <w:szCs w:val="20"/>
            </w:rPr>
          </w:pPr>
        </w:p>
      </w:tc>
      <w:tc>
        <w:tcPr>
          <w:tcW w:w="8261" w:type="dxa"/>
        </w:tcPr>
        <w:p w14:paraId="73EFC6EF" w14:textId="3D32447E" w:rsidR="00AF00D0" w:rsidRPr="000C7AD9" w:rsidRDefault="00AF00D0" w:rsidP="00D103E1">
          <w:pPr>
            <w:pStyle w:val="Footer"/>
            <w:tabs>
              <w:tab w:val="clear" w:pos="5954"/>
              <w:tab w:val="left" w:pos="6742"/>
            </w:tabs>
            <w:rPr>
              <w:rFonts w:eastAsia="Times New Roman" w:cs="Times New Roman"/>
              <w:b/>
              <w:bCs/>
              <w:sz w:val="18"/>
              <w:szCs w:val="18"/>
            </w:rPr>
          </w:pPr>
          <w:r w:rsidRPr="000C7AD9">
            <w:rPr>
              <w:rFonts w:eastAsia="Times New Roman" w:cs="Times New Roman"/>
              <w:bCs/>
              <w:sz w:val="18"/>
              <w:szCs w:val="18"/>
            </w:rPr>
            <w:tab/>
            <w:t>C2</w:t>
          </w:r>
          <w:r w:rsidR="00AE67FC" w:rsidRPr="000C7AD9">
            <w:rPr>
              <w:rFonts w:eastAsia="Times New Roman" w:cs="Times New Roman"/>
              <w:bCs/>
              <w:sz w:val="18"/>
              <w:szCs w:val="18"/>
            </w:rPr>
            <w:t>5</w:t>
          </w:r>
          <w:r w:rsidRPr="000C7AD9">
            <w:rPr>
              <w:rFonts w:eastAsia="Times New Roman" w:cs="Times New Roman"/>
              <w:bCs/>
              <w:sz w:val="18"/>
              <w:szCs w:val="18"/>
            </w:rPr>
            <w:t>/</w:t>
          </w:r>
          <w:r w:rsidR="00534A5F">
            <w:rPr>
              <w:rFonts w:eastAsia="Times New Roman" w:cs="Times New Roman"/>
              <w:bCs/>
              <w:sz w:val="18"/>
              <w:szCs w:val="18"/>
            </w:rPr>
            <w:t>111</w:t>
          </w:r>
          <w:r w:rsidRPr="000C7AD9">
            <w:rPr>
              <w:rFonts w:eastAsia="Times New Roman" w:cs="Times New Roman"/>
              <w:bCs/>
              <w:sz w:val="18"/>
              <w:szCs w:val="18"/>
            </w:rPr>
            <w:t>-E</w:t>
          </w:r>
          <w:r w:rsidRPr="000C7AD9">
            <w:rPr>
              <w:rFonts w:eastAsia="Times New Roman" w:cs="Times New Roman"/>
              <w:bCs/>
              <w:sz w:val="18"/>
              <w:szCs w:val="18"/>
            </w:rPr>
            <w:tab/>
          </w:r>
          <w:r w:rsidRPr="000C7AD9">
            <w:rPr>
              <w:sz w:val="18"/>
              <w:szCs w:val="18"/>
            </w:rPr>
            <w:fldChar w:fldCharType="begin"/>
          </w:r>
          <w:r w:rsidRPr="000C7AD9">
            <w:rPr>
              <w:rFonts w:eastAsia="Times New Roman" w:cs="Times New Roman"/>
              <w:sz w:val="18"/>
              <w:szCs w:val="18"/>
            </w:rPr>
            <w:instrText>PAGE</w:instrText>
          </w:r>
          <w:r w:rsidRPr="000C7AD9">
            <w:rPr>
              <w:sz w:val="18"/>
              <w:szCs w:val="18"/>
            </w:rPr>
            <w:fldChar w:fldCharType="separate"/>
          </w:r>
          <w:r w:rsidRPr="000C7AD9">
            <w:rPr>
              <w:rFonts w:eastAsia="Times New Roman" w:cs="Times New Roman"/>
              <w:sz w:val="18"/>
              <w:szCs w:val="18"/>
            </w:rPr>
            <w:t>1</w:t>
          </w:r>
          <w:r w:rsidRPr="000C7AD9">
            <w:rPr>
              <w:sz w:val="18"/>
              <w:szCs w:val="18"/>
            </w:rPr>
            <w:fldChar w:fldCharType="end"/>
          </w:r>
        </w:p>
      </w:tc>
    </w:tr>
  </w:tbl>
  <w:p w14:paraId="518C160F" w14:textId="77777777" w:rsidR="00AF00D0" w:rsidRPr="00AF00D0" w:rsidRDefault="00AF00D0" w:rsidP="00AF0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79"/>
    </w:tblGrid>
    <w:tr w:rsidR="003A3BDC" w:rsidRPr="00784011" w14:paraId="41A75AFB" w14:textId="77777777" w:rsidTr="000C76A9">
      <w:trPr>
        <w:jc w:val="center"/>
      </w:trPr>
      <w:tc>
        <w:tcPr>
          <w:tcW w:w="1985" w:type="dxa"/>
          <w:vAlign w:val="center"/>
        </w:tcPr>
        <w:p w14:paraId="018CF727" w14:textId="6F31118D" w:rsidR="003A3BDC" w:rsidRDefault="000C76A9" w:rsidP="003A3BDC">
          <w:pPr>
            <w:pStyle w:val="Header"/>
            <w:jc w:val="left"/>
            <w:rPr>
              <w:noProof/>
            </w:rPr>
          </w:pPr>
          <w:hyperlink r:id="rId1" w:history="1">
            <w:r w:rsidRPr="000C76A9">
              <w:rPr>
                <w:rStyle w:val="Hyperlink"/>
              </w:rPr>
              <w:t>council.itu.int/2025</w:t>
            </w:r>
          </w:hyperlink>
        </w:p>
      </w:tc>
      <w:tc>
        <w:tcPr>
          <w:tcW w:w="8079" w:type="dxa"/>
        </w:tcPr>
        <w:p w14:paraId="17F23351" w14:textId="5EB4EFF8" w:rsidR="003A3BDC" w:rsidRPr="000C7AD9" w:rsidRDefault="003A3BDC" w:rsidP="00534A5F">
          <w:pPr>
            <w:pStyle w:val="Header"/>
            <w:tabs>
              <w:tab w:val="left" w:pos="6413"/>
              <w:tab w:val="right" w:pos="8505"/>
              <w:tab w:val="right" w:pos="9639"/>
            </w:tabs>
            <w:jc w:val="left"/>
            <w:rPr>
              <w:rFonts w:ascii="Arial" w:hAnsi="Arial" w:cs="Arial"/>
              <w:b/>
              <w:bCs/>
              <w:szCs w:val="18"/>
            </w:rPr>
          </w:pPr>
          <w:r w:rsidRPr="000C7AD9">
            <w:rPr>
              <w:bCs/>
              <w:szCs w:val="18"/>
            </w:rPr>
            <w:tab/>
            <w:t>C2</w:t>
          </w:r>
          <w:r w:rsidR="000C76A9" w:rsidRPr="000C7AD9">
            <w:rPr>
              <w:bCs/>
              <w:szCs w:val="18"/>
            </w:rPr>
            <w:t>5</w:t>
          </w:r>
          <w:r w:rsidRPr="000C7AD9">
            <w:rPr>
              <w:bCs/>
              <w:szCs w:val="18"/>
            </w:rPr>
            <w:t>/</w:t>
          </w:r>
          <w:r w:rsidR="00534A5F">
            <w:rPr>
              <w:bCs/>
              <w:szCs w:val="18"/>
            </w:rPr>
            <w:t>111</w:t>
          </w:r>
          <w:r w:rsidRPr="000C7AD9">
            <w:rPr>
              <w:bCs/>
              <w:szCs w:val="18"/>
            </w:rPr>
            <w:t>-E</w:t>
          </w:r>
          <w:r w:rsidRPr="000C7AD9">
            <w:rPr>
              <w:bCs/>
              <w:szCs w:val="18"/>
            </w:rPr>
            <w:tab/>
          </w:r>
          <w:r w:rsidRPr="000C7AD9">
            <w:rPr>
              <w:szCs w:val="18"/>
            </w:rPr>
            <w:fldChar w:fldCharType="begin"/>
          </w:r>
          <w:r w:rsidRPr="000C7AD9">
            <w:rPr>
              <w:szCs w:val="18"/>
            </w:rPr>
            <w:instrText>PAGE</w:instrText>
          </w:r>
          <w:r w:rsidRPr="000C7AD9">
            <w:rPr>
              <w:szCs w:val="18"/>
            </w:rPr>
            <w:fldChar w:fldCharType="separate"/>
          </w:r>
          <w:r w:rsidRPr="000C7AD9">
            <w:rPr>
              <w:szCs w:val="18"/>
            </w:rPr>
            <w:t>1</w:t>
          </w:r>
          <w:r w:rsidRPr="000C7AD9">
            <w:rPr>
              <w:noProof/>
              <w:szCs w:val="18"/>
            </w:rPr>
            <w:fldChar w:fldCharType="end"/>
          </w:r>
        </w:p>
      </w:tc>
    </w:tr>
  </w:tbl>
  <w:p w14:paraId="4E1884F8" w14:textId="77777777" w:rsidR="00EA1D83" w:rsidRPr="003A3BDC" w:rsidRDefault="00EA1D83" w:rsidP="003A3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DC83" w14:textId="77777777" w:rsidR="00297BF5" w:rsidRDefault="00297BF5">
      <w:r>
        <w:t>____________________</w:t>
      </w:r>
    </w:p>
  </w:footnote>
  <w:footnote w:type="continuationSeparator" w:id="0">
    <w:p w14:paraId="47EA4488" w14:textId="77777777" w:rsidR="00297BF5" w:rsidRDefault="00297BF5">
      <w:r>
        <w:continuationSeparator/>
      </w:r>
    </w:p>
  </w:footnote>
  <w:footnote w:type="continuationNotice" w:id="1">
    <w:p w14:paraId="0B505E19" w14:textId="77777777" w:rsidR="00297BF5" w:rsidRDefault="00297BF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905336" w:rsidRPr="00784011" w14:paraId="439FF91B" w14:textId="77777777" w:rsidTr="000E09E2">
      <w:trPr>
        <w:trHeight w:val="1104"/>
        <w:jc w:val="center"/>
      </w:trPr>
      <w:tc>
        <w:tcPr>
          <w:tcW w:w="4390" w:type="dxa"/>
          <w:vAlign w:val="center"/>
        </w:tcPr>
        <w:p w14:paraId="688532F9" w14:textId="7EE325E6" w:rsidR="00905336" w:rsidRPr="009621F8" w:rsidRDefault="000C76A9" w:rsidP="00905336">
          <w:pPr>
            <w:pStyle w:val="Header"/>
            <w:jc w:val="left"/>
            <w:rPr>
              <w:rFonts w:ascii="Arial" w:hAnsi="Arial" w:cs="Arial"/>
              <w:b/>
              <w:bCs/>
              <w:color w:val="009CD6"/>
              <w:sz w:val="36"/>
              <w:szCs w:val="36"/>
            </w:rPr>
          </w:pPr>
          <w:bookmarkStart w:id="12" w:name="_Hlk133422111"/>
          <w:r>
            <w:rPr>
              <w:rFonts w:ascii="Arial" w:hAnsi="Arial" w:cs="Arial"/>
              <w:b/>
              <w:bCs/>
              <w:noProof/>
              <w:color w:val="009CD6"/>
              <w:sz w:val="36"/>
              <w:szCs w:val="36"/>
            </w:rPr>
            <w:drawing>
              <wp:inline distT="0" distB="0" distL="0" distR="0" wp14:anchorId="6B31D1AD" wp14:editId="7145D4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59017ABC" w14:textId="77777777" w:rsidR="00905336" w:rsidRDefault="00905336" w:rsidP="00905336">
          <w:pPr>
            <w:pStyle w:val="Header"/>
            <w:jc w:val="right"/>
            <w:rPr>
              <w:rFonts w:ascii="Arial" w:hAnsi="Arial" w:cs="Arial"/>
              <w:b/>
              <w:bCs/>
              <w:color w:val="009CD6"/>
              <w:szCs w:val="18"/>
            </w:rPr>
          </w:pPr>
        </w:p>
        <w:p w14:paraId="28CE56F0" w14:textId="77777777" w:rsidR="00905336" w:rsidRDefault="00905336" w:rsidP="00905336">
          <w:pPr>
            <w:pStyle w:val="Header"/>
            <w:jc w:val="right"/>
            <w:rPr>
              <w:rFonts w:ascii="Arial" w:hAnsi="Arial" w:cs="Arial"/>
              <w:b/>
              <w:bCs/>
              <w:color w:val="009CD6"/>
              <w:szCs w:val="18"/>
            </w:rPr>
          </w:pPr>
        </w:p>
        <w:p w14:paraId="0EEA0A76" w14:textId="77777777" w:rsidR="00905336" w:rsidRPr="00784011" w:rsidRDefault="00905336" w:rsidP="0090533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7B71BF44" w14:textId="03F66972" w:rsidR="00EA1D83" w:rsidRDefault="00197DD2">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BA838C0" wp14:editId="6920FF90">
              <wp:simplePos x="0" y="0"/>
              <wp:positionH relativeFrom="page">
                <wp:posOffset>24130</wp:posOffset>
              </wp:positionH>
              <wp:positionV relativeFrom="topMargin">
                <wp:posOffset>652780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39E0D" id="Rectangle 5" o:spid="_x0000_s1026" style="position:absolute;margin-left:1.9pt;margin-top:51.4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391C77"/>
    <w:multiLevelType w:val="hybridMultilevel"/>
    <w:tmpl w:val="789A2CB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11D4C"/>
    <w:multiLevelType w:val="hybridMultilevel"/>
    <w:tmpl w:val="A90E0648"/>
    <w:lvl w:ilvl="0" w:tplc="2486767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B683B"/>
    <w:multiLevelType w:val="hybridMultilevel"/>
    <w:tmpl w:val="BA4E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432B9"/>
    <w:multiLevelType w:val="hybridMultilevel"/>
    <w:tmpl w:val="4F7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F0915"/>
    <w:multiLevelType w:val="hybridMultilevel"/>
    <w:tmpl w:val="5238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B299D"/>
    <w:multiLevelType w:val="hybridMultilevel"/>
    <w:tmpl w:val="66DC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93A31"/>
    <w:multiLevelType w:val="hybridMultilevel"/>
    <w:tmpl w:val="6F3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715829"/>
    <w:multiLevelType w:val="hybridMultilevel"/>
    <w:tmpl w:val="ED14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03EFB"/>
    <w:multiLevelType w:val="hybridMultilevel"/>
    <w:tmpl w:val="BC54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704F7"/>
    <w:multiLevelType w:val="hybridMultilevel"/>
    <w:tmpl w:val="4088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B152E"/>
    <w:multiLevelType w:val="hybridMultilevel"/>
    <w:tmpl w:val="5594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F424DD"/>
    <w:multiLevelType w:val="hybridMultilevel"/>
    <w:tmpl w:val="C4D4B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47C5"/>
    <w:multiLevelType w:val="hybridMultilevel"/>
    <w:tmpl w:val="177A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E0AF9"/>
    <w:multiLevelType w:val="hybridMultilevel"/>
    <w:tmpl w:val="3A0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351884950">
    <w:abstractNumId w:val="2"/>
  </w:num>
  <w:num w:numId="3" w16cid:durableId="1210730298">
    <w:abstractNumId w:val="1"/>
  </w:num>
  <w:num w:numId="4" w16cid:durableId="942224820">
    <w:abstractNumId w:val="13"/>
  </w:num>
  <w:num w:numId="5" w16cid:durableId="1478301495">
    <w:abstractNumId w:val="6"/>
  </w:num>
  <w:num w:numId="6" w16cid:durableId="2045328376">
    <w:abstractNumId w:val="7"/>
  </w:num>
  <w:num w:numId="7" w16cid:durableId="650913780">
    <w:abstractNumId w:val="12"/>
  </w:num>
  <w:num w:numId="8" w16cid:durableId="1079475666">
    <w:abstractNumId w:val="5"/>
  </w:num>
  <w:num w:numId="9" w16cid:durableId="108011777">
    <w:abstractNumId w:val="10"/>
  </w:num>
  <w:num w:numId="10" w16cid:durableId="449980474">
    <w:abstractNumId w:val="14"/>
  </w:num>
  <w:num w:numId="11" w16cid:durableId="768937311">
    <w:abstractNumId w:val="3"/>
  </w:num>
  <w:num w:numId="12" w16cid:durableId="422576947">
    <w:abstractNumId w:val="8"/>
  </w:num>
  <w:num w:numId="13" w16cid:durableId="1855724044">
    <w:abstractNumId w:val="11"/>
  </w:num>
  <w:num w:numId="14" w16cid:durableId="752051971">
    <w:abstractNumId w:val="4"/>
  </w:num>
  <w:num w:numId="15" w16cid:durableId="2034186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2AB8"/>
    <w:rsid w:val="000051DB"/>
    <w:rsid w:val="000210D4"/>
    <w:rsid w:val="00044A5E"/>
    <w:rsid w:val="000456DE"/>
    <w:rsid w:val="0004674D"/>
    <w:rsid w:val="0004698E"/>
    <w:rsid w:val="00047E35"/>
    <w:rsid w:val="00063016"/>
    <w:rsid w:val="00066795"/>
    <w:rsid w:val="00074FA0"/>
    <w:rsid w:val="00076AF6"/>
    <w:rsid w:val="00083ED7"/>
    <w:rsid w:val="00085CF2"/>
    <w:rsid w:val="00093A91"/>
    <w:rsid w:val="00094460"/>
    <w:rsid w:val="000A0C8E"/>
    <w:rsid w:val="000B1705"/>
    <w:rsid w:val="000B6A09"/>
    <w:rsid w:val="000C2F17"/>
    <w:rsid w:val="000C76A9"/>
    <w:rsid w:val="000C7AD9"/>
    <w:rsid w:val="000D75B2"/>
    <w:rsid w:val="000E1A43"/>
    <w:rsid w:val="0010202B"/>
    <w:rsid w:val="001057EF"/>
    <w:rsid w:val="001121F5"/>
    <w:rsid w:val="0011274B"/>
    <w:rsid w:val="001252E3"/>
    <w:rsid w:val="0013114B"/>
    <w:rsid w:val="001400DC"/>
    <w:rsid w:val="00140CE1"/>
    <w:rsid w:val="0014245B"/>
    <w:rsid w:val="00153171"/>
    <w:rsid w:val="0015601C"/>
    <w:rsid w:val="0015770D"/>
    <w:rsid w:val="00161A62"/>
    <w:rsid w:val="00170C41"/>
    <w:rsid w:val="001722A2"/>
    <w:rsid w:val="00172467"/>
    <w:rsid w:val="0017539C"/>
    <w:rsid w:val="00175AC2"/>
    <w:rsid w:val="0017609F"/>
    <w:rsid w:val="00177DFC"/>
    <w:rsid w:val="00180E1E"/>
    <w:rsid w:val="001836BB"/>
    <w:rsid w:val="00193DAC"/>
    <w:rsid w:val="00194073"/>
    <w:rsid w:val="00197DD2"/>
    <w:rsid w:val="001A2AB1"/>
    <w:rsid w:val="001A5722"/>
    <w:rsid w:val="001A7D1D"/>
    <w:rsid w:val="001B0A82"/>
    <w:rsid w:val="001B35EE"/>
    <w:rsid w:val="001B51DD"/>
    <w:rsid w:val="001C2CF6"/>
    <w:rsid w:val="001C628E"/>
    <w:rsid w:val="001E05FE"/>
    <w:rsid w:val="001E0F7B"/>
    <w:rsid w:val="001E746B"/>
    <w:rsid w:val="001F074A"/>
    <w:rsid w:val="001F1A27"/>
    <w:rsid w:val="001F51D6"/>
    <w:rsid w:val="001F7C8F"/>
    <w:rsid w:val="00201873"/>
    <w:rsid w:val="002119FD"/>
    <w:rsid w:val="002130E0"/>
    <w:rsid w:val="0022360C"/>
    <w:rsid w:val="00231A68"/>
    <w:rsid w:val="002335B4"/>
    <w:rsid w:val="002521BA"/>
    <w:rsid w:val="00253BA0"/>
    <w:rsid w:val="00264425"/>
    <w:rsid w:val="00265875"/>
    <w:rsid w:val="00265A9E"/>
    <w:rsid w:val="00266A2B"/>
    <w:rsid w:val="00271735"/>
    <w:rsid w:val="0027303B"/>
    <w:rsid w:val="0028109B"/>
    <w:rsid w:val="002856E7"/>
    <w:rsid w:val="00297BF5"/>
    <w:rsid w:val="00297F9A"/>
    <w:rsid w:val="002A2188"/>
    <w:rsid w:val="002B1F58"/>
    <w:rsid w:val="002B512C"/>
    <w:rsid w:val="002B6471"/>
    <w:rsid w:val="002B6A33"/>
    <w:rsid w:val="002C13D7"/>
    <w:rsid w:val="002C1C7A"/>
    <w:rsid w:val="002C49F1"/>
    <w:rsid w:val="002C54E2"/>
    <w:rsid w:val="002D136B"/>
    <w:rsid w:val="002D5F25"/>
    <w:rsid w:val="002E4000"/>
    <w:rsid w:val="002E44D1"/>
    <w:rsid w:val="002E7AE0"/>
    <w:rsid w:val="0030160F"/>
    <w:rsid w:val="0030558E"/>
    <w:rsid w:val="003075D8"/>
    <w:rsid w:val="00312322"/>
    <w:rsid w:val="00320223"/>
    <w:rsid w:val="00322D0D"/>
    <w:rsid w:val="00325CC3"/>
    <w:rsid w:val="00327875"/>
    <w:rsid w:val="00347B03"/>
    <w:rsid w:val="00361465"/>
    <w:rsid w:val="00361BE7"/>
    <w:rsid w:val="00374DD6"/>
    <w:rsid w:val="00381AC3"/>
    <w:rsid w:val="00383647"/>
    <w:rsid w:val="00386D4D"/>
    <w:rsid w:val="003877F5"/>
    <w:rsid w:val="00390154"/>
    <w:rsid w:val="003942D4"/>
    <w:rsid w:val="003958A8"/>
    <w:rsid w:val="003A3BDC"/>
    <w:rsid w:val="003A4112"/>
    <w:rsid w:val="003A4CCF"/>
    <w:rsid w:val="003A7542"/>
    <w:rsid w:val="003B773A"/>
    <w:rsid w:val="003C2533"/>
    <w:rsid w:val="003C324D"/>
    <w:rsid w:val="003D5A7F"/>
    <w:rsid w:val="003D674C"/>
    <w:rsid w:val="003E1CE8"/>
    <w:rsid w:val="003F265B"/>
    <w:rsid w:val="00401043"/>
    <w:rsid w:val="004016E2"/>
    <w:rsid w:val="0040435A"/>
    <w:rsid w:val="00405B2E"/>
    <w:rsid w:val="00410F8B"/>
    <w:rsid w:val="00413B31"/>
    <w:rsid w:val="0041576D"/>
    <w:rsid w:val="00416A24"/>
    <w:rsid w:val="004233E4"/>
    <w:rsid w:val="004300CE"/>
    <w:rsid w:val="00431D9E"/>
    <w:rsid w:val="00432873"/>
    <w:rsid w:val="00433C73"/>
    <w:rsid w:val="00433CE8"/>
    <w:rsid w:val="004348E7"/>
    <w:rsid w:val="00434A5C"/>
    <w:rsid w:val="00436AB7"/>
    <w:rsid w:val="00436AE2"/>
    <w:rsid w:val="00446A30"/>
    <w:rsid w:val="004544D9"/>
    <w:rsid w:val="00465900"/>
    <w:rsid w:val="00470236"/>
    <w:rsid w:val="00472BAD"/>
    <w:rsid w:val="004822C4"/>
    <w:rsid w:val="00484009"/>
    <w:rsid w:val="00490364"/>
    <w:rsid w:val="00490E72"/>
    <w:rsid w:val="00491157"/>
    <w:rsid w:val="004921C8"/>
    <w:rsid w:val="00492674"/>
    <w:rsid w:val="0049489B"/>
    <w:rsid w:val="00495B0B"/>
    <w:rsid w:val="004A0A27"/>
    <w:rsid w:val="004A1980"/>
    <w:rsid w:val="004A1B8B"/>
    <w:rsid w:val="004A5804"/>
    <w:rsid w:val="004B5963"/>
    <w:rsid w:val="004B7E0F"/>
    <w:rsid w:val="004D1851"/>
    <w:rsid w:val="004D599D"/>
    <w:rsid w:val="004E0E39"/>
    <w:rsid w:val="004E2EA5"/>
    <w:rsid w:val="004E3AEB"/>
    <w:rsid w:val="004E46A1"/>
    <w:rsid w:val="004E688A"/>
    <w:rsid w:val="004F3803"/>
    <w:rsid w:val="004F7742"/>
    <w:rsid w:val="0050223C"/>
    <w:rsid w:val="00503123"/>
    <w:rsid w:val="005033AB"/>
    <w:rsid w:val="0051181E"/>
    <w:rsid w:val="005243FF"/>
    <w:rsid w:val="00534A5F"/>
    <w:rsid w:val="00540A98"/>
    <w:rsid w:val="0054354F"/>
    <w:rsid w:val="005548EF"/>
    <w:rsid w:val="0055581B"/>
    <w:rsid w:val="0056361C"/>
    <w:rsid w:val="00564FBC"/>
    <w:rsid w:val="00566BE4"/>
    <w:rsid w:val="00573EB5"/>
    <w:rsid w:val="00577325"/>
    <w:rsid w:val="005800BC"/>
    <w:rsid w:val="00582442"/>
    <w:rsid w:val="00582977"/>
    <w:rsid w:val="00586354"/>
    <w:rsid w:val="005A08FC"/>
    <w:rsid w:val="005B2504"/>
    <w:rsid w:val="005B31A9"/>
    <w:rsid w:val="005B766E"/>
    <w:rsid w:val="005C0658"/>
    <w:rsid w:val="005C42A0"/>
    <w:rsid w:val="005C50FB"/>
    <w:rsid w:val="005D018B"/>
    <w:rsid w:val="005D2437"/>
    <w:rsid w:val="005D26C5"/>
    <w:rsid w:val="005D3EFA"/>
    <w:rsid w:val="005D4B15"/>
    <w:rsid w:val="005D65B6"/>
    <w:rsid w:val="005E3201"/>
    <w:rsid w:val="005E600B"/>
    <w:rsid w:val="005F3269"/>
    <w:rsid w:val="00601AB4"/>
    <w:rsid w:val="006052CC"/>
    <w:rsid w:val="006057F8"/>
    <w:rsid w:val="00611253"/>
    <w:rsid w:val="006224F8"/>
    <w:rsid w:val="00623AE3"/>
    <w:rsid w:val="00624D20"/>
    <w:rsid w:val="00627E8B"/>
    <w:rsid w:val="00633CEE"/>
    <w:rsid w:val="0064233E"/>
    <w:rsid w:val="00642D44"/>
    <w:rsid w:val="00644867"/>
    <w:rsid w:val="0064737F"/>
    <w:rsid w:val="00651377"/>
    <w:rsid w:val="006535F1"/>
    <w:rsid w:val="0065428D"/>
    <w:rsid w:val="0065557D"/>
    <w:rsid w:val="00657423"/>
    <w:rsid w:val="00660D50"/>
    <w:rsid w:val="006627D0"/>
    <w:rsid w:val="00662984"/>
    <w:rsid w:val="00665949"/>
    <w:rsid w:val="006707EB"/>
    <w:rsid w:val="006714F4"/>
    <w:rsid w:val="006716BB"/>
    <w:rsid w:val="006812EF"/>
    <w:rsid w:val="0068338A"/>
    <w:rsid w:val="006850BE"/>
    <w:rsid w:val="006918AC"/>
    <w:rsid w:val="006A0191"/>
    <w:rsid w:val="006A51FC"/>
    <w:rsid w:val="006B16F6"/>
    <w:rsid w:val="006B1751"/>
    <w:rsid w:val="006B1859"/>
    <w:rsid w:val="006B2B2A"/>
    <w:rsid w:val="006B3002"/>
    <w:rsid w:val="006B6680"/>
    <w:rsid w:val="006B6DCC"/>
    <w:rsid w:val="006D1A56"/>
    <w:rsid w:val="006D715B"/>
    <w:rsid w:val="006E107F"/>
    <w:rsid w:val="006E5782"/>
    <w:rsid w:val="00702DEF"/>
    <w:rsid w:val="00703142"/>
    <w:rsid w:val="007041DA"/>
    <w:rsid w:val="00705104"/>
    <w:rsid w:val="00706861"/>
    <w:rsid w:val="00715501"/>
    <w:rsid w:val="007244B9"/>
    <w:rsid w:val="00732F51"/>
    <w:rsid w:val="007405E4"/>
    <w:rsid w:val="0074567B"/>
    <w:rsid w:val="0075051B"/>
    <w:rsid w:val="00767738"/>
    <w:rsid w:val="00773DFC"/>
    <w:rsid w:val="00793188"/>
    <w:rsid w:val="00794D34"/>
    <w:rsid w:val="007B3162"/>
    <w:rsid w:val="007C03A7"/>
    <w:rsid w:val="007C129D"/>
    <w:rsid w:val="007C4D79"/>
    <w:rsid w:val="007D4194"/>
    <w:rsid w:val="007F3093"/>
    <w:rsid w:val="007F59B3"/>
    <w:rsid w:val="007F63F7"/>
    <w:rsid w:val="007F6ADD"/>
    <w:rsid w:val="00813E5E"/>
    <w:rsid w:val="00824B00"/>
    <w:rsid w:val="008335E9"/>
    <w:rsid w:val="0083581B"/>
    <w:rsid w:val="00836C78"/>
    <w:rsid w:val="00853511"/>
    <w:rsid w:val="008556C1"/>
    <w:rsid w:val="00863874"/>
    <w:rsid w:val="00863B1B"/>
    <w:rsid w:val="00864AFF"/>
    <w:rsid w:val="00865925"/>
    <w:rsid w:val="00871032"/>
    <w:rsid w:val="00881A82"/>
    <w:rsid w:val="00885029"/>
    <w:rsid w:val="008A2630"/>
    <w:rsid w:val="008B1DB6"/>
    <w:rsid w:val="008B412A"/>
    <w:rsid w:val="008B4A6A"/>
    <w:rsid w:val="008C2D09"/>
    <w:rsid w:val="008C7E27"/>
    <w:rsid w:val="008D3D96"/>
    <w:rsid w:val="008D70E8"/>
    <w:rsid w:val="008E4B95"/>
    <w:rsid w:val="008E5A4A"/>
    <w:rsid w:val="008F4F2E"/>
    <w:rsid w:val="008F6574"/>
    <w:rsid w:val="008F7448"/>
    <w:rsid w:val="0090147A"/>
    <w:rsid w:val="00905336"/>
    <w:rsid w:val="009156F1"/>
    <w:rsid w:val="009173EF"/>
    <w:rsid w:val="00920641"/>
    <w:rsid w:val="009274D2"/>
    <w:rsid w:val="00931CD2"/>
    <w:rsid w:val="00932906"/>
    <w:rsid w:val="00936B01"/>
    <w:rsid w:val="009370FB"/>
    <w:rsid w:val="00961B0B"/>
    <w:rsid w:val="0096298C"/>
    <w:rsid w:val="00962D33"/>
    <w:rsid w:val="00965168"/>
    <w:rsid w:val="00967550"/>
    <w:rsid w:val="00973DF7"/>
    <w:rsid w:val="0098012F"/>
    <w:rsid w:val="009805D4"/>
    <w:rsid w:val="00981EDC"/>
    <w:rsid w:val="00986D0B"/>
    <w:rsid w:val="009A18D9"/>
    <w:rsid w:val="009B38C3"/>
    <w:rsid w:val="009C2762"/>
    <w:rsid w:val="009D4F14"/>
    <w:rsid w:val="009E0271"/>
    <w:rsid w:val="009E17BD"/>
    <w:rsid w:val="009E485A"/>
    <w:rsid w:val="00A011A3"/>
    <w:rsid w:val="00A02405"/>
    <w:rsid w:val="00A04CEC"/>
    <w:rsid w:val="00A27F92"/>
    <w:rsid w:val="00A31F3F"/>
    <w:rsid w:val="00A32257"/>
    <w:rsid w:val="00A36D20"/>
    <w:rsid w:val="00A514A4"/>
    <w:rsid w:val="00A55622"/>
    <w:rsid w:val="00A61A35"/>
    <w:rsid w:val="00A652FC"/>
    <w:rsid w:val="00A667D8"/>
    <w:rsid w:val="00A70A90"/>
    <w:rsid w:val="00A83502"/>
    <w:rsid w:val="00A85BA8"/>
    <w:rsid w:val="00A90E7E"/>
    <w:rsid w:val="00AA53E3"/>
    <w:rsid w:val="00AB2A25"/>
    <w:rsid w:val="00AB3CF1"/>
    <w:rsid w:val="00AC1BE6"/>
    <w:rsid w:val="00AC4626"/>
    <w:rsid w:val="00AD15B3"/>
    <w:rsid w:val="00AD3606"/>
    <w:rsid w:val="00AD4A3D"/>
    <w:rsid w:val="00AD6DFF"/>
    <w:rsid w:val="00AE1DFF"/>
    <w:rsid w:val="00AE67FC"/>
    <w:rsid w:val="00AF00D0"/>
    <w:rsid w:val="00AF2F6B"/>
    <w:rsid w:val="00AF302F"/>
    <w:rsid w:val="00AF6E49"/>
    <w:rsid w:val="00B04A67"/>
    <w:rsid w:val="00B0583C"/>
    <w:rsid w:val="00B17D78"/>
    <w:rsid w:val="00B2144B"/>
    <w:rsid w:val="00B225A7"/>
    <w:rsid w:val="00B27D64"/>
    <w:rsid w:val="00B32A93"/>
    <w:rsid w:val="00B37EAB"/>
    <w:rsid w:val="00B40A81"/>
    <w:rsid w:val="00B44910"/>
    <w:rsid w:val="00B464CD"/>
    <w:rsid w:val="00B656B0"/>
    <w:rsid w:val="00B72267"/>
    <w:rsid w:val="00B760AB"/>
    <w:rsid w:val="00B76EB6"/>
    <w:rsid w:val="00B7737B"/>
    <w:rsid w:val="00B824C8"/>
    <w:rsid w:val="00B84B9D"/>
    <w:rsid w:val="00B91D7A"/>
    <w:rsid w:val="00B97700"/>
    <w:rsid w:val="00BC251A"/>
    <w:rsid w:val="00BD032B"/>
    <w:rsid w:val="00BD207C"/>
    <w:rsid w:val="00BE2640"/>
    <w:rsid w:val="00BE3569"/>
    <w:rsid w:val="00C01189"/>
    <w:rsid w:val="00C06EEE"/>
    <w:rsid w:val="00C07D95"/>
    <w:rsid w:val="00C2343A"/>
    <w:rsid w:val="00C33F57"/>
    <w:rsid w:val="00C374DE"/>
    <w:rsid w:val="00C4602D"/>
    <w:rsid w:val="00C47AD4"/>
    <w:rsid w:val="00C52D81"/>
    <w:rsid w:val="00C55198"/>
    <w:rsid w:val="00C72166"/>
    <w:rsid w:val="00C81318"/>
    <w:rsid w:val="00C94BF7"/>
    <w:rsid w:val="00CA6393"/>
    <w:rsid w:val="00CB18FF"/>
    <w:rsid w:val="00CB1AD4"/>
    <w:rsid w:val="00CC3B9A"/>
    <w:rsid w:val="00CC4287"/>
    <w:rsid w:val="00CC6698"/>
    <w:rsid w:val="00CD0C08"/>
    <w:rsid w:val="00CD2596"/>
    <w:rsid w:val="00CD7065"/>
    <w:rsid w:val="00CE03FB"/>
    <w:rsid w:val="00CE433C"/>
    <w:rsid w:val="00CF0161"/>
    <w:rsid w:val="00CF0AC4"/>
    <w:rsid w:val="00CF124B"/>
    <w:rsid w:val="00CF33F3"/>
    <w:rsid w:val="00CF5223"/>
    <w:rsid w:val="00D06183"/>
    <w:rsid w:val="00D103E1"/>
    <w:rsid w:val="00D15E83"/>
    <w:rsid w:val="00D22C42"/>
    <w:rsid w:val="00D51089"/>
    <w:rsid w:val="00D6001B"/>
    <w:rsid w:val="00D65041"/>
    <w:rsid w:val="00D65BC1"/>
    <w:rsid w:val="00D660F3"/>
    <w:rsid w:val="00D661DE"/>
    <w:rsid w:val="00D70025"/>
    <w:rsid w:val="00D74C0A"/>
    <w:rsid w:val="00D8227D"/>
    <w:rsid w:val="00D84504"/>
    <w:rsid w:val="00DB1936"/>
    <w:rsid w:val="00DB384B"/>
    <w:rsid w:val="00DB6BDD"/>
    <w:rsid w:val="00DC3E53"/>
    <w:rsid w:val="00DC61C2"/>
    <w:rsid w:val="00DE0051"/>
    <w:rsid w:val="00DE0E66"/>
    <w:rsid w:val="00DF0189"/>
    <w:rsid w:val="00DF5B1D"/>
    <w:rsid w:val="00E06FD5"/>
    <w:rsid w:val="00E077C5"/>
    <w:rsid w:val="00E10E80"/>
    <w:rsid w:val="00E11E1D"/>
    <w:rsid w:val="00E124F0"/>
    <w:rsid w:val="00E13863"/>
    <w:rsid w:val="00E224F8"/>
    <w:rsid w:val="00E227F3"/>
    <w:rsid w:val="00E23618"/>
    <w:rsid w:val="00E23832"/>
    <w:rsid w:val="00E335C6"/>
    <w:rsid w:val="00E34D4C"/>
    <w:rsid w:val="00E545C6"/>
    <w:rsid w:val="00E60F04"/>
    <w:rsid w:val="00E65B24"/>
    <w:rsid w:val="00E6643B"/>
    <w:rsid w:val="00E77404"/>
    <w:rsid w:val="00E854E4"/>
    <w:rsid w:val="00E86DBF"/>
    <w:rsid w:val="00E94CDB"/>
    <w:rsid w:val="00E96D2A"/>
    <w:rsid w:val="00EA1D83"/>
    <w:rsid w:val="00EA358F"/>
    <w:rsid w:val="00EA66F3"/>
    <w:rsid w:val="00EB0D6F"/>
    <w:rsid w:val="00EB2232"/>
    <w:rsid w:val="00EC5337"/>
    <w:rsid w:val="00ED09C6"/>
    <w:rsid w:val="00ED6829"/>
    <w:rsid w:val="00ED6D46"/>
    <w:rsid w:val="00ED7E64"/>
    <w:rsid w:val="00EE181B"/>
    <w:rsid w:val="00EE49E8"/>
    <w:rsid w:val="00EF50C6"/>
    <w:rsid w:val="00F16724"/>
    <w:rsid w:val="00F16BAB"/>
    <w:rsid w:val="00F2150A"/>
    <w:rsid w:val="00F231D8"/>
    <w:rsid w:val="00F24BB9"/>
    <w:rsid w:val="00F2696D"/>
    <w:rsid w:val="00F32D3D"/>
    <w:rsid w:val="00F44C00"/>
    <w:rsid w:val="00F45D2C"/>
    <w:rsid w:val="00F46644"/>
    <w:rsid w:val="00F46C5F"/>
    <w:rsid w:val="00F46FE1"/>
    <w:rsid w:val="00F57722"/>
    <w:rsid w:val="00F61EB5"/>
    <w:rsid w:val="00F632C0"/>
    <w:rsid w:val="00F658AF"/>
    <w:rsid w:val="00F66005"/>
    <w:rsid w:val="00F74710"/>
    <w:rsid w:val="00F779CD"/>
    <w:rsid w:val="00F82E1E"/>
    <w:rsid w:val="00F94A63"/>
    <w:rsid w:val="00F96FD5"/>
    <w:rsid w:val="00FA1C28"/>
    <w:rsid w:val="00FA63F4"/>
    <w:rsid w:val="00FB1279"/>
    <w:rsid w:val="00FB2E30"/>
    <w:rsid w:val="00FB6B76"/>
    <w:rsid w:val="00FB7596"/>
    <w:rsid w:val="00FE4077"/>
    <w:rsid w:val="00FE500D"/>
    <w:rsid w:val="00FE6522"/>
    <w:rsid w:val="00FE7298"/>
    <w:rsid w:val="00FE77D2"/>
    <w:rsid w:val="00FF6674"/>
    <w:rsid w:val="058AC576"/>
    <w:rsid w:val="19AA7067"/>
    <w:rsid w:val="1C796D00"/>
    <w:rsid w:val="1E2D52C8"/>
    <w:rsid w:val="28EA9D13"/>
    <w:rsid w:val="3BD6A6F4"/>
    <w:rsid w:val="4022AFA4"/>
    <w:rsid w:val="42CF1146"/>
    <w:rsid w:val="481758D4"/>
    <w:rsid w:val="56C39A5B"/>
    <w:rsid w:val="56D196FD"/>
    <w:rsid w:val="5D22BD84"/>
    <w:rsid w:val="62D8C77F"/>
    <w:rsid w:val="63EF51C3"/>
    <w:rsid w:val="72634E97"/>
    <w:rsid w:val="7A27DD6A"/>
    <w:rsid w:val="7F82D1F1"/>
    <w:rsid w:val="7F8E2677"/>
    <w:rsid w:val="7FF38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287E0054-B899-4984-802C-A6F1570A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850B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4F14"/>
    <w:rPr>
      <w:color w:val="605E5C"/>
      <w:shd w:val="clear" w:color="auto" w:fill="E1DFDD"/>
    </w:rPr>
  </w:style>
  <w:style w:type="paragraph" w:styleId="ListParagraph">
    <w:name w:val="List Paragraph"/>
    <w:basedOn w:val="Normal"/>
    <w:uiPriority w:val="34"/>
    <w:qFormat/>
    <w:rsid w:val="00390154"/>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NoSpacing">
    <w:name w:val="No Spacing"/>
    <w:uiPriority w:val="1"/>
    <w:qFormat/>
    <w:rsid w:val="005D018B"/>
    <w:rPr>
      <w:rFonts w:asciiTheme="minorHAnsi" w:eastAsiaTheme="minorHAnsi" w:hAnsiTheme="minorHAnsi" w:cstheme="minorBidi"/>
      <w:kern w:val="2"/>
      <w:sz w:val="24"/>
      <w:szCs w:val="24"/>
      <w:lang w:val="en-GB" w:eastAsia="en-US"/>
      <w14:ligatures w14:val="standardContextual"/>
    </w:rPr>
  </w:style>
  <w:style w:type="character" w:styleId="CommentReference">
    <w:name w:val="annotation reference"/>
    <w:basedOn w:val="DefaultParagraphFont"/>
    <w:uiPriority w:val="99"/>
    <w:semiHidden/>
    <w:unhideWhenUsed/>
    <w:qFormat/>
    <w:rsid w:val="008D70E8"/>
    <w:rPr>
      <w:sz w:val="16"/>
      <w:szCs w:val="16"/>
    </w:rPr>
  </w:style>
  <w:style w:type="paragraph" w:styleId="CommentText">
    <w:name w:val="annotation text"/>
    <w:basedOn w:val="Normal"/>
    <w:link w:val="CommentTextChar"/>
    <w:unhideWhenUsed/>
    <w:rsid w:val="008D70E8"/>
    <w:pPr>
      <w:suppressAutoHyphens/>
      <w:overflowPunct/>
      <w:autoSpaceDE/>
      <w:autoSpaceDN/>
      <w:adjustRightInd/>
    </w:pPr>
    <w:rPr>
      <w:sz w:val="20"/>
    </w:rPr>
  </w:style>
  <w:style w:type="character" w:customStyle="1" w:styleId="CommentTextChar">
    <w:name w:val="Comment Text Char"/>
    <w:basedOn w:val="DefaultParagraphFont"/>
    <w:link w:val="CommentText"/>
    <w:rsid w:val="008D70E8"/>
    <w:rPr>
      <w:rFonts w:ascii="Calibri" w:hAnsi="Calibri"/>
      <w:lang w:val="en-GB" w:eastAsia="en-US"/>
    </w:rPr>
  </w:style>
  <w:style w:type="character" w:customStyle="1" w:styleId="apple-converted-space">
    <w:name w:val="apple-converted-space"/>
    <w:basedOn w:val="DefaultParagraphFont"/>
    <w:rsid w:val="00047E35"/>
  </w:style>
  <w:style w:type="paragraph" w:styleId="Revision">
    <w:name w:val="Revision"/>
    <w:hidden/>
    <w:uiPriority w:val="99"/>
    <w:semiHidden/>
    <w:rsid w:val="004B7E0F"/>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D8227D"/>
    <w:pPr>
      <w:suppressAutoHyphens w:val="0"/>
      <w:overflowPunct w:val="0"/>
      <w:autoSpaceDE w:val="0"/>
      <w:autoSpaceDN w:val="0"/>
      <w:adjustRightInd w:val="0"/>
    </w:pPr>
    <w:rPr>
      <w:b/>
      <w:bCs/>
    </w:rPr>
  </w:style>
  <w:style w:type="character" w:customStyle="1" w:styleId="CommentSubjectChar">
    <w:name w:val="Comment Subject Char"/>
    <w:basedOn w:val="CommentTextChar"/>
    <w:link w:val="CommentSubject"/>
    <w:semiHidden/>
    <w:rsid w:val="00D8227D"/>
    <w:rPr>
      <w:rFonts w:ascii="Calibri" w:hAnsi="Calibri"/>
      <w:b/>
      <w:bCs/>
      <w:lang w:val="en-GB" w:eastAsia="en-US"/>
    </w:rPr>
  </w:style>
  <w:style w:type="character" w:styleId="Mention">
    <w:name w:val="Mention"/>
    <w:basedOn w:val="DefaultParagraphFont"/>
    <w:uiPriority w:val="99"/>
    <w:unhideWhenUsed/>
    <w:rsid w:val="00D8227D"/>
    <w:rPr>
      <w:color w:val="2B579A"/>
      <w:shd w:val="clear" w:color="auto" w:fill="E1DFDD"/>
    </w:rPr>
  </w:style>
  <w:style w:type="character" w:customStyle="1" w:styleId="normaltextrun">
    <w:name w:val="normaltextrun"/>
    <w:basedOn w:val="DefaultParagraphFont"/>
    <w:rsid w:val="0049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80261">
      <w:bodyDiv w:val="1"/>
      <w:marLeft w:val="0"/>
      <w:marRight w:val="0"/>
      <w:marTop w:val="0"/>
      <w:marBottom w:val="0"/>
      <w:divBdr>
        <w:top w:val="none" w:sz="0" w:space="0" w:color="auto"/>
        <w:left w:val="none" w:sz="0" w:space="0" w:color="auto"/>
        <w:bottom w:val="none" w:sz="0" w:space="0" w:color="auto"/>
        <w:right w:val="none" w:sz="0" w:space="0" w:color="auto"/>
      </w:divBdr>
    </w:div>
    <w:div w:id="19098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CL-C-0017/en" TargetMode="External"/><Relationship Id="rId18" Type="http://schemas.openxmlformats.org/officeDocument/2006/relationships/hyperlink" Target="https://www.itu.int/md/S25-CL-C-0012/en" TargetMode="External"/><Relationship Id="rId26" Type="http://schemas.openxmlformats.org/officeDocument/2006/relationships/hyperlink" Target="https://www.itu.int/md/S25-CL-C-0017/en" TargetMode="External"/><Relationship Id="rId39" Type="http://schemas.openxmlformats.org/officeDocument/2006/relationships/header" Target="header1.xml"/><Relationship Id="rId21" Type="http://schemas.openxmlformats.org/officeDocument/2006/relationships/hyperlink" Target="https://www.itu.int/md/S25-CL-C-0015/en" TargetMode="External"/><Relationship Id="rId34" Type="http://schemas.openxmlformats.org/officeDocument/2006/relationships/hyperlink" Target="https://www.itu.int/md/S25-RCLCWGLANG16-C-0003/en"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5-CL-C-0100/en" TargetMode="External"/><Relationship Id="rId20" Type="http://schemas.openxmlformats.org/officeDocument/2006/relationships/hyperlink" Target="https://www.itu.int/md/S25-CL-C-0036/en" TargetMode="External"/><Relationship Id="rId29" Type="http://schemas.openxmlformats.org/officeDocument/2006/relationships/hyperlink" Target="https://www.itu.int/md/S25-CL-C-0100/e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56/en" TargetMode="External"/><Relationship Id="rId24" Type="http://schemas.openxmlformats.org/officeDocument/2006/relationships/hyperlink" Target="https://www.itu.int/md/S25-CL-C-0043/en" TargetMode="External"/><Relationship Id="rId32" Type="http://schemas.openxmlformats.org/officeDocument/2006/relationships/hyperlink" Target="https://www.itu.int/md/S25-CL-C-0012/en" TargetMode="External"/><Relationship Id="rId37" Type="http://schemas.openxmlformats.org/officeDocument/2006/relationships/hyperlink" Target="https://www.itu.int/md/S25-CL-INF-0003/en"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5-CL-C-0089/en" TargetMode="External"/><Relationship Id="rId23" Type="http://schemas.openxmlformats.org/officeDocument/2006/relationships/hyperlink" Target="https://www.itu.int/md/S25-CL-C-0096/en" TargetMode="External"/><Relationship Id="rId28" Type="http://schemas.openxmlformats.org/officeDocument/2006/relationships/hyperlink" Target="https://www.itu.int/md/S25-CL-C-0089/en" TargetMode="External"/><Relationship Id="rId36" Type="http://schemas.openxmlformats.org/officeDocument/2006/relationships/hyperlink" Target="https://www.itu.int/md/S25-CL-C-0036/en" TargetMode="External"/><Relationship Id="rId10" Type="http://schemas.openxmlformats.org/officeDocument/2006/relationships/endnotes" Target="endnotes.xml"/><Relationship Id="rId19" Type="http://schemas.openxmlformats.org/officeDocument/2006/relationships/hyperlink" Target="https://www.itu.int/md/S25-CL-C-0078/en" TargetMode="External"/><Relationship Id="rId31" Type="http://schemas.openxmlformats.org/officeDocument/2006/relationships/hyperlink" Target="https://dr-birgit-woerle.ch/lipedema/?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76/en" TargetMode="External"/><Relationship Id="rId22" Type="http://schemas.openxmlformats.org/officeDocument/2006/relationships/hyperlink" Target="https://www.itu.int/md/S25-CL-C-0056/en" TargetMode="External"/><Relationship Id="rId27" Type="http://schemas.openxmlformats.org/officeDocument/2006/relationships/hyperlink" Target="https://www.itu.int/md/S25-CL-C-0076/en" TargetMode="External"/><Relationship Id="rId30" Type="http://schemas.openxmlformats.org/officeDocument/2006/relationships/hyperlink" Target="https://www.itu.int/md/S25-CL-C-0027/en" TargetMode="External"/><Relationship Id="rId35" Type="http://schemas.openxmlformats.org/officeDocument/2006/relationships/hyperlink" Target="https://www.itu.int/md/S25-CL-INF-0007/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5-CL-C-0096/en" TargetMode="External"/><Relationship Id="rId17" Type="http://schemas.openxmlformats.org/officeDocument/2006/relationships/hyperlink" Target="https://www.itu.int/md/S25-CL-C-0027/en" TargetMode="External"/><Relationship Id="rId25" Type="http://schemas.openxmlformats.org/officeDocument/2006/relationships/hyperlink" Target="https://www.itu.int/md/S25-CL-C-0052/en" TargetMode="External"/><Relationship Id="rId33" Type="http://schemas.openxmlformats.org/officeDocument/2006/relationships/hyperlink" Target="https://www.itu.int/md/S25-CL-C-0078/en"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63BD71D923694AB04A041A1BC45D17" ma:contentTypeVersion="8" ma:contentTypeDescription="Create a new document." ma:contentTypeScope="" ma:versionID="de0513f2ad6dc4e5b16b5c2bfd599a2f">
  <xsd:schema xmlns:xsd="http://www.w3.org/2001/XMLSchema" xmlns:xs="http://www.w3.org/2001/XMLSchema" xmlns:p="http://schemas.microsoft.com/office/2006/metadata/properties" xmlns:ns2="c08476b2-9c57-4f48-ac56-b4cf077e331d" targetNamespace="http://schemas.microsoft.com/office/2006/metadata/properties" ma:root="true" ma:fieldsID="77c64819d5a3bbe6d44ee0d056f8d7ad" ns2:_="">
    <xsd:import namespace="c08476b2-9c57-4f48-ac56-b4cf077e3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76b2-9c57-4f48-ac56-b4cf077e3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17C09E-7F0E-4902-8DBD-FCD22B13F6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F0C96-A37C-4F44-BF33-21127A1643FB}">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F5116B69-25C1-4EEF-9F49-40D4A0A91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76b2-9c57-4f48-ac56-b4cf077e3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3493</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Summary record of the fifth Plenary meeting</vt:lpstr>
    </vt:vector>
  </TitlesOfParts>
  <Manager/>
  <Company/>
  <LinksUpToDate>false</LinksUpToDate>
  <CharactersWithSpaces>25568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fifth Plenary meeting</dc:title>
  <dc:subject>ITU Council 2025</dc:subject>
  <dc:creator>Brouard, Ricarda</dc:creator>
  <cp:keywords>C2025, C25, Council-25</cp:keywords>
  <dc:description/>
  <cp:lastModifiedBy>GBS</cp:lastModifiedBy>
  <cp:revision>3</cp:revision>
  <dcterms:created xsi:type="dcterms:W3CDTF">2025-09-01T08:19:00Z</dcterms:created>
  <dcterms:modified xsi:type="dcterms:W3CDTF">2025-09-01T08:21:00Z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0x0101006163BD71D923694AB04A041A1BC45D17</vt:lpwstr>
  </property>
  <property fmtid="{D5CDD505-2E9C-101B-9397-08002B2CF9AE}" pid="3" name="MediaServiceImageTags">
    <vt:lpwstr/>
  </property>
  <property fmtid="{D5CDD505-2E9C-101B-9397-08002B2CF9AE}" pid="4" name="GrammarlyDocumentId">
    <vt:lpwstr>807f7827-f943-477b-881c-df7ca562a114</vt:lpwstr>
  </property>
</Properties>
</file>