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5507"/>
        <w:gridCol w:w="708"/>
        <w:gridCol w:w="2264"/>
      </w:tblGrid>
      <w:tr w:rsidR="007B0AA0" w14:paraId="439B5F42" w14:textId="77777777" w:rsidTr="00935824">
        <w:tc>
          <w:tcPr>
            <w:tcW w:w="6099" w:type="dxa"/>
            <w:gridSpan w:val="2"/>
          </w:tcPr>
          <w:p w14:paraId="1ACEE0CA" w14:textId="36422810" w:rsidR="007B0AA0" w:rsidRPr="007B0AA0" w:rsidRDefault="007B0AA0" w:rsidP="00F363FE">
            <w:pPr>
              <w:spacing w:before="60" w:after="60" w:line="260" w:lineRule="exact"/>
              <w:rPr>
                <w:b/>
                <w:bCs/>
                <w:rtl/>
                <w:lang w:bidi="ar-EG"/>
              </w:rPr>
            </w:pPr>
          </w:p>
        </w:tc>
        <w:tc>
          <w:tcPr>
            <w:tcW w:w="2972" w:type="dxa"/>
            <w:gridSpan w:val="2"/>
          </w:tcPr>
          <w:p w14:paraId="0D9260E1" w14:textId="113A9015"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3E5F6B">
              <w:rPr>
                <w:b/>
                <w:bCs/>
                <w:lang w:bidi="ar-EG"/>
              </w:rPr>
              <w:t>111</w:t>
            </w:r>
            <w:r w:rsidRPr="007B0AA0">
              <w:rPr>
                <w:b/>
                <w:bCs/>
                <w:lang w:bidi="ar-EG"/>
              </w:rPr>
              <w:t>-A</w:t>
            </w:r>
          </w:p>
        </w:tc>
      </w:tr>
      <w:tr w:rsidR="007B0AA0" w14:paraId="3F8A09FB" w14:textId="77777777" w:rsidTr="00935824">
        <w:tc>
          <w:tcPr>
            <w:tcW w:w="6099" w:type="dxa"/>
            <w:gridSpan w:val="2"/>
          </w:tcPr>
          <w:p w14:paraId="3AA23C0F" w14:textId="77777777" w:rsidR="007B0AA0" w:rsidRPr="007B0AA0" w:rsidRDefault="007B0AA0" w:rsidP="00F363FE">
            <w:pPr>
              <w:spacing w:before="60" w:after="60" w:line="260" w:lineRule="exact"/>
              <w:rPr>
                <w:b/>
                <w:bCs/>
                <w:rtl/>
                <w:lang w:bidi="ar-EG"/>
              </w:rPr>
            </w:pPr>
          </w:p>
        </w:tc>
        <w:tc>
          <w:tcPr>
            <w:tcW w:w="2972" w:type="dxa"/>
            <w:gridSpan w:val="2"/>
          </w:tcPr>
          <w:p w14:paraId="7CE6DBC5" w14:textId="58C51B92" w:rsidR="007B0AA0" w:rsidRPr="008664E2" w:rsidRDefault="00385D86" w:rsidP="00F363FE">
            <w:pPr>
              <w:spacing w:before="60" w:after="60" w:line="260" w:lineRule="exact"/>
              <w:rPr>
                <w:b/>
                <w:bCs/>
                <w:rtl/>
                <w:lang w:bidi="ar-EG"/>
              </w:rPr>
            </w:pPr>
            <w:r>
              <w:rPr>
                <w:b/>
                <w:bCs/>
                <w:lang w:bidi="ar-EG"/>
              </w:rPr>
              <w:t>1</w:t>
            </w:r>
            <w:r w:rsidR="00935824" w:rsidRPr="008664E2">
              <w:rPr>
                <w:b/>
                <w:bCs/>
                <w:rtl/>
                <w:lang w:bidi="ar-EG"/>
              </w:rPr>
              <w:t xml:space="preserve"> </w:t>
            </w:r>
            <w:r>
              <w:rPr>
                <w:rFonts w:hint="cs"/>
                <w:b/>
                <w:bCs/>
                <w:rtl/>
                <w:lang w:bidi="ar-EG"/>
              </w:rPr>
              <w:t xml:space="preserve">سبتمبر </w:t>
            </w:r>
            <w:r w:rsidR="00935824" w:rsidRPr="008664E2">
              <w:rPr>
                <w:b/>
                <w:bCs/>
                <w:rtl/>
                <w:lang w:bidi="ar-EG"/>
              </w:rPr>
              <w:t>2025</w:t>
            </w:r>
          </w:p>
        </w:tc>
      </w:tr>
      <w:tr w:rsidR="007B0AA0" w14:paraId="61D1D823" w14:textId="77777777" w:rsidTr="00935824">
        <w:tc>
          <w:tcPr>
            <w:tcW w:w="6099" w:type="dxa"/>
            <w:gridSpan w:val="2"/>
          </w:tcPr>
          <w:p w14:paraId="2DADADF0" w14:textId="77777777" w:rsidR="007B0AA0" w:rsidRPr="007B0AA0" w:rsidRDefault="007B0AA0" w:rsidP="00F363FE">
            <w:pPr>
              <w:spacing w:before="60" w:after="60" w:line="260" w:lineRule="exact"/>
              <w:rPr>
                <w:b/>
                <w:bCs/>
                <w:rtl/>
                <w:lang w:bidi="ar-EG"/>
              </w:rPr>
            </w:pPr>
          </w:p>
        </w:tc>
        <w:tc>
          <w:tcPr>
            <w:tcW w:w="2972" w:type="dxa"/>
            <w:gridSpan w:val="2"/>
          </w:tcPr>
          <w:p w14:paraId="7AF69C29"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288B60A" w14:textId="77777777" w:rsidTr="00935824">
        <w:tc>
          <w:tcPr>
            <w:tcW w:w="6099" w:type="dxa"/>
            <w:gridSpan w:val="2"/>
          </w:tcPr>
          <w:p w14:paraId="4A5DB1AC" w14:textId="77777777" w:rsidR="007B0AA0" w:rsidRDefault="007B0AA0" w:rsidP="00F363FE">
            <w:pPr>
              <w:spacing w:before="60" w:after="60" w:line="260" w:lineRule="exact"/>
              <w:rPr>
                <w:lang w:bidi="ar-EG"/>
              </w:rPr>
            </w:pPr>
          </w:p>
        </w:tc>
        <w:tc>
          <w:tcPr>
            <w:tcW w:w="2972" w:type="dxa"/>
            <w:gridSpan w:val="2"/>
          </w:tcPr>
          <w:p w14:paraId="0775F019" w14:textId="77777777" w:rsidR="007B0AA0" w:rsidRDefault="007B0AA0" w:rsidP="00F363FE">
            <w:pPr>
              <w:spacing w:before="60" w:after="60" w:line="260" w:lineRule="exact"/>
              <w:rPr>
                <w:rtl/>
                <w:lang w:bidi="ar-EG"/>
              </w:rPr>
            </w:pPr>
          </w:p>
        </w:tc>
      </w:tr>
      <w:tr w:rsidR="007B0AA0" w14:paraId="16544DBA" w14:textId="77777777" w:rsidTr="0002510E">
        <w:trPr>
          <w:trHeight w:val="1049"/>
        </w:trPr>
        <w:tc>
          <w:tcPr>
            <w:tcW w:w="9071" w:type="dxa"/>
            <w:gridSpan w:val="4"/>
          </w:tcPr>
          <w:p w14:paraId="61BC77FF" w14:textId="7F5CBD7F" w:rsidR="007B0AA0" w:rsidRDefault="00935824" w:rsidP="003E5F6B">
            <w:pPr>
              <w:pStyle w:val="Source"/>
              <w:rPr>
                <w:lang w:bidi="ar-EG"/>
              </w:rPr>
            </w:pPr>
            <w:r w:rsidRPr="00935824">
              <w:rPr>
                <w:rtl/>
              </w:rPr>
              <w:t>محضر موجز</w:t>
            </w:r>
            <w:r>
              <w:br/>
            </w:r>
            <w:r w:rsidR="003E5F6B" w:rsidRPr="003E5F6B">
              <w:rPr>
                <w:rtl/>
              </w:rPr>
              <w:t>للجلسة العامة</w:t>
            </w:r>
            <w:r w:rsidR="003E5F6B" w:rsidRPr="003E5F6B">
              <w:t xml:space="preserve"> </w:t>
            </w:r>
            <w:r w:rsidR="003E5F6B" w:rsidRPr="003E5F6B">
              <w:rPr>
                <w:rtl/>
              </w:rPr>
              <w:t>الخامسة</w:t>
            </w:r>
          </w:p>
        </w:tc>
      </w:tr>
      <w:tr w:rsidR="007B0AA0" w14:paraId="38034A62" w14:textId="77777777" w:rsidTr="00935824">
        <w:tc>
          <w:tcPr>
            <w:tcW w:w="9071" w:type="dxa"/>
            <w:gridSpan w:val="4"/>
          </w:tcPr>
          <w:p w14:paraId="266952B9" w14:textId="0856899B" w:rsidR="007B0AA0" w:rsidRDefault="003E5F6B" w:rsidP="003E5F6B">
            <w:pPr>
              <w:jc w:val="center"/>
            </w:pPr>
            <w:r w:rsidRPr="003E5F6B">
              <w:rPr>
                <w:rtl/>
              </w:rPr>
              <w:t>الأربعاء</w:t>
            </w:r>
            <w:r w:rsidR="00D34058">
              <w:rPr>
                <w:rFonts w:hint="cs"/>
                <w:rtl/>
              </w:rPr>
              <w:t>،</w:t>
            </w:r>
            <w:r w:rsidRPr="003E5F6B">
              <w:rPr>
                <w:rtl/>
              </w:rPr>
              <w:t xml:space="preserve"> 25 يونيو 2025، من الساعة 09:30 إلى الساعة 12:40</w:t>
            </w:r>
          </w:p>
          <w:p w14:paraId="3B36951D" w14:textId="5F7CB06D" w:rsidR="00935824" w:rsidRPr="0002510E" w:rsidRDefault="003E5F6B" w:rsidP="003E5F6B">
            <w:pPr>
              <w:jc w:val="center"/>
            </w:pPr>
            <w:r w:rsidRPr="003E5F6B">
              <w:rPr>
                <w:b/>
                <w:bCs/>
                <w:rtl/>
              </w:rPr>
              <w:t>الرئيسة</w:t>
            </w:r>
            <w:r w:rsidRPr="003E5F6B">
              <w:rPr>
                <w:rtl/>
              </w:rPr>
              <w:t xml:space="preserve">: السيدة </w:t>
            </w:r>
            <w:r w:rsidR="00F02819">
              <w:rPr>
                <w:rFonts w:hint="cs"/>
                <w:rtl/>
              </w:rPr>
              <w:t>ك.</w:t>
            </w:r>
            <w:r w:rsidRPr="003E5F6B">
              <w:rPr>
                <w:rtl/>
              </w:rPr>
              <w:t xml:space="preserve"> </w:t>
            </w:r>
            <w:proofErr w:type="spellStart"/>
            <w:r w:rsidRPr="003E5F6B">
              <w:rPr>
                <w:rtl/>
              </w:rPr>
              <w:t>فلوتور</w:t>
            </w:r>
            <w:proofErr w:type="spellEnd"/>
            <w:r w:rsidRPr="003E5F6B">
              <w:rPr>
                <w:rtl/>
              </w:rPr>
              <w:t xml:space="preserve"> (رومانيا)</w:t>
            </w:r>
          </w:p>
        </w:tc>
      </w:tr>
      <w:tr w:rsidR="00935824" w14:paraId="415FBF8D" w14:textId="77777777" w:rsidTr="00935824">
        <w:tc>
          <w:tcPr>
            <w:tcW w:w="592" w:type="dxa"/>
          </w:tcPr>
          <w:p w14:paraId="6281A77B" w14:textId="77777777" w:rsidR="00935824" w:rsidRPr="00935824" w:rsidRDefault="00935824" w:rsidP="00987455">
            <w:pPr>
              <w:spacing w:before="480"/>
              <w:jc w:val="center"/>
              <w:rPr>
                <w:b/>
                <w:bCs/>
                <w:rtl/>
              </w:rPr>
            </w:pPr>
          </w:p>
        </w:tc>
        <w:tc>
          <w:tcPr>
            <w:tcW w:w="6215" w:type="dxa"/>
            <w:gridSpan w:val="2"/>
          </w:tcPr>
          <w:p w14:paraId="2302FAA5" w14:textId="0123556B" w:rsidR="00935824" w:rsidRPr="00935824" w:rsidRDefault="00935824" w:rsidP="00987455">
            <w:pPr>
              <w:spacing w:before="480"/>
              <w:jc w:val="left"/>
              <w:rPr>
                <w:b/>
                <w:bCs/>
                <w:rtl/>
              </w:rPr>
            </w:pPr>
            <w:r>
              <w:rPr>
                <w:b/>
                <w:bCs/>
                <w:color w:val="000000"/>
                <w:rtl/>
              </w:rPr>
              <w:t>المواضيع التي نوقشت</w:t>
            </w:r>
          </w:p>
        </w:tc>
        <w:tc>
          <w:tcPr>
            <w:tcW w:w="2264" w:type="dxa"/>
          </w:tcPr>
          <w:p w14:paraId="4AA89B6F" w14:textId="51E6E657" w:rsidR="00935824" w:rsidRPr="00935824" w:rsidRDefault="00935824" w:rsidP="00987455">
            <w:pPr>
              <w:spacing w:before="480"/>
              <w:jc w:val="center"/>
              <w:rPr>
                <w:b/>
                <w:bCs/>
                <w:rtl/>
              </w:rPr>
            </w:pPr>
            <w:r w:rsidRPr="00935824">
              <w:rPr>
                <w:b/>
                <w:bCs/>
                <w:rtl/>
              </w:rPr>
              <w:t>الوثائق</w:t>
            </w:r>
          </w:p>
        </w:tc>
      </w:tr>
      <w:tr w:rsidR="00987455" w14:paraId="0B585812" w14:textId="77777777" w:rsidTr="00935824">
        <w:tc>
          <w:tcPr>
            <w:tcW w:w="592" w:type="dxa"/>
          </w:tcPr>
          <w:p w14:paraId="504FE816" w14:textId="7E7BF1DD" w:rsidR="00987455" w:rsidRPr="00935824" w:rsidRDefault="00987455" w:rsidP="00987455">
            <w:pPr>
              <w:jc w:val="center"/>
              <w:rPr>
                <w:rtl/>
              </w:rPr>
            </w:pPr>
            <w:bookmarkStart w:id="0" w:name="_Hlk204260402"/>
            <w:r>
              <w:t>1</w:t>
            </w:r>
          </w:p>
        </w:tc>
        <w:tc>
          <w:tcPr>
            <w:tcW w:w="6215" w:type="dxa"/>
            <w:gridSpan w:val="2"/>
          </w:tcPr>
          <w:p w14:paraId="2487709B" w14:textId="3E2F6BD5" w:rsidR="00987455" w:rsidRPr="003E5F6B" w:rsidRDefault="003E5F6B" w:rsidP="003E5F6B">
            <w:pPr>
              <w:rPr>
                <w:color w:val="000000"/>
                <w:rtl/>
              </w:rPr>
            </w:pPr>
            <w:r w:rsidRPr="003E5F6B">
              <w:rPr>
                <w:color w:val="000000"/>
                <w:rtl/>
              </w:rPr>
              <w:t xml:space="preserve">تقرير </w:t>
            </w:r>
            <w:r w:rsidRPr="000968AF">
              <w:rPr>
                <w:color w:val="000000"/>
                <w:rtl/>
              </w:rPr>
              <w:t>رئيس</w:t>
            </w:r>
            <w:r w:rsidRPr="003E5F6B">
              <w:rPr>
                <w:color w:val="000000"/>
                <w:rtl/>
              </w:rPr>
              <w:t xml:space="preserve"> فريق العمل التابع للمجلس والمعني بحماية الأطفال على الإنترنت</w:t>
            </w:r>
          </w:p>
        </w:tc>
        <w:bookmarkStart w:id="1" w:name="_Hlk201756613"/>
        <w:tc>
          <w:tcPr>
            <w:tcW w:w="2264" w:type="dxa"/>
          </w:tcPr>
          <w:p w14:paraId="7AF7B143" w14:textId="56515D28" w:rsidR="00987455" w:rsidRPr="00753F98" w:rsidRDefault="003E5F6B" w:rsidP="00C06A77">
            <w:pPr>
              <w:jc w:val="center"/>
              <w:rPr>
                <w:color w:val="5B9BD5" w:themeColor="accent1"/>
                <w:u w:val="single"/>
                <w:rtl/>
              </w:rPr>
            </w:pPr>
            <w:r w:rsidRPr="00753F98">
              <w:rPr>
                <w:color w:val="5B9BD5" w:themeColor="accent1"/>
                <w:u w:val="single"/>
                <w:lang w:val="en-GB" w:bidi="ar-EG"/>
              </w:rPr>
              <w:fldChar w:fldCharType="begin"/>
            </w:r>
            <w:r w:rsidRPr="00753F98">
              <w:rPr>
                <w:color w:val="5B9BD5" w:themeColor="accent1"/>
                <w:u w:val="single"/>
                <w:lang w:val="en-GB" w:bidi="ar-EG"/>
              </w:rPr>
              <w:instrText>HYPERLINK "https://www.itu.int/md/S25-CL-C-0015/en"</w:instrText>
            </w:r>
            <w:r w:rsidRPr="00753F98">
              <w:rPr>
                <w:color w:val="5B9BD5" w:themeColor="accent1"/>
                <w:u w:val="single"/>
                <w:lang w:val="en-GB" w:bidi="ar-EG"/>
              </w:rPr>
            </w:r>
            <w:r w:rsidRPr="00753F98">
              <w:rPr>
                <w:color w:val="5B9BD5" w:themeColor="accent1"/>
                <w:u w:val="single"/>
                <w:lang w:val="en-GB" w:bidi="ar-EG"/>
              </w:rPr>
              <w:fldChar w:fldCharType="separate"/>
            </w:r>
            <w:r w:rsidRPr="00753F98">
              <w:rPr>
                <w:rStyle w:val="Hyperlink"/>
                <w:rFonts w:ascii="Dubai" w:eastAsiaTheme="minorEastAsia" w:hAnsi="Dubai" w:cs="Dubai"/>
                <w:noProof w:val="0"/>
                <w:sz w:val="22"/>
                <w:u w:val="single"/>
                <w:lang w:eastAsia="zh-CN" w:bidi="ar-EG"/>
              </w:rPr>
              <w:t>C25/15</w:t>
            </w:r>
            <w:bookmarkEnd w:id="1"/>
            <w:r w:rsidRPr="00753F98">
              <w:rPr>
                <w:color w:val="5B9BD5" w:themeColor="accent1"/>
                <w:u w:val="single"/>
                <w:lang w:bidi="ar-EG"/>
              </w:rPr>
              <w:fldChar w:fldCharType="end"/>
            </w:r>
          </w:p>
        </w:tc>
      </w:tr>
      <w:tr w:rsidR="00987455" w14:paraId="55BB7803" w14:textId="77777777" w:rsidTr="00935824">
        <w:tc>
          <w:tcPr>
            <w:tcW w:w="592" w:type="dxa"/>
          </w:tcPr>
          <w:p w14:paraId="628B382B" w14:textId="5DBB8295" w:rsidR="00987455" w:rsidRPr="00935824" w:rsidRDefault="00987455" w:rsidP="00987455">
            <w:pPr>
              <w:jc w:val="center"/>
              <w:rPr>
                <w:rtl/>
              </w:rPr>
            </w:pPr>
            <w:r>
              <w:t>2</w:t>
            </w:r>
          </w:p>
        </w:tc>
        <w:tc>
          <w:tcPr>
            <w:tcW w:w="6215" w:type="dxa"/>
            <w:gridSpan w:val="2"/>
          </w:tcPr>
          <w:p w14:paraId="11F6AEC7" w14:textId="060A5146" w:rsidR="00987455" w:rsidRPr="003E5F6B" w:rsidRDefault="003E5F6B" w:rsidP="004E6092">
            <w:pPr>
              <w:rPr>
                <w:color w:val="000000"/>
                <w:rtl/>
              </w:rPr>
            </w:pPr>
            <w:r w:rsidRPr="003E5F6B">
              <w:rPr>
                <w:color w:val="000000"/>
                <w:rtl/>
              </w:rPr>
              <w:t>تقرير عن القرار 214 (بوخارست، 2022) لمؤتمر المندوبين المفوضين، بشأن تكنولوجيات الذكاء الاصطناعي والاتصالات/تكنولوجيا المعلومات والاتصالات</w:t>
            </w:r>
          </w:p>
        </w:tc>
        <w:tc>
          <w:tcPr>
            <w:tcW w:w="2264" w:type="dxa"/>
          </w:tcPr>
          <w:p w14:paraId="3F9BC403" w14:textId="0DA2BA63" w:rsidR="00987455" w:rsidRPr="00753F98" w:rsidRDefault="003E5F6B" w:rsidP="00C06A77">
            <w:pPr>
              <w:jc w:val="center"/>
              <w:rPr>
                <w:rStyle w:val="Hyperlink"/>
                <w:rFonts w:ascii="Dubai" w:eastAsiaTheme="minorEastAsia" w:hAnsi="Dubai" w:cs="Dubai"/>
                <w:noProof w:val="0"/>
                <w:sz w:val="22"/>
                <w:rtl/>
                <w:lang w:eastAsia="zh-CN" w:bidi="ar-EG"/>
              </w:rPr>
            </w:pPr>
            <w:hyperlink r:id="rId8" w:history="1">
              <w:r w:rsidRPr="00753F98">
                <w:rPr>
                  <w:rStyle w:val="Hyperlink"/>
                  <w:rFonts w:ascii="Dubai" w:eastAsiaTheme="minorEastAsia" w:hAnsi="Dubai" w:cs="Dubai"/>
                  <w:noProof w:val="0"/>
                  <w:sz w:val="22"/>
                  <w:u w:val="single"/>
                  <w:lang w:eastAsia="zh-CN" w:bidi="ar-EG"/>
                </w:rPr>
                <w:t>C25/56</w:t>
              </w:r>
            </w:hyperlink>
            <w:r w:rsidR="00C06A77" w:rsidRPr="00753F98">
              <w:rPr>
                <w:rFonts w:hint="cs"/>
                <w:rtl/>
              </w:rPr>
              <w:t xml:space="preserve">، </w:t>
            </w:r>
            <w:hyperlink r:id="rId9" w:history="1">
              <w:r w:rsidRPr="00753F98">
                <w:rPr>
                  <w:rStyle w:val="Hyperlink"/>
                  <w:rFonts w:ascii="Dubai" w:eastAsiaTheme="minorEastAsia" w:hAnsi="Dubai" w:cs="Dubai"/>
                  <w:noProof w:val="0"/>
                  <w:sz w:val="22"/>
                  <w:u w:val="single"/>
                  <w:lang w:eastAsia="zh-CN" w:bidi="ar-EG"/>
                </w:rPr>
                <w:t>C25/96</w:t>
              </w:r>
            </w:hyperlink>
          </w:p>
        </w:tc>
      </w:tr>
      <w:tr w:rsidR="00987455" w14:paraId="6FD1D114" w14:textId="77777777" w:rsidTr="00935824">
        <w:tc>
          <w:tcPr>
            <w:tcW w:w="592" w:type="dxa"/>
          </w:tcPr>
          <w:p w14:paraId="5F443617" w14:textId="7D8D742E" w:rsidR="00987455" w:rsidRPr="00935824" w:rsidRDefault="00987455" w:rsidP="00987455">
            <w:pPr>
              <w:jc w:val="center"/>
              <w:rPr>
                <w:rtl/>
              </w:rPr>
            </w:pPr>
            <w:r>
              <w:t>3</w:t>
            </w:r>
          </w:p>
        </w:tc>
        <w:tc>
          <w:tcPr>
            <w:tcW w:w="6215" w:type="dxa"/>
            <w:gridSpan w:val="2"/>
          </w:tcPr>
          <w:p w14:paraId="56DBFF79" w14:textId="2CD0F3E8" w:rsidR="00987455" w:rsidRPr="003E5F6B" w:rsidRDefault="003E5F6B" w:rsidP="004E6092">
            <w:pPr>
              <w:rPr>
                <w:color w:val="000000"/>
                <w:rtl/>
              </w:rPr>
            </w:pPr>
            <w:r w:rsidRPr="003E5F6B">
              <w:rPr>
                <w:color w:val="000000"/>
                <w:rtl/>
              </w:rPr>
              <w:t>اليوم العالمي للاتصالات ومجتمع المعلومات</w:t>
            </w:r>
          </w:p>
        </w:tc>
        <w:tc>
          <w:tcPr>
            <w:tcW w:w="2264" w:type="dxa"/>
          </w:tcPr>
          <w:p w14:paraId="50E4AD1B" w14:textId="47BE0E7D" w:rsidR="00987455" w:rsidRPr="00753F98" w:rsidRDefault="003E5F6B" w:rsidP="00C06A77">
            <w:pPr>
              <w:jc w:val="center"/>
              <w:rPr>
                <w:rStyle w:val="Hyperlink"/>
                <w:rFonts w:ascii="Dubai" w:eastAsiaTheme="minorEastAsia" w:hAnsi="Dubai" w:cs="Dubai"/>
                <w:noProof w:val="0"/>
                <w:sz w:val="22"/>
                <w:rtl/>
                <w:lang w:eastAsia="zh-CN" w:bidi="ar-EG"/>
              </w:rPr>
            </w:pPr>
            <w:hyperlink r:id="rId10" w:history="1">
              <w:r w:rsidRPr="00753F98">
                <w:rPr>
                  <w:rStyle w:val="Hyperlink"/>
                  <w:rFonts w:ascii="Dubai" w:eastAsiaTheme="minorEastAsia" w:hAnsi="Dubai" w:cs="Dubai"/>
                  <w:noProof w:val="0"/>
                  <w:sz w:val="22"/>
                  <w:u w:val="single"/>
                  <w:lang w:eastAsia="zh-CN" w:bidi="ar-EG"/>
                </w:rPr>
                <w:t>C25/17</w:t>
              </w:r>
            </w:hyperlink>
            <w:r w:rsidR="00C06A77" w:rsidRPr="00753F98">
              <w:rPr>
                <w:rFonts w:hint="cs"/>
                <w:rtl/>
              </w:rPr>
              <w:t xml:space="preserve">، </w:t>
            </w:r>
            <w:hyperlink r:id="rId11" w:history="1">
              <w:r w:rsidRPr="00753F98">
                <w:rPr>
                  <w:rStyle w:val="Hyperlink"/>
                  <w:rFonts w:ascii="Dubai" w:eastAsiaTheme="minorEastAsia" w:hAnsi="Dubai" w:cs="Dubai"/>
                  <w:noProof w:val="0"/>
                  <w:sz w:val="22"/>
                  <w:u w:val="single"/>
                  <w:lang w:eastAsia="zh-CN" w:bidi="ar-EG"/>
                </w:rPr>
                <w:t>C25/76</w:t>
              </w:r>
            </w:hyperlink>
            <w:r w:rsidR="00753F98" w:rsidRPr="00753F98">
              <w:rPr>
                <w:rFonts w:hint="cs"/>
                <w:rtl/>
              </w:rPr>
              <w:t xml:space="preserve">، </w:t>
            </w:r>
            <w:hyperlink r:id="rId12" w:history="1">
              <w:r w:rsidRPr="00753F98">
                <w:rPr>
                  <w:rStyle w:val="Hyperlink"/>
                  <w:rFonts w:ascii="Dubai" w:eastAsiaTheme="minorEastAsia" w:hAnsi="Dubai" w:cs="Dubai"/>
                  <w:noProof w:val="0"/>
                  <w:sz w:val="22"/>
                  <w:u w:val="single"/>
                  <w:lang w:eastAsia="zh-CN" w:bidi="ar-EG"/>
                </w:rPr>
                <w:t>C25/89</w:t>
              </w:r>
            </w:hyperlink>
            <w:r w:rsidR="00C06A77" w:rsidRPr="00753F98">
              <w:rPr>
                <w:rFonts w:hint="cs"/>
                <w:rtl/>
              </w:rPr>
              <w:t xml:space="preserve">، </w:t>
            </w:r>
            <w:hyperlink r:id="rId13" w:history="1">
              <w:r w:rsidRPr="00753F98">
                <w:rPr>
                  <w:rStyle w:val="Hyperlink"/>
                  <w:rFonts w:ascii="Dubai" w:eastAsiaTheme="minorEastAsia" w:hAnsi="Dubai" w:cs="Dubai"/>
                  <w:noProof w:val="0"/>
                  <w:sz w:val="22"/>
                  <w:u w:val="single"/>
                  <w:lang w:eastAsia="zh-CN" w:bidi="ar-EG"/>
                </w:rPr>
                <w:t>C25/100</w:t>
              </w:r>
            </w:hyperlink>
          </w:p>
        </w:tc>
      </w:tr>
      <w:tr w:rsidR="00987455" w14:paraId="3EE94067" w14:textId="77777777" w:rsidTr="00935824">
        <w:tc>
          <w:tcPr>
            <w:tcW w:w="592" w:type="dxa"/>
          </w:tcPr>
          <w:p w14:paraId="6494B324" w14:textId="36AEF1B0" w:rsidR="00987455" w:rsidRPr="00935824" w:rsidRDefault="00987455" w:rsidP="00987455">
            <w:pPr>
              <w:jc w:val="center"/>
              <w:rPr>
                <w:rtl/>
              </w:rPr>
            </w:pPr>
            <w:r>
              <w:t>4</w:t>
            </w:r>
          </w:p>
        </w:tc>
        <w:tc>
          <w:tcPr>
            <w:tcW w:w="6215" w:type="dxa"/>
            <w:gridSpan w:val="2"/>
          </w:tcPr>
          <w:p w14:paraId="37A9677C" w14:textId="6044FF7E" w:rsidR="00987455" w:rsidRPr="003E5F6B" w:rsidRDefault="003E5F6B" w:rsidP="003E5F6B">
            <w:pPr>
              <w:textDirection w:val="tbRlV"/>
              <w:rPr>
                <w:color w:val="000000"/>
                <w:rtl/>
                <w:lang w:bidi="en-GB"/>
              </w:rPr>
            </w:pPr>
            <w:r w:rsidRPr="003E5F6B">
              <w:rPr>
                <w:color w:val="000000"/>
                <w:rtl/>
              </w:rPr>
              <w:t>استراتيجية تنسيق الجهود بين قطاعات الاتحاد الثلاثة</w:t>
            </w:r>
            <w:hyperlink r:id="rId14" w:history="1"/>
          </w:p>
        </w:tc>
        <w:tc>
          <w:tcPr>
            <w:tcW w:w="2264" w:type="dxa"/>
          </w:tcPr>
          <w:p w14:paraId="78F3E01A" w14:textId="0674A335" w:rsidR="00987455" w:rsidRPr="00753F98" w:rsidRDefault="003E5F6B" w:rsidP="00C06A77">
            <w:pPr>
              <w:jc w:val="center"/>
              <w:rPr>
                <w:rStyle w:val="Hyperlink"/>
                <w:rFonts w:ascii="Dubai" w:eastAsiaTheme="minorEastAsia" w:hAnsi="Dubai" w:cs="Dubai"/>
                <w:noProof w:val="0"/>
                <w:sz w:val="22"/>
                <w:rtl/>
                <w:lang w:eastAsia="zh-CN" w:bidi="ar-EG"/>
              </w:rPr>
            </w:pPr>
            <w:hyperlink r:id="rId15" w:history="1">
              <w:r w:rsidRPr="00753F98">
                <w:rPr>
                  <w:rStyle w:val="Hyperlink"/>
                  <w:rFonts w:ascii="Dubai" w:eastAsiaTheme="minorEastAsia" w:hAnsi="Dubai" w:cs="Dubai"/>
                  <w:noProof w:val="0"/>
                  <w:sz w:val="22"/>
                  <w:u w:val="single"/>
                  <w:lang w:eastAsia="zh-CN" w:bidi="ar-EG"/>
                </w:rPr>
                <w:t>C25/27</w:t>
              </w:r>
            </w:hyperlink>
          </w:p>
        </w:tc>
      </w:tr>
      <w:tr w:rsidR="00987455" w14:paraId="75B0232E" w14:textId="77777777" w:rsidTr="00935824">
        <w:tc>
          <w:tcPr>
            <w:tcW w:w="592" w:type="dxa"/>
          </w:tcPr>
          <w:p w14:paraId="22DD6199" w14:textId="707AB2D8" w:rsidR="00987455" w:rsidRPr="00935824" w:rsidRDefault="00987455" w:rsidP="00987455">
            <w:pPr>
              <w:jc w:val="center"/>
              <w:rPr>
                <w:rtl/>
              </w:rPr>
            </w:pPr>
            <w:r>
              <w:t>5</w:t>
            </w:r>
          </w:p>
        </w:tc>
        <w:tc>
          <w:tcPr>
            <w:tcW w:w="6215" w:type="dxa"/>
            <w:gridSpan w:val="2"/>
          </w:tcPr>
          <w:p w14:paraId="21F5EF1A" w14:textId="520A76AA" w:rsidR="00987455" w:rsidRPr="003E5F6B" w:rsidRDefault="003E5F6B" w:rsidP="004E6092">
            <w:pPr>
              <w:rPr>
                <w:color w:val="000000"/>
                <w:rtl/>
              </w:rPr>
            </w:pPr>
            <w:r w:rsidRPr="003E5F6B">
              <w:rPr>
                <w:color w:val="000000"/>
                <w:rtl/>
              </w:rPr>
              <w:t>تقرير رئيسة فريق العمل التابع للمجلس والمعني باستعمال اللغات الرسمية الست للاتحاد</w:t>
            </w:r>
          </w:p>
        </w:tc>
        <w:tc>
          <w:tcPr>
            <w:tcW w:w="2264" w:type="dxa"/>
          </w:tcPr>
          <w:p w14:paraId="72E27BB1" w14:textId="25820F90" w:rsidR="00987455" w:rsidRPr="00753F98" w:rsidRDefault="003E5F6B" w:rsidP="00C06A77">
            <w:pPr>
              <w:jc w:val="center"/>
              <w:rPr>
                <w:rStyle w:val="Hyperlink"/>
                <w:rFonts w:ascii="Dubai" w:eastAsiaTheme="minorEastAsia" w:hAnsi="Dubai" w:cs="Dubai"/>
                <w:noProof w:val="0"/>
                <w:sz w:val="22"/>
                <w:rtl/>
                <w:lang w:eastAsia="zh-CN" w:bidi="ar-EG"/>
              </w:rPr>
            </w:pPr>
            <w:hyperlink r:id="rId16" w:history="1">
              <w:r w:rsidRPr="00753F98">
                <w:rPr>
                  <w:rStyle w:val="Hyperlink"/>
                  <w:rFonts w:ascii="Dubai" w:eastAsiaTheme="minorEastAsia" w:hAnsi="Dubai" w:cs="Dubai"/>
                  <w:noProof w:val="0"/>
                  <w:sz w:val="22"/>
                  <w:u w:val="single"/>
                  <w:lang w:eastAsia="zh-CN" w:bidi="ar-EG"/>
                </w:rPr>
                <w:t>C25/12</w:t>
              </w:r>
            </w:hyperlink>
            <w:r w:rsidR="00C06A77" w:rsidRPr="00753F98">
              <w:rPr>
                <w:rFonts w:hint="cs"/>
                <w:rtl/>
              </w:rPr>
              <w:t xml:space="preserve">، </w:t>
            </w:r>
            <w:hyperlink r:id="rId17" w:history="1">
              <w:r w:rsidRPr="00753F98">
                <w:rPr>
                  <w:rStyle w:val="Hyperlink"/>
                  <w:rFonts w:ascii="Dubai" w:eastAsiaTheme="minorEastAsia" w:hAnsi="Dubai" w:cs="Dubai"/>
                  <w:noProof w:val="0"/>
                  <w:sz w:val="22"/>
                  <w:u w:val="single"/>
                  <w:lang w:eastAsia="zh-CN" w:bidi="ar-EG"/>
                </w:rPr>
                <w:t>C25/78</w:t>
              </w:r>
            </w:hyperlink>
          </w:p>
        </w:tc>
      </w:tr>
      <w:tr w:rsidR="00935824" w14:paraId="57DC71A8" w14:textId="77777777" w:rsidTr="00935824">
        <w:tc>
          <w:tcPr>
            <w:tcW w:w="592" w:type="dxa"/>
          </w:tcPr>
          <w:p w14:paraId="01F22008" w14:textId="2E2BF45E" w:rsidR="00935824" w:rsidRPr="00935824" w:rsidRDefault="00935824" w:rsidP="00935824">
            <w:pPr>
              <w:jc w:val="center"/>
              <w:rPr>
                <w:rtl/>
              </w:rPr>
            </w:pPr>
            <w:r>
              <w:t>6</w:t>
            </w:r>
          </w:p>
        </w:tc>
        <w:tc>
          <w:tcPr>
            <w:tcW w:w="6215" w:type="dxa"/>
            <w:gridSpan w:val="2"/>
          </w:tcPr>
          <w:p w14:paraId="40C39225" w14:textId="4543DA0A" w:rsidR="00935824" w:rsidRPr="003E5F6B" w:rsidRDefault="003E5F6B" w:rsidP="004E6092">
            <w:pPr>
              <w:rPr>
                <w:color w:val="000000"/>
                <w:rtl/>
              </w:rPr>
            </w:pPr>
            <w:r w:rsidRPr="003E5F6B">
              <w:rPr>
                <w:color w:val="000000"/>
                <w:rtl/>
              </w:rPr>
              <w:t>دور الاتحاد الدولي للاتصالات في تنفيذ خطة "الفضاء 2030"</w:t>
            </w:r>
            <w:r w:rsidRPr="003E5F6B">
              <w:rPr>
                <w:color w:val="000000"/>
              </w:rPr>
              <w:t>:</w:t>
            </w:r>
            <w:r w:rsidRPr="003E5F6B">
              <w:rPr>
                <w:color w:val="000000"/>
                <w:rtl/>
              </w:rPr>
              <w:t xml:space="preserve"> الفضاء باعتباره محركاً للتنمية المستدامة، وفي عملية متابعة تنفيذ الخطة واستعراضه</w:t>
            </w:r>
          </w:p>
        </w:tc>
        <w:tc>
          <w:tcPr>
            <w:tcW w:w="2264" w:type="dxa"/>
          </w:tcPr>
          <w:p w14:paraId="29CA7AF9" w14:textId="5AD57687" w:rsidR="00935824" w:rsidRPr="00753F98" w:rsidRDefault="003E5F6B" w:rsidP="00C06A77">
            <w:pPr>
              <w:jc w:val="center"/>
              <w:rPr>
                <w:rStyle w:val="Hyperlink"/>
                <w:rFonts w:ascii="Dubai" w:eastAsiaTheme="minorEastAsia" w:hAnsi="Dubai" w:cs="Dubai"/>
                <w:noProof w:val="0"/>
                <w:sz w:val="22"/>
                <w:rtl/>
                <w:lang w:eastAsia="zh-CN" w:bidi="ar-EG"/>
              </w:rPr>
            </w:pPr>
            <w:hyperlink r:id="rId18" w:history="1">
              <w:r w:rsidRPr="00753F98">
                <w:rPr>
                  <w:rStyle w:val="Hyperlink"/>
                  <w:rFonts w:ascii="Dubai" w:eastAsiaTheme="minorEastAsia" w:hAnsi="Dubai" w:cs="Dubai"/>
                  <w:noProof w:val="0"/>
                  <w:sz w:val="22"/>
                  <w:u w:val="single"/>
                  <w:lang w:eastAsia="zh-CN" w:bidi="ar-EG"/>
                </w:rPr>
                <w:t>C25/36</w:t>
              </w:r>
            </w:hyperlink>
          </w:p>
        </w:tc>
      </w:tr>
      <w:bookmarkEnd w:id="0"/>
    </w:tbl>
    <w:p w14:paraId="20567163" w14:textId="77777777" w:rsidR="00F50E3F" w:rsidRDefault="00F50E3F" w:rsidP="0043260A">
      <w:pPr>
        <w:rPr>
          <w:rtl/>
          <w:lang w:bidi="ar-EG"/>
        </w:rPr>
      </w:pPr>
      <w:r>
        <w:rPr>
          <w:rtl/>
          <w:lang w:bidi="ar-EG"/>
        </w:rPr>
        <w:br w:type="page"/>
      </w:r>
    </w:p>
    <w:p w14:paraId="7579C1CF" w14:textId="469E14D3" w:rsidR="00CF16BC" w:rsidRPr="00CF16BC" w:rsidRDefault="009E76E7" w:rsidP="009E76E7">
      <w:pPr>
        <w:pStyle w:val="Heading1"/>
      </w:pPr>
      <w:r>
        <w:lastRenderedPageBreak/>
        <w:t>1</w:t>
      </w:r>
      <w:r>
        <w:rPr>
          <w:rtl/>
          <w:lang w:bidi="ar-EG"/>
        </w:rPr>
        <w:tab/>
      </w:r>
      <w:r w:rsidR="00CF16BC" w:rsidRPr="00CF16BC">
        <w:rPr>
          <w:rtl/>
        </w:rPr>
        <w:t>تقرير رئيس فريق العمل التابع للمجلس والمعني بحماية الأطفال على</w:t>
      </w:r>
      <w:r w:rsidR="00C2562B">
        <w:rPr>
          <w:rFonts w:hint="cs"/>
          <w:rtl/>
        </w:rPr>
        <w:t> </w:t>
      </w:r>
      <w:r w:rsidR="00C2562B" w:rsidRPr="00CF16BC">
        <w:rPr>
          <w:rtl/>
        </w:rPr>
        <w:t>الإنترنت</w:t>
      </w:r>
      <w:r w:rsidR="00C2562B">
        <w:rPr>
          <w:rFonts w:hint="cs"/>
          <w:rtl/>
        </w:rPr>
        <w:t xml:space="preserve"> </w:t>
      </w:r>
      <w:r w:rsidR="00CF16BC" w:rsidRPr="00CF16BC">
        <w:rPr>
          <w:rtl/>
        </w:rPr>
        <w:t>(الوثيقة</w:t>
      </w:r>
      <w:r>
        <w:rPr>
          <w:rFonts w:hint="cs"/>
          <w:rtl/>
        </w:rPr>
        <w:t> </w:t>
      </w:r>
      <w:hyperlink r:id="rId19" w:history="1">
        <w:r w:rsidR="00CF16BC" w:rsidRPr="00753F98">
          <w:rPr>
            <w:rStyle w:val="Hyperlink"/>
            <w:rFonts w:ascii="Dubai" w:eastAsiaTheme="majorEastAsia" w:hAnsi="Dubai" w:cs="Dubai"/>
            <w:noProof w:val="0"/>
            <w:sz w:val="26"/>
            <w:u w:val="single"/>
            <w:rtl/>
            <w:lang w:val="en-US" w:eastAsia="zh-CN"/>
          </w:rPr>
          <w:t>C25/15</w:t>
        </w:r>
      </w:hyperlink>
      <w:r>
        <w:rPr>
          <w:rFonts w:hint="cs"/>
          <w:rtl/>
        </w:rPr>
        <w:t>)</w:t>
      </w:r>
      <w:hyperlink r:id="rId20" w:history="1"/>
    </w:p>
    <w:p w14:paraId="5B0D28FE" w14:textId="2843B33A" w:rsidR="00CF16BC" w:rsidRPr="00CF16BC" w:rsidRDefault="004E0A34" w:rsidP="00CF16BC">
      <w:r>
        <w:t>1.1</w:t>
      </w:r>
      <w:r>
        <w:rPr>
          <w:rtl/>
        </w:rPr>
        <w:tab/>
      </w:r>
      <w:r w:rsidR="00CF16BC" w:rsidRPr="00CF16BC">
        <w:rPr>
          <w:rtl/>
        </w:rPr>
        <w:t xml:space="preserve">قدم رئيس فريق العمل التابع للمجلس والمعني بحماية الأطفال على الإنترنت </w:t>
      </w:r>
      <w:r w:rsidR="00CF16BC" w:rsidRPr="00CF16BC">
        <w:t>(CWG-COP</w:t>
      </w:r>
      <w:r w:rsidR="000968AF">
        <w:t>)</w:t>
      </w:r>
      <w:r w:rsidR="00CF16BC" w:rsidRPr="00CF16BC">
        <w:rPr>
          <w:rtl/>
        </w:rPr>
        <w:t xml:space="preserve"> التقرير الوارد في الوثيقة C25/15، بشأن النتائج الرئيسية للاجتماعين الحادي والعشرين والثاني والعشرين للفريق، حيث تم النظر في</w:t>
      </w:r>
      <w:r w:rsidR="000968AF">
        <w:rPr>
          <w:rFonts w:hint="cs"/>
          <w:rtl/>
        </w:rPr>
        <w:t> </w:t>
      </w:r>
      <w:r w:rsidR="00CF16BC" w:rsidRPr="00CF16BC">
        <w:rPr>
          <w:rtl/>
        </w:rPr>
        <w:t>العديد من المساهمات المقدمة من الشركاء والأعضاء بشأن التحديات المتعلقة بحماية الأطفال على الإنترنت والحلول المقترحة لها. وأشار إلى أن مكتب تنمية الاتصالات (</w:t>
      </w:r>
      <w:r w:rsidR="00CF16BC" w:rsidRPr="00CF16BC">
        <w:t>BDT</w:t>
      </w:r>
      <w:r w:rsidR="00CF16BC" w:rsidRPr="00CF16BC">
        <w:rPr>
          <w:rtl/>
        </w:rPr>
        <w:t>) أطلق مؤخراً سلسلة مبادرات الاتحاد لتوصيل الصناعة التي يسّرت الحوار الإلكتروني مع أصحاب المصلحة في الصناعة وفيما بينهم بشأن هذه المسألة.</w:t>
      </w:r>
    </w:p>
    <w:p w14:paraId="22EA8FC9" w14:textId="3E27E1C3" w:rsidR="00CF16BC" w:rsidRPr="00CF16BC" w:rsidRDefault="00D02EDF" w:rsidP="00CF16BC">
      <w:pPr>
        <w:rPr>
          <w:lang w:val="en-GB"/>
        </w:rPr>
      </w:pPr>
      <w:r>
        <w:t>2.1</w:t>
      </w:r>
      <w:r w:rsidR="004E0A34">
        <w:rPr>
          <w:rtl/>
        </w:rPr>
        <w:tab/>
      </w:r>
      <w:r w:rsidR="00CF16BC" w:rsidRPr="00CF16BC">
        <w:rPr>
          <w:rtl/>
        </w:rPr>
        <w:t>أثنى أعضاء المجلس والمراقبون على عمل الفريق بوصفه منصة لتبادل أفضل الممارسات والتقدم المحرز نحو ضمان سلامة الأطفال في مشهد رقمي آخذ في التطور. وينبغي أن تكون الإنترنت فضاء</w:t>
      </w:r>
      <w:r w:rsidR="003B59FA">
        <w:rPr>
          <w:rFonts w:hint="cs"/>
          <w:rtl/>
        </w:rPr>
        <w:t>ً</w:t>
      </w:r>
      <w:r w:rsidR="00CF16BC" w:rsidRPr="00CF16BC">
        <w:rPr>
          <w:rtl/>
        </w:rPr>
        <w:t xml:space="preserve"> إيجابياً وآمناً للأطفال الذين هم من بين أكثر المستعملين ضعفاً. وإن التزام الفريق بمشاركة أصحاب المصلحة المتعددين، بما في ذلك الشباب أنفسهم، وتعزيز التنسيق مع لجان الدراسات أمر مهم. وفي الواقع، أشار أحد أعضاء المجلس إلى أن أفرقة العمل الأخرى التابعة للمجلس ستستفيد من كونها مفتوحة أمام جميع أصحاب المصلحة، مثل فريق العمل التابع للمجلس والمعني بحماية الأطفال على الإنترنت. وأشار العديد من أعضاء المجلس إلى المساهمة القيمة التي يمكن للجنة الدراسات 17 لقطاع تقييس الاتصالات أن تقدمها بشأن هذا الموضوع، في حين أشار آخرون إلى قيمة مبادرة توصيل الصناعة بالاتحاد في تبادل أفضل الممارسات وزيادة النفاذ إلى الأدوات المفيدة والتعاون. وشدد أحد المراقبين على الدور المهم للصناعة في حماية الأطفال على الإنترنت.</w:t>
      </w:r>
    </w:p>
    <w:p w14:paraId="1B9AE0FF" w14:textId="51AF6AA6" w:rsidR="00CF16BC" w:rsidRPr="00CF16BC" w:rsidRDefault="00D02EDF" w:rsidP="00CF16BC">
      <w:r>
        <w:t>3.1</w:t>
      </w:r>
      <w:r w:rsidR="00CF16BC" w:rsidRPr="00CF16BC">
        <w:rPr>
          <w:rtl/>
        </w:rPr>
        <w:tab/>
        <w:t>ذكر أعضاء المجلس أمثلة على الجهود المبذولة على المستويين الوطني والإقليمي بشأن حماية الأطفال على</w:t>
      </w:r>
      <w:r w:rsidR="003B59FA">
        <w:rPr>
          <w:rFonts w:hint="cs"/>
          <w:rtl/>
        </w:rPr>
        <w:t> </w:t>
      </w:r>
      <w:r w:rsidR="00CF16BC" w:rsidRPr="00CF16BC">
        <w:rPr>
          <w:rtl/>
        </w:rPr>
        <w:t>الإنترنت، بما في ذلك بدعم من الأمانة؛ غير أن عدداً من أعضاء المجلس دعوا إلى تقديم مزيد من المساعدة إلى</w:t>
      </w:r>
      <w:r w:rsidR="003B59FA">
        <w:rPr>
          <w:rFonts w:hint="cs"/>
          <w:rtl/>
        </w:rPr>
        <w:t> </w:t>
      </w:r>
      <w:r w:rsidR="00CF16BC" w:rsidRPr="00CF16BC">
        <w:rPr>
          <w:rtl/>
        </w:rPr>
        <w:t>البلدان النامية التي تعاني من محدودية القدرات أو الافتقار إلى سياسات فعالة أو استراتيجيات وطنية منسقة وتأخيرات بيروقراطية، وبالتالي تجد صعوبة في مواكبة التهديدات المتطورة.</w:t>
      </w:r>
    </w:p>
    <w:p w14:paraId="1FB65B59" w14:textId="320D5081" w:rsidR="00CF16BC" w:rsidRPr="00CF16BC" w:rsidRDefault="00D02EDF" w:rsidP="00CF16BC">
      <w:r>
        <w:t>4.1</w:t>
      </w:r>
      <w:r w:rsidR="00CF16BC" w:rsidRPr="00CF16BC">
        <w:rPr>
          <w:rtl/>
        </w:rPr>
        <w:tab/>
        <w:t xml:space="preserve">شدد أحد أعضاء المجلس على الحاجة إلى سياسات وتدابير فعالة، بما في ذلك في مجالات مثل حماية المستهلك والتعليم، في حين دعا أحد المراقبين إلى اتخاذ تدابير لضمان إمكانية استعمال التكنولوجيات الناشئة مثل الذكاء الاصطناعي </w:t>
      </w:r>
      <w:r w:rsidR="00CF16BC" w:rsidRPr="00CF16BC">
        <w:t>(AI</w:t>
      </w:r>
      <w:r w:rsidR="00E92023">
        <w:t>)</w:t>
      </w:r>
      <w:r w:rsidR="00CF16BC" w:rsidRPr="00CF16BC">
        <w:rPr>
          <w:rtl/>
        </w:rPr>
        <w:t xml:space="preserve"> بأمان ولصالح الأطفال.</w:t>
      </w:r>
    </w:p>
    <w:p w14:paraId="31DB2E77" w14:textId="51814465" w:rsidR="00CF16BC" w:rsidRPr="00CF16BC" w:rsidRDefault="00D02EDF" w:rsidP="00CF16BC">
      <w:r>
        <w:t>5.1</w:t>
      </w:r>
      <w:r w:rsidR="00CF16BC" w:rsidRPr="00CF16BC">
        <w:rPr>
          <w:rtl/>
        </w:rPr>
        <w:tab/>
        <w:t>قال مدير مكتب تنمية الاتصالات إن فريق العمل التابع للمجلس والمعني بحماية الأطفال على الإنترنت قدم مساهمة مهمة في حماية الأطفال على الإنترنت، وبالتالي فإن زيادة المشاركة أمر مرحب به. وشجع الدول الأعضاء على</w:t>
      </w:r>
      <w:r w:rsidR="003B59FA">
        <w:rPr>
          <w:rFonts w:hint="cs"/>
          <w:rtl/>
        </w:rPr>
        <w:t> </w:t>
      </w:r>
      <w:r w:rsidR="00CF16BC" w:rsidRPr="00CF16BC">
        <w:rPr>
          <w:rtl/>
        </w:rPr>
        <w:t xml:space="preserve">ترجمة المبادئ التوجيهية للاتحاد بشأن حماية الأطفال على الإنترنت، الموجهة للأطفال والآباء والمعلمين ودوائر الصناعة </w:t>
      </w:r>
      <w:r w:rsidR="006C5605" w:rsidRPr="00CF16BC">
        <w:rPr>
          <w:rtl/>
        </w:rPr>
        <w:t>و</w:t>
      </w:r>
      <w:r w:rsidR="006C5605">
        <w:rPr>
          <w:rFonts w:hint="cs"/>
          <w:rtl/>
        </w:rPr>
        <w:t xml:space="preserve">واضعي </w:t>
      </w:r>
      <w:r w:rsidR="00CF16BC" w:rsidRPr="00CF16BC">
        <w:rPr>
          <w:rtl/>
        </w:rPr>
        <w:t>السياسات، إلى اللغات المحلية لضمان تحقيق أقصى قدر من الأثر. وأشار إلى أن دور الصناعة في حماية الأطفال على الإنترنت سيناق</w:t>
      </w:r>
      <w:r w:rsidR="008664E2">
        <w:rPr>
          <w:rFonts w:hint="cs"/>
          <w:rtl/>
        </w:rPr>
        <w:t>َ</w:t>
      </w:r>
      <w:r w:rsidR="00CF16BC" w:rsidRPr="00CF16BC">
        <w:rPr>
          <w:rtl/>
        </w:rPr>
        <w:t xml:space="preserve">ش في الندوة العالمية لمنظمي الاتصالات عام 2025 </w:t>
      </w:r>
      <w:r w:rsidR="00CF16BC" w:rsidRPr="00CF16BC">
        <w:t>(GSR-25)</w:t>
      </w:r>
      <w:r w:rsidR="008664E2">
        <w:rPr>
          <w:rFonts w:hint="cs"/>
          <w:rtl/>
        </w:rPr>
        <w:t xml:space="preserve"> </w:t>
      </w:r>
      <w:proofErr w:type="spellStart"/>
      <w:r w:rsidR="00CF16BC" w:rsidRPr="00CF16BC">
        <w:rPr>
          <w:rtl/>
        </w:rPr>
        <w:t>و</w:t>
      </w:r>
      <w:r w:rsidR="008664E2" w:rsidRPr="008664E2">
        <w:rPr>
          <w:rtl/>
        </w:rPr>
        <w:t>‏أن</w:t>
      </w:r>
      <w:proofErr w:type="spellEnd"/>
      <w:r w:rsidR="008664E2" w:rsidRPr="008664E2">
        <w:rPr>
          <w:rtl/>
        </w:rPr>
        <w:t xml:space="preserve"> حماية الأطفال على الإنترنت في سياق الذكاء الاصطناعي والتكنولوجيات الناشئة، </w:t>
      </w:r>
      <w:r w:rsidR="008664E2" w:rsidRPr="008664E2">
        <w:rPr>
          <w:cs/>
        </w:rPr>
        <w:t>‎</w:t>
      </w:r>
      <w:r w:rsidR="008664E2" w:rsidRPr="008664E2">
        <w:rPr>
          <w:rtl/>
        </w:rPr>
        <w:t xml:space="preserve"> </w:t>
      </w:r>
      <w:r w:rsidR="00CF16BC" w:rsidRPr="00CF16BC">
        <w:rPr>
          <w:rtl/>
        </w:rPr>
        <w:t>نوقش</w:t>
      </w:r>
      <w:r w:rsidR="008664E2">
        <w:rPr>
          <w:rFonts w:hint="cs"/>
          <w:rtl/>
        </w:rPr>
        <w:t xml:space="preserve">ت </w:t>
      </w:r>
      <w:r w:rsidR="00CF16BC" w:rsidRPr="00CF16BC">
        <w:rPr>
          <w:rtl/>
        </w:rPr>
        <w:t>أيضاً في إطار لجنة</w:t>
      </w:r>
      <w:r w:rsidR="008664E2">
        <w:rPr>
          <w:rFonts w:hint="cs"/>
          <w:rtl/>
        </w:rPr>
        <w:t xml:space="preserve"> الأمم المتحدة المعنية ب</w:t>
      </w:r>
      <w:r w:rsidR="00CF16BC" w:rsidRPr="00CF16BC">
        <w:rPr>
          <w:rtl/>
        </w:rPr>
        <w:t>حقوق الطفل. كما أن التعاون مع المدارس مهم أيضاً لأنه يتيح للمعلمين توعية الأطفال في مرحلة مبكرة.</w:t>
      </w:r>
    </w:p>
    <w:p w14:paraId="4092497F" w14:textId="14E4835F" w:rsidR="00CF16BC" w:rsidRPr="00CF16BC" w:rsidRDefault="00D02EDF" w:rsidP="00CF16BC">
      <w:r>
        <w:t>6.1</w:t>
      </w:r>
      <w:r w:rsidR="00CF16BC" w:rsidRPr="00CF16BC">
        <w:rPr>
          <w:rtl/>
        </w:rPr>
        <w:tab/>
      </w:r>
      <w:r w:rsidR="006E113C">
        <w:rPr>
          <w:b/>
          <w:bCs/>
          <w:rtl/>
        </w:rPr>
        <w:t>وأخذ</w:t>
      </w:r>
      <w:r w:rsidR="00CF16BC" w:rsidRPr="00CF16BC">
        <w:rPr>
          <w:rtl/>
        </w:rPr>
        <w:t xml:space="preserve"> المجلس </w:t>
      </w:r>
      <w:r w:rsidR="00CF16BC" w:rsidRPr="00CF16BC">
        <w:rPr>
          <w:b/>
          <w:bCs/>
          <w:rtl/>
        </w:rPr>
        <w:t xml:space="preserve">علماً </w:t>
      </w:r>
      <w:r w:rsidR="00CF16BC" w:rsidRPr="00CF16BC">
        <w:rPr>
          <w:rtl/>
        </w:rPr>
        <w:t xml:space="preserve">بالتقرير الوارد في الوثيقة </w:t>
      </w:r>
      <w:r w:rsidR="00CF16BC" w:rsidRPr="00CF16BC">
        <w:t>C25/15</w:t>
      </w:r>
      <w:r w:rsidR="00CF16BC" w:rsidRPr="00CF16BC">
        <w:rPr>
          <w:rtl/>
        </w:rPr>
        <w:t>.</w:t>
      </w:r>
    </w:p>
    <w:p w14:paraId="471A64CD" w14:textId="451A68A5" w:rsidR="00CF16BC" w:rsidRPr="006C5605" w:rsidRDefault="00026272" w:rsidP="00026272">
      <w:pPr>
        <w:pStyle w:val="Heading1"/>
        <w:rPr>
          <w:spacing w:val="2"/>
        </w:rPr>
      </w:pPr>
      <w:r w:rsidRPr="006C5605">
        <w:rPr>
          <w:spacing w:val="2"/>
        </w:rPr>
        <w:t>2</w:t>
      </w:r>
      <w:r w:rsidRPr="006C5605">
        <w:rPr>
          <w:spacing w:val="2"/>
          <w:rtl/>
          <w:lang w:bidi="ar-EG"/>
        </w:rPr>
        <w:tab/>
      </w:r>
      <w:r w:rsidR="00CF16BC" w:rsidRPr="006C5605">
        <w:rPr>
          <w:spacing w:val="2"/>
          <w:rtl/>
        </w:rPr>
        <w:t xml:space="preserve">تقرير عن القرار 214 (بوخارست، 2022) لمؤتمر المندوبين المفوضين، بشأن تكنولوجيات الذكاء الاصطناعي والاتصالات/تكنولوجيا المعلومات والاتصالات (الوثيقتان </w:t>
      </w:r>
      <w:hyperlink r:id="rId21" w:history="1">
        <w:r w:rsidR="00CF16BC" w:rsidRPr="00753F98">
          <w:rPr>
            <w:rStyle w:val="Hyperlink"/>
            <w:rFonts w:ascii="Dubai" w:eastAsiaTheme="majorEastAsia" w:hAnsi="Dubai" w:cs="Dubai"/>
            <w:noProof w:val="0"/>
            <w:spacing w:val="2"/>
            <w:sz w:val="26"/>
            <w:u w:val="single"/>
            <w:lang w:val="en-US" w:eastAsia="zh-CN"/>
          </w:rPr>
          <w:t>C25/56</w:t>
        </w:r>
      </w:hyperlink>
      <w:r w:rsidR="00CF16BC" w:rsidRPr="00753F98">
        <w:rPr>
          <w:color w:val="5B9BD5" w:themeColor="accent1"/>
          <w:spacing w:val="2"/>
          <w:rtl/>
        </w:rPr>
        <w:t xml:space="preserve"> </w:t>
      </w:r>
      <w:r w:rsidR="00CF16BC" w:rsidRPr="006C5605">
        <w:rPr>
          <w:spacing w:val="2"/>
          <w:rtl/>
        </w:rPr>
        <w:t>و</w:t>
      </w:r>
      <w:hyperlink r:id="rId22" w:history="1">
        <w:r w:rsidR="00CF16BC" w:rsidRPr="00753F98">
          <w:rPr>
            <w:rStyle w:val="Hyperlink"/>
            <w:rFonts w:ascii="Dubai" w:eastAsiaTheme="majorEastAsia" w:hAnsi="Dubai" w:cs="Dubai"/>
            <w:noProof w:val="0"/>
            <w:spacing w:val="2"/>
            <w:sz w:val="26"/>
            <w:u w:val="single"/>
            <w:lang w:val="en-US" w:eastAsia="zh-CN"/>
          </w:rPr>
          <w:t>C25/96</w:t>
        </w:r>
      </w:hyperlink>
      <w:r w:rsidR="00CF16BC" w:rsidRPr="006C5605">
        <w:rPr>
          <w:spacing w:val="2"/>
          <w:rtl/>
        </w:rPr>
        <w:t>)</w:t>
      </w:r>
      <w:hyperlink r:id="rId23" w:history="1"/>
      <w:hyperlink r:id="rId24" w:history="1"/>
    </w:p>
    <w:p w14:paraId="5A99FA3E" w14:textId="2610DB70" w:rsidR="00CF16BC" w:rsidRPr="00CF16BC" w:rsidRDefault="00D02EDF" w:rsidP="00CF16BC">
      <w:r>
        <w:t>1.2</w:t>
      </w:r>
      <w:r w:rsidR="00CF16BC" w:rsidRPr="00CF16BC">
        <w:rPr>
          <w:rtl/>
        </w:rPr>
        <w:tab/>
        <w:t xml:space="preserve">قدم نائب مدير مكتب تقييس الاتصالات </w:t>
      </w:r>
      <w:r w:rsidR="00CF16BC" w:rsidRPr="00CF16BC">
        <w:t>(TSB</w:t>
      </w:r>
      <w:r w:rsidR="00E92023">
        <w:t>)</w:t>
      </w:r>
      <w:r w:rsidR="00CF16BC" w:rsidRPr="00CF16BC">
        <w:rPr>
          <w:rtl/>
        </w:rPr>
        <w:t xml:space="preserve"> الوثيقة C25/56، التي تتضمن تقريراً عن أنشطة الاتحاد المتعلقة بالذكاء الاصطناعي، استناداً إلى القرار 214 (بوخارست، 2022) الصادر عن مؤتمر المندوبين المفوضين (</w:t>
      </w:r>
      <w:r w:rsidR="00CF16BC" w:rsidRPr="00CF16BC">
        <w:t>PP</w:t>
      </w:r>
      <w:r w:rsidR="00CF16BC" w:rsidRPr="00CF16BC">
        <w:rPr>
          <w:rtl/>
        </w:rPr>
        <w:t>) وقراري الجمعية العامة للأمم المتحدة 265/78 و311/78، في مجالات المعايير، وتنمية المهارات، والإدارة، والمنصات متعددة أصحاب المصلحة. وشارك الاتحاد في التعاون بين أصحاب المصلحة المتعدّدين، بما في ذلك مع كيانات الأمم المتحدة الأخرى. ويتزايد الاهتمام بأنشطة الاتحاد، مما يدل على دوره الريادي وخبرته. وأشار إلى أن الوثيقة</w:t>
      </w:r>
      <w:r w:rsidR="00626F19">
        <w:rPr>
          <w:rFonts w:hint="cs"/>
          <w:rtl/>
        </w:rPr>
        <w:t xml:space="preserve"> </w:t>
      </w:r>
      <w:hyperlink r:id="rId25" w:history="1">
        <w:r w:rsidR="00F71623" w:rsidRPr="00753F98">
          <w:rPr>
            <w:rStyle w:val="Hyperlink"/>
            <w:rFonts w:ascii="Dubai" w:eastAsiaTheme="minorEastAsia" w:hAnsi="Dubai" w:cs="Dubai"/>
            <w:noProof w:val="0"/>
            <w:sz w:val="22"/>
            <w:u w:val="single"/>
            <w:rtl/>
            <w:lang w:val="en-US" w:eastAsia="zh-CN"/>
          </w:rPr>
          <w:t>C25/43</w:t>
        </w:r>
      </w:hyperlink>
      <w:r w:rsidR="00CF16BC" w:rsidRPr="00CF16BC">
        <w:rPr>
          <w:rtl/>
        </w:rPr>
        <w:t xml:space="preserve"> تتضمن طلباً للحصول على تمويل إضافي لدعم تلك الأنشطة المتعلقة بالذكاء الاصطناعي.</w:t>
      </w:r>
      <w:hyperlink r:id="rId26" w:history="1"/>
    </w:p>
    <w:p w14:paraId="6021FA55" w14:textId="4D5D96D7" w:rsidR="00CF16BC" w:rsidRPr="00CF16BC" w:rsidRDefault="00D02EDF" w:rsidP="00CF16BC">
      <w:r>
        <w:lastRenderedPageBreak/>
        <w:t>2.2</w:t>
      </w:r>
      <w:r w:rsidR="00CF16BC" w:rsidRPr="00CF16BC">
        <w:rPr>
          <w:rtl/>
        </w:rPr>
        <w:tab/>
        <w:t xml:space="preserve">قدم عضو المجلس من رواندا المساهمة الواردة في الوثيقة C25/96، وطلب دعم الاتحاد في تقييم وتعزيز الاستعداد للذكاء الاصطناعي في أقل البلدان نمواً </w:t>
      </w:r>
      <w:r w:rsidR="00CF16BC" w:rsidRPr="00CF16BC">
        <w:t>(LDC</w:t>
      </w:r>
      <w:r w:rsidR="00E53B7D">
        <w:t>)</w:t>
      </w:r>
      <w:r w:rsidR="00CF16BC" w:rsidRPr="00CF16BC">
        <w:rPr>
          <w:rtl/>
        </w:rPr>
        <w:t>، وكذلك في وضع سياسات واستراتيجيات وطنية للذكاء الاصطناعي تراعي السياق الوطني، حيث تفتقر الغالبية العظمى من هذه البلدان إلى مثل هذه السياسات والاستراتيجيات. وطلب إلى الأمانة أن تقدم تقريراً إلى الدورة المقبلة للمجلس عن أي أنشطة يضطلع بها في هذا الصدد.</w:t>
      </w:r>
    </w:p>
    <w:p w14:paraId="128D789B" w14:textId="3EBF778A" w:rsidR="00CF16BC" w:rsidRPr="00CF16BC" w:rsidRDefault="00D02EDF" w:rsidP="00CF16BC">
      <w:pPr>
        <w:rPr>
          <w:lang w:bidi="en-GB"/>
        </w:rPr>
      </w:pPr>
      <w:r>
        <w:t>3.2</w:t>
      </w:r>
      <w:r w:rsidR="00CF16BC" w:rsidRPr="00CF16BC">
        <w:rPr>
          <w:rtl/>
        </w:rPr>
        <w:tab/>
        <w:t>رحب أعضاء المجلس والمراقبون بالدور القيادي الذي يضطلع به الاتحاد على الساحة متعددة الأطراف في</w:t>
      </w:r>
      <w:r w:rsidR="00E92023">
        <w:rPr>
          <w:rFonts w:hint="cs"/>
          <w:rtl/>
        </w:rPr>
        <w:t> </w:t>
      </w:r>
      <w:r w:rsidR="00CF16BC" w:rsidRPr="00CF16BC">
        <w:rPr>
          <w:rtl/>
        </w:rPr>
        <w:t xml:space="preserve">تطوير تطبيقات الذكاء الاصطناعي والإدارة، مشيرين إلى الاعتراف العالمي بخبرته في مجال المعايير التقنية والتنمية الرقمية. وشدد أعضاء المجلس على ضرورة أن يواصل الاتحاد القيام بهذا الدور، ولا سيما من خلال أعمال وضع المعايير في مكتب تقييس الاتصالات، من أجل إرساء الأساس اللازم </w:t>
      </w:r>
      <w:r w:rsidR="00CF16BC" w:rsidRPr="006C5605">
        <w:rPr>
          <w:rtl/>
        </w:rPr>
        <w:t>لأطر</w:t>
      </w:r>
      <w:r w:rsidR="00CF16BC" w:rsidRPr="00CF16BC">
        <w:rPr>
          <w:rtl/>
        </w:rPr>
        <w:t xml:space="preserve"> </w:t>
      </w:r>
      <w:r w:rsidR="006C5605">
        <w:rPr>
          <w:rFonts w:hint="cs"/>
          <w:rtl/>
        </w:rPr>
        <w:t xml:space="preserve">العمل </w:t>
      </w:r>
      <w:r w:rsidR="00CF16BC" w:rsidRPr="00CF16BC">
        <w:rPr>
          <w:rtl/>
        </w:rPr>
        <w:t>الإدارية والتقنية التي تضمن التنمية الآمنة والشاملة لتكنولوجيا الذكاء الاصطناعي. ومع ذلك، أشار العديد من أعضاء المجلس إلى الحاجة إلى أن تكون المعايير قابلة للتطبيق عملياً في السياقات المحلية؛ وتعزيز الأدوات مفتوحة المصدر أمر مهم لتحقيق هذه الغاية.</w:t>
      </w:r>
    </w:p>
    <w:p w14:paraId="58589119" w14:textId="3E75C1BB" w:rsidR="00CF16BC" w:rsidRPr="00CF16BC" w:rsidRDefault="00D02EDF" w:rsidP="00CF16BC">
      <w:r>
        <w:t>4.2</w:t>
      </w:r>
      <w:r w:rsidR="00CF16BC" w:rsidRPr="00CF16BC">
        <w:rPr>
          <w:rtl/>
        </w:rPr>
        <w:tab/>
        <w:t>أشار أعضاء المجلس إلى قيمة مشاركة الاتحاد وقيادته في عدد من المنصات متعددة الأطراف، ولا سيما مبادرة الذكاء الاصطناعي من أجل تحقيق المصلحة العامة والتحالف الرقمي للشراكة من أجل التوصيل. واستمرار المشاركة في هذه المنتديات أمر هام لتعزيز نطاق عمل الاتحاد وخبراته، مع تعظيم أثر التعاون متعدد الأطراف والحد من الازدواجية. واقترح أحد أعضاء المجلس التعاون مع التحالف من أجل الذكاء الاصطناعي المستدام، في حين استرعى العديد من أعضاء المجلس الانتباه إلى المبادرات الوطنية والإقليمية التي تهدف إلى تحقيق التنمية المستدامة والشاملة لتكنولوجيا الذكاء الاصطناعي. ودعا عضو آخر في المجلس إلى زيادة التعاون مع دوائر الصناعة والهيئات الأكاديمية، وأشار عضو ثالث إلى القرار 74 (المراج</w:t>
      </w:r>
      <w:r w:rsidR="00E92023">
        <w:rPr>
          <w:rFonts w:hint="cs"/>
          <w:rtl/>
        </w:rPr>
        <w:t>َ</w:t>
      </w:r>
      <w:r w:rsidR="00CF16BC" w:rsidRPr="00CF16BC">
        <w:rPr>
          <w:rtl/>
        </w:rPr>
        <w:t xml:space="preserve">ع في نيودلهي، 2024) للجمعية العالمية لتقييس الاتصالات، بشأن تعزيز مشاركة أعضاء القطاع من البلدان النامية في </w:t>
      </w:r>
      <w:r w:rsidR="00D63898">
        <w:rPr>
          <w:rFonts w:hint="cs"/>
          <w:rtl/>
        </w:rPr>
        <w:t>أعمال</w:t>
      </w:r>
      <w:r w:rsidR="00D63898" w:rsidRPr="00CF16BC">
        <w:rPr>
          <w:rtl/>
        </w:rPr>
        <w:t xml:space="preserve"> </w:t>
      </w:r>
      <w:r w:rsidR="00CF16BC" w:rsidRPr="00CF16BC">
        <w:rPr>
          <w:rtl/>
        </w:rPr>
        <w:t>قطاع تقييس الاتصالات</w:t>
      </w:r>
      <w:r w:rsidR="00D63898">
        <w:rPr>
          <w:rFonts w:hint="cs"/>
          <w:rtl/>
        </w:rPr>
        <w:t xml:space="preserve"> للاتحاد الدولي للاتصالات</w:t>
      </w:r>
      <w:r w:rsidR="00CF16BC" w:rsidRPr="00CF16BC">
        <w:rPr>
          <w:rtl/>
        </w:rPr>
        <w:t>.</w:t>
      </w:r>
    </w:p>
    <w:p w14:paraId="58C34E29" w14:textId="1E2C7F41" w:rsidR="00CF16BC" w:rsidRPr="00D63898" w:rsidRDefault="00D02EDF" w:rsidP="00CF16BC">
      <w:pPr>
        <w:rPr>
          <w:spacing w:val="-1"/>
        </w:rPr>
      </w:pPr>
      <w:r w:rsidRPr="00D63898">
        <w:rPr>
          <w:spacing w:val="-1"/>
        </w:rPr>
        <w:t>5.2</w:t>
      </w:r>
      <w:r w:rsidR="00CF16BC" w:rsidRPr="00D63898">
        <w:rPr>
          <w:spacing w:val="-1"/>
          <w:rtl/>
        </w:rPr>
        <w:tab/>
        <w:t>أعرب أعضاء المجلس والمراقبون عن تأييدهم لزيادة المساعدة المقدمة إلى أقل البلدان نمواً، وحدد عضو المجلس من كندا مؤسستين كنديتين يمكنهما المساعدة في هذا الصدد. وسأل العديد من أعضاء المجلس عن مبادرات بناء القدرات التي نفذت بموجب القرار 214 (بوخارست، 2022) لمؤتمر المندوبين المفوضين. ولتطبيقات الذكاء الاصطناعي القدرة على المساهمة في تحقيق أهداف التنمية المستدامة (</w:t>
      </w:r>
      <w:r w:rsidR="00CF16BC" w:rsidRPr="00D63898">
        <w:rPr>
          <w:spacing w:val="-1"/>
        </w:rPr>
        <w:t>SDG</w:t>
      </w:r>
      <w:r w:rsidR="00CF16BC" w:rsidRPr="00D63898">
        <w:rPr>
          <w:spacing w:val="-1"/>
          <w:rtl/>
        </w:rPr>
        <w:t>) وسد الفجوات الرقمية؛ غير أن بناء القدرات المراعية للسياق وتقديم المساعدة التقنية سيكونان أمرين بالغَي الأهمية لضمان تمكين أقل البلدان نمواً وغيرها من البلدان النامية من النفاذ إلى أنظمة الذكاء الاصطناعي واستخدامها وإدارتها بما يتناسب مع احتياجاتها المحددة. وقال أحد أعضاء المجلس إن العمل مع هيئات الاتصالات الإقليمية والهيئات الأكاديمية المحلية التي تقوم بتجريب حالات استعمال الذكاء الاصطناعي في السياقات المحلية يمكن أن يكون مصدراً قيّماً لنقل المعرفة؛ في حين قال عضو آخر إن زيادة الدعم التقني يمكن أن تفيد في تحديد مشاريع تجريبية في القطاعات الاجتماعية والاقتصادية الرئيسية.</w:t>
      </w:r>
    </w:p>
    <w:p w14:paraId="579A722E" w14:textId="60A0C8C3" w:rsidR="00CF16BC" w:rsidRPr="00CF16BC" w:rsidRDefault="00D02EDF" w:rsidP="00CF16BC">
      <w:r>
        <w:t>6.2</w:t>
      </w:r>
      <w:r w:rsidR="00CF16BC" w:rsidRPr="00CF16BC">
        <w:rPr>
          <w:rtl/>
        </w:rPr>
        <w:tab/>
        <w:t>شدد أحد أعضاء المجلس على أن أقل البلدان نمواً والبلدان النامية الأخرى تفتقر إلى القدرات المؤسسية والخبرة التقنية والموارد المالية اللازمة لصياغة سياسات واستراتيجيات قوية؛ وبدون دعم موجّه ومناسب للسياق فإنها تواجه خطر الوقوع ضحية لفجوة رقمية جديدة والتهميش في النظام البيئي العالمي للذكاء الاصطناعي الذي يتطور بسرعة. وينبغي أن تكفل مساعدة الاتحاد مواءمة تطوير الذكاء الاصطناعي في هذه البلدان مع أفضل الممارسات العالمية، مما يعزز قابلية التشغيل البيني والثقة والممارسات الأخلاقية والاتساق عبر الحدود. وأشار العديد من أعضاء المجلس إلى</w:t>
      </w:r>
      <w:r w:rsidR="00871C53">
        <w:rPr>
          <w:rFonts w:hint="cs"/>
          <w:rtl/>
        </w:rPr>
        <w:t> </w:t>
      </w:r>
      <w:r w:rsidR="00CF16BC" w:rsidRPr="00CF16BC">
        <w:rPr>
          <w:rtl/>
        </w:rPr>
        <w:t>أن المؤتمر العالمي لتنمية الاتصالات عام 2025 (WTDC-25)، وكذلك عمليته التحضيرية، سيتيحان فرصة ملائمة لتحديد أولويات بناء القدرات في مجال الذكاء الاصطناعي، مشيرين إلى أن تنمية المهارات وتبادل المعارف أمران حاسمان لتسخير الذكاء الاصطناعي لتحقيق المصلحة العامة. ودعا أحد أعضاء المجلس إلى وضع استراتيجية إفريقية مخصصة بشأن الذكاء الاصطناعي.</w:t>
      </w:r>
    </w:p>
    <w:p w14:paraId="5B1B2F24" w14:textId="0495286B" w:rsidR="00CF16BC" w:rsidRPr="00CF16BC" w:rsidRDefault="00D02EDF" w:rsidP="00CF16BC">
      <w:r>
        <w:t>7.2</w:t>
      </w:r>
      <w:r w:rsidR="00CF16BC" w:rsidRPr="00CF16BC">
        <w:rPr>
          <w:rtl/>
        </w:rPr>
        <w:tab/>
        <w:t>واقترح أحد أعضاء المجلس ضرورة إيلاء مزيد من النظر في كيفية تقييم الأمانة لاستعداد البلدان في مجال سياسات واستراتيجيات الذكاء الاصطناعي، وفي الأدوات التي تستخدمها لهذا الغرض. وأشار عضو آخر في المجلس إلى</w:t>
      </w:r>
      <w:r w:rsidR="002353FD">
        <w:rPr>
          <w:rFonts w:hint="cs"/>
          <w:rtl/>
        </w:rPr>
        <w:t> </w:t>
      </w:r>
      <w:r w:rsidR="00CF16BC" w:rsidRPr="00CF16BC">
        <w:rPr>
          <w:rtl/>
        </w:rPr>
        <w:t>أن صندوق النقد الدولي أطلق لوحة مؤشرات الاستعداد للذكاء الاصطناعي، التي تغطي 174 بلداً، لتقييم مستوى استعداد هذه البلدان للذكاء الاصطناعي، باستخدام بيانات من منظمات دولية مختلفة. وقد ينظر الاتحاد في إمكانية البناء على هذا العمل. واقترح عضو آخر في المجلس تقديم الوثيقة C25/96 إلى فريق العمل التابع للمجلس والمعني بالقمة العالمية لمجتمع المعلومات وأهداف التنمية المستدامة لمزيد من الدراسة.</w:t>
      </w:r>
    </w:p>
    <w:p w14:paraId="3CEC6F84" w14:textId="024B6109" w:rsidR="00CF16BC" w:rsidRPr="00CF16BC" w:rsidRDefault="00D02EDF" w:rsidP="00CF16BC">
      <w:r>
        <w:t>8.2</w:t>
      </w:r>
      <w:r w:rsidR="00CF16BC" w:rsidRPr="00CF16BC">
        <w:rPr>
          <w:rtl/>
        </w:rPr>
        <w:tab/>
      </w:r>
      <w:r w:rsidR="00CF16BC" w:rsidRPr="00CF16BC">
        <w:rPr>
          <w:rFonts w:hint="eastAsia"/>
          <w:rtl/>
        </w:rPr>
        <w:t>قال</w:t>
      </w:r>
      <w:r w:rsidR="00CF16BC" w:rsidRPr="00CF16BC">
        <w:rPr>
          <w:rtl/>
        </w:rPr>
        <w:t xml:space="preserve"> </w:t>
      </w:r>
      <w:r w:rsidR="00CF16BC" w:rsidRPr="00CF16BC">
        <w:rPr>
          <w:rFonts w:hint="eastAsia"/>
          <w:rtl/>
        </w:rPr>
        <w:t>عدد</w:t>
      </w:r>
      <w:r w:rsidR="00CF16BC" w:rsidRPr="00CF16BC">
        <w:rPr>
          <w:rtl/>
        </w:rPr>
        <w:t xml:space="preserve"> </w:t>
      </w:r>
      <w:r w:rsidR="00CF16BC" w:rsidRPr="00CF16BC">
        <w:rPr>
          <w:rFonts w:hint="eastAsia"/>
          <w:rtl/>
        </w:rPr>
        <w:t>من</w:t>
      </w:r>
      <w:r w:rsidR="00CF16BC" w:rsidRPr="00CF16BC">
        <w:rPr>
          <w:rtl/>
        </w:rPr>
        <w:t xml:space="preserve"> </w:t>
      </w:r>
      <w:r w:rsidR="00CF16BC" w:rsidRPr="00CF16BC">
        <w:rPr>
          <w:rFonts w:hint="eastAsia"/>
          <w:rtl/>
        </w:rPr>
        <w:t>أعضاء</w:t>
      </w:r>
      <w:r w:rsidR="00CF16BC" w:rsidRPr="00CF16BC">
        <w:rPr>
          <w:rtl/>
        </w:rPr>
        <w:t xml:space="preserve"> </w:t>
      </w:r>
      <w:r w:rsidR="00CF16BC" w:rsidRPr="00CF16BC">
        <w:rPr>
          <w:rFonts w:hint="eastAsia"/>
          <w:rtl/>
        </w:rPr>
        <w:t>المجلس</w:t>
      </w:r>
      <w:r w:rsidR="00CF16BC" w:rsidRPr="00CF16BC">
        <w:rPr>
          <w:rtl/>
        </w:rPr>
        <w:t xml:space="preserve"> </w:t>
      </w:r>
      <w:r w:rsidR="00CF16BC" w:rsidRPr="00CF16BC">
        <w:rPr>
          <w:rFonts w:hint="eastAsia"/>
          <w:rtl/>
        </w:rPr>
        <w:t>إن</w:t>
      </w:r>
      <w:r w:rsidR="00CF16BC" w:rsidRPr="00CF16BC">
        <w:rPr>
          <w:rtl/>
        </w:rPr>
        <w:t xml:space="preserve"> </w:t>
      </w:r>
      <w:r w:rsidR="00CF16BC" w:rsidRPr="00CF16BC">
        <w:rPr>
          <w:rFonts w:hint="eastAsia"/>
          <w:rtl/>
        </w:rPr>
        <w:t>هناك</w:t>
      </w:r>
      <w:r w:rsidR="00CF16BC" w:rsidRPr="00CF16BC">
        <w:rPr>
          <w:rtl/>
        </w:rPr>
        <w:t xml:space="preserve"> </w:t>
      </w:r>
      <w:r w:rsidR="00CF16BC" w:rsidRPr="00CF16BC">
        <w:rPr>
          <w:rFonts w:hint="eastAsia"/>
          <w:rtl/>
        </w:rPr>
        <w:t>حاجة</w:t>
      </w:r>
      <w:r w:rsidR="00CF16BC" w:rsidRPr="00CF16BC">
        <w:rPr>
          <w:rtl/>
        </w:rPr>
        <w:t xml:space="preserve"> </w:t>
      </w:r>
      <w:r w:rsidR="00CF16BC" w:rsidRPr="00CF16BC">
        <w:rPr>
          <w:rFonts w:hint="eastAsia"/>
          <w:rtl/>
        </w:rPr>
        <w:t>إلى</w:t>
      </w:r>
      <w:r w:rsidR="00CF16BC" w:rsidRPr="00CF16BC">
        <w:rPr>
          <w:rtl/>
        </w:rPr>
        <w:t xml:space="preserve"> </w:t>
      </w:r>
      <w:r w:rsidR="00CF16BC" w:rsidRPr="00CF16BC">
        <w:rPr>
          <w:rFonts w:hint="eastAsia"/>
          <w:rtl/>
        </w:rPr>
        <w:t>الاستفادة</w:t>
      </w:r>
      <w:r w:rsidR="00CF16BC" w:rsidRPr="00CF16BC">
        <w:rPr>
          <w:rtl/>
        </w:rPr>
        <w:t xml:space="preserve"> </w:t>
      </w:r>
      <w:r w:rsidR="00CF16BC" w:rsidRPr="00CF16BC">
        <w:rPr>
          <w:rFonts w:hint="eastAsia"/>
          <w:rtl/>
        </w:rPr>
        <w:t>من</w:t>
      </w:r>
      <w:r w:rsidR="00CF16BC" w:rsidRPr="00CF16BC">
        <w:rPr>
          <w:rtl/>
        </w:rPr>
        <w:t xml:space="preserve"> </w:t>
      </w:r>
      <w:r w:rsidR="00CF16BC" w:rsidRPr="00CF16BC">
        <w:rPr>
          <w:rFonts w:hint="eastAsia"/>
          <w:rtl/>
        </w:rPr>
        <w:t>المبادرات</w:t>
      </w:r>
      <w:r w:rsidR="00CF16BC" w:rsidRPr="00CF16BC">
        <w:rPr>
          <w:rtl/>
        </w:rPr>
        <w:t xml:space="preserve"> </w:t>
      </w:r>
      <w:r w:rsidR="00CF16BC" w:rsidRPr="00CF16BC">
        <w:rPr>
          <w:rFonts w:hint="eastAsia"/>
          <w:rtl/>
        </w:rPr>
        <w:t>الحالية</w:t>
      </w:r>
      <w:r w:rsidR="00CF16BC" w:rsidRPr="00CF16BC">
        <w:rPr>
          <w:rtl/>
        </w:rPr>
        <w:t xml:space="preserve"> </w:t>
      </w:r>
      <w:r w:rsidR="00CF16BC" w:rsidRPr="00CF16BC">
        <w:rPr>
          <w:rFonts w:hint="eastAsia"/>
          <w:rtl/>
        </w:rPr>
        <w:t>للاتحاد</w:t>
      </w:r>
      <w:r w:rsidR="00CF16BC" w:rsidRPr="00CF16BC">
        <w:rPr>
          <w:rtl/>
        </w:rPr>
        <w:t xml:space="preserve"> </w:t>
      </w:r>
      <w:r w:rsidR="00CF16BC" w:rsidRPr="00CF16BC">
        <w:rPr>
          <w:rFonts w:hint="eastAsia"/>
          <w:rtl/>
        </w:rPr>
        <w:t>لتقديم</w:t>
      </w:r>
      <w:r w:rsidR="00CF16BC" w:rsidRPr="00CF16BC">
        <w:rPr>
          <w:rtl/>
        </w:rPr>
        <w:t xml:space="preserve"> </w:t>
      </w:r>
      <w:r w:rsidR="00CF16BC" w:rsidRPr="00CF16BC">
        <w:rPr>
          <w:rFonts w:hint="eastAsia"/>
          <w:rtl/>
        </w:rPr>
        <w:t>مساعدة</w:t>
      </w:r>
      <w:r w:rsidR="00CF16BC" w:rsidRPr="00CF16BC">
        <w:rPr>
          <w:rtl/>
        </w:rPr>
        <w:t xml:space="preserve"> </w:t>
      </w:r>
      <w:r w:rsidR="00CF16BC" w:rsidRPr="00CF16BC">
        <w:rPr>
          <w:rFonts w:hint="eastAsia"/>
          <w:rtl/>
        </w:rPr>
        <w:t>مُعزَّزة</w:t>
      </w:r>
      <w:r w:rsidR="00CF16BC" w:rsidRPr="00CF16BC">
        <w:rPr>
          <w:rtl/>
        </w:rPr>
        <w:t xml:space="preserve">. وذكر آخرون، في ظل الطلب المتزايد على المبادرات المتعلقة بالذكاء الاصطناعي، بما في ذلك من خلال مكتب </w:t>
      </w:r>
      <w:r w:rsidR="00CF16BC" w:rsidRPr="00CF16BC">
        <w:rPr>
          <w:rtl/>
        </w:rPr>
        <w:lastRenderedPageBreak/>
        <w:t>تقييس الاتصالات، أنه من الضروري توفير موارد مناسبة ومستدامة لتلبية هذا الطلب. وقال أحد أعضاء المجلس إن المبادرات المتعلقة بالذكاء الاصطناعي تمثل هدفاً مناسباً لتخصيص وفورات الميزانية لما لها من أثر كبير، لا سيما في</w:t>
      </w:r>
      <w:r w:rsidR="00AE6415">
        <w:rPr>
          <w:rFonts w:hint="cs"/>
          <w:rtl/>
        </w:rPr>
        <w:t> </w:t>
      </w:r>
      <w:r w:rsidR="00CF16BC" w:rsidRPr="00CF16BC">
        <w:rPr>
          <w:rtl/>
        </w:rPr>
        <w:t>البلدان النامية والمجتمعات المحلية المهمشة.</w:t>
      </w:r>
    </w:p>
    <w:p w14:paraId="557EE2F5" w14:textId="23B9ECD1" w:rsidR="00CF16BC" w:rsidRPr="00CF16BC" w:rsidRDefault="00D02EDF" w:rsidP="00CF16BC">
      <w:r>
        <w:t>9.2</w:t>
      </w:r>
      <w:r w:rsidR="00CF16BC" w:rsidRPr="00CF16BC">
        <w:rPr>
          <w:rtl/>
        </w:rPr>
        <w:tab/>
        <w:t xml:space="preserve">أشار مدير مكتب تنمية الاتصالات إلى أن مناطق متعددة تقوم بوضع مبادرات إقليمية تتعلق بتطبيق الذكاء الاصطناعي لاعتمادها في المؤتمر WTDC-25. وسيتيح المؤتمر فرصة متميزة لتحديد أولويات تنمية القدرات المتعلقة بالذكاء الاصطناعي والمؤشرات المناسبة لرصد التقدم والأثر. ومن وجهة نظره، ينبغي أن تكون هذه العملية بقيادة الأعضاء، ولكن الأمانة العامة تعمل مع منظمات أخرى لضمان التنسيق وتوفير أفضل الخبرات الممكنة للأعضاء. ويعمل مكتب تنمية الاتصالات عن كثب مع مكتب تقييس الاتصالات </w:t>
      </w:r>
      <w:r w:rsidR="003B2193">
        <w:rPr>
          <w:rFonts w:hint="cs"/>
          <w:rtl/>
        </w:rPr>
        <w:t>للمساعدة في دعم الجهود الرامية ل</w:t>
      </w:r>
      <w:r w:rsidR="00CF16BC" w:rsidRPr="00CF16BC">
        <w:rPr>
          <w:rtl/>
        </w:rPr>
        <w:t xml:space="preserve">تحقيق التوازن الأمثل بين تنظيم الذكاء الاصطناعي وتعزيز الابتكار؛ فعلى سبيل المثال، نُظمت ورشة عمل خلال الندوة العالمية لمنظمي الاتصالات عام 2024 بشأن دور الذكاء الاصطناعي وأثره على قطاع التنمية. وبدون تدابير مناسبة، يمكن أن يؤدي تطور الذكاء الاصطناعي السريع </w:t>
      </w:r>
      <w:r w:rsidR="00E95347" w:rsidRPr="00CF16BC">
        <w:rPr>
          <w:rtl/>
        </w:rPr>
        <w:t>وغير</w:t>
      </w:r>
      <w:r w:rsidR="00E95347">
        <w:rPr>
          <w:rFonts w:hint="cs"/>
          <w:rtl/>
        </w:rPr>
        <w:t> </w:t>
      </w:r>
      <w:r w:rsidR="00CF16BC" w:rsidRPr="00CF16BC">
        <w:rPr>
          <w:rtl/>
        </w:rPr>
        <w:t>المراقب إلى مزيد من الفجوات الرقمية. ويجري العمل أيضاً بشأن إدماج الذكاء الاصطناعي في أنظمة الإنذار المبكر والذكاء الاصطناعي مفتوح المصدر ضمن مكتب تنمية الاتصالات. وتوفر أكاديمية الاتحاد مصدراً قيماً لتنمية المهارات وإذكاء الوعي في مجال الذكاء الاصطناعي. ورحب بالدعوات إلى زيادة المساعدة المقدمة إلى أقل البلدان نمواً وجميع البلدان النامية وأشار إلى أن القرار 16 (المراج</w:t>
      </w:r>
      <w:r w:rsidR="0049075F">
        <w:rPr>
          <w:rFonts w:hint="cs"/>
          <w:rtl/>
        </w:rPr>
        <w:t>َ</w:t>
      </w:r>
      <w:r w:rsidR="00CF16BC" w:rsidRPr="00CF16BC">
        <w:rPr>
          <w:rtl/>
        </w:rPr>
        <w:t>ع في كيغالي، 2022) للمؤتمر العالمي لتنمية الاتصالات والقرار 30 (المراج</w:t>
      </w:r>
      <w:r w:rsidR="0049075F">
        <w:rPr>
          <w:rFonts w:hint="cs"/>
          <w:rtl/>
        </w:rPr>
        <w:t>َ</w:t>
      </w:r>
      <w:r w:rsidR="00CF16BC" w:rsidRPr="00CF16BC">
        <w:rPr>
          <w:rtl/>
        </w:rPr>
        <w:t>ع في</w:t>
      </w:r>
      <w:r w:rsidR="0049075F">
        <w:rPr>
          <w:rFonts w:hint="cs"/>
          <w:rtl/>
        </w:rPr>
        <w:t> </w:t>
      </w:r>
      <w:r w:rsidR="00CF16BC" w:rsidRPr="00CF16BC">
        <w:rPr>
          <w:rtl/>
        </w:rPr>
        <w:t>بوخارست، 2022) لمؤتمر المندوبين المفوضين يوفران سياقاً غير محدد بتكنولوجيا معيّنة للمساعدة الملائمة لاحتياجات هذه البلدان. وقال إنه يتطلع إلى أن يجدد المؤتمر WTDC-25 ولاية الاتحاد للعمل في هذا المجال.</w:t>
      </w:r>
    </w:p>
    <w:p w14:paraId="7FD5C032" w14:textId="0890DDE8" w:rsidR="00CF16BC" w:rsidRPr="00CF16BC" w:rsidRDefault="00D02EDF" w:rsidP="00CF16BC">
      <w:r>
        <w:t>10.2</w:t>
      </w:r>
      <w:r w:rsidR="00CF16BC" w:rsidRPr="00CF16BC">
        <w:rPr>
          <w:rtl/>
        </w:rPr>
        <w:tab/>
        <w:t>قال نائب مدير مكتب تقييس الاتصالات إن التعاون بين قطاع تقييس الاتصالات وقطاع تنمية الاتصالات يقدم قيمة كبيرة من حيث بناء القدرات لأقل البلدان نمواً والبلدان النامية الأخرى. وأشار إلى أن العمل جار</w:t>
      </w:r>
      <w:r w:rsidR="00E95347">
        <w:rPr>
          <w:rFonts w:hint="cs"/>
          <w:rtl/>
        </w:rPr>
        <w:t>ٍ</w:t>
      </w:r>
      <w:r w:rsidR="00CF16BC" w:rsidRPr="00CF16BC">
        <w:rPr>
          <w:rtl/>
        </w:rPr>
        <w:t xml:space="preserve"> لاستحداث أدوات لتقييم جاهزية الذكاء الاصطناعي، بما في ذلك التنسيق مع منظمات أخرى للاستفادة من العمل التكميلي.</w:t>
      </w:r>
    </w:p>
    <w:p w14:paraId="463B2D48" w14:textId="4A703A1F" w:rsidR="00CF16BC" w:rsidRPr="00CF16BC" w:rsidRDefault="00D02EDF" w:rsidP="00CF16BC">
      <w:r>
        <w:t>11.2</w:t>
      </w:r>
      <w:r w:rsidR="00CF16BC" w:rsidRPr="00CF16BC">
        <w:rPr>
          <w:rtl/>
        </w:rPr>
        <w:tab/>
        <w:t xml:space="preserve">دعت الرئيسة المجلس إلى </w:t>
      </w:r>
      <w:r w:rsidR="006E113C">
        <w:rPr>
          <w:rtl/>
        </w:rPr>
        <w:t>أخذ العلم</w:t>
      </w:r>
      <w:r w:rsidR="00CF16BC" w:rsidRPr="00CF16BC">
        <w:rPr>
          <w:rtl/>
        </w:rPr>
        <w:t xml:space="preserve"> بالتقرير الوارد في الوثيقة </w:t>
      </w:r>
      <w:hyperlink r:id="rId27" w:history="1">
        <w:r w:rsidR="003B2193" w:rsidRPr="00924A86">
          <w:rPr>
            <w:rStyle w:val="Hyperlink"/>
            <w:rFonts w:ascii="Dubai" w:eastAsiaTheme="minorEastAsia" w:hAnsi="Dubai" w:cs="Dubai"/>
            <w:noProof w:val="0"/>
            <w:sz w:val="22"/>
            <w:u w:val="single"/>
            <w:lang w:val="en-US" w:eastAsia="zh-CN"/>
          </w:rPr>
          <w:t>C25/52</w:t>
        </w:r>
      </w:hyperlink>
      <w:r w:rsidR="00CF16BC" w:rsidRPr="00CF16BC">
        <w:rPr>
          <w:rtl/>
        </w:rPr>
        <w:t>، و</w:t>
      </w:r>
      <w:r w:rsidR="006E113C">
        <w:rPr>
          <w:rtl/>
        </w:rPr>
        <w:t>أخذ العلم</w:t>
      </w:r>
      <w:r w:rsidR="00CF16BC" w:rsidRPr="00CF16BC">
        <w:rPr>
          <w:rtl/>
        </w:rPr>
        <w:t xml:space="preserve"> بالمساهمة الواردة في</w:t>
      </w:r>
      <w:r w:rsidR="006D49AF">
        <w:rPr>
          <w:rFonts w:hint="cs"/>
          <w:rtl/>
        </w:rPr>
        <w:t> </w:t>
      </w:r>
      <w:r w:rsidR="00CF16BC" w:rsidRPr="00CF16BC">
        <w:rPr>
          <w:rtl/>
        </w:rPr>
        <w:t>الوثيقة C25/96 ودعت الأمانة إلى مواصلة العمل على تقديم الدعم التقني، في حدود الميزانيات الحالية، إلى أقل البلدان نمواً في وضع سياسات الذكاء الاصطناعي وبناء القدرات في هذا المجال.</w:t>
      </w:r>
    </w:p>
    <w:p w14:paraId="67450B61" w14:textId="6E052766" w:rsidR="00CF16BC" w:rsidRPr="00CF16BC" w:rsidRDefault="00D02EDF" w:rsidP="00CF16BC">
      <w:r>
        <w:t>12.2</w:t>
      </w:r>
      <w:r w:rsidR="00CF16BC" w:rsidRPr="00CF16BC">
        <w:rPr>
          <w:rtl/>
        </w:rPr>
        <w:tab/>
      </w:r>
      <w:r w:rsidR="00CF16BC" w:rsidRPr="00CF16BC">
        <w:rPr>
          <w:b/>
          <w:bCs/>
          <w:rtl/>
        </w:rPr>
        <w:t xml:space="preserve">واتُّفق </w:t>
      </w:r>
      <w:r w:rsidR="00CF16BC" w:rsidRPr="00CF16BC">
        <w:rPr>
          <w:rtl/>
        </w:rPr>
        <w:t>على ذلك.</w:t>
      </w:r>
    </w:p>
    <w:p w14:paraId="5ED27B7A" w14:textId="332F4E3D" w:rsidR="00CF16BC" w:rsidRPr="00CF16BC" w:rsidRDefault="00D02EDF" w:rsidP="00026272">
      <w:pPr>
        <w:pStyle w:val="Heading1"/>
      </w:pPr>
      <w:r>
        <w:t>3</w:t>
      </w:r>
      <w:r w:rsidR="00CF16BC" w:rsidRPr="00CF16BC">
        <w:rPr>
          <w:rtl/>
        </w:rPr>
        <w:tab/>
        <w:t>اليوم العالمي للاتصالات ومجتمع المعلومات</w:t>
      </w:r>
      <w:r w:rsidR="00E95347" w:rsidRPr="00CF16BC">
        <w:rPr>
          <w:rtl/>
        </w:rPr>
        <w:t xml:space="preserve"> </w:t>
      </w:r>
      <w:r w:rsidR="00CF16BC" w:rsidRPr="00CF16BC">
        <w:rPr>
          <w:rtl/>
        </w:rPr>
        <w:t>(الوثائق</w:t>
      </w:r>
      <w:r w:rsidR="00CF16BC" w:rsidRPr="00753F98">
        <w:rPr>
          <w:color w:val="5B9BD5" w:themeColor="accent1"/>
          <w:rtl/>
        </w:rPr>
        <w:t xml:space="preserve"> </w:t>
      </w:r>
      <w:hyperlink r:id="rId28" w:history="1">
        <w:r w:rsidR="00CF16BC" w:rsidRPr="00753F98">
          <w:rPr>
            <w:rStyle w:val="Hyperlink"/>
            <w:rFonts w:ascii="Dubai" w:eastAsiaTheme="majorEastAsia" w:hAnsi="Dubai" w:cs="Dubai"/>
            <w:noProof w:val="0"/>
            <w:sz w:val="26"/>
            <w:u w:val="single"/>
            <w:rtl/>
            <w:lang w:val="en-US" w:eastAsia="zh-CN"/>
          </w:rPr>
          <w:t>C25/17</w:t>
        </w:r>
      </w:hyperlink>
      <w:r w:rsidR="00CF16BC" w:rsidRPr="00753F98">
        <w:rPr>
          <w:color w:val="5B9BD5" w:themeColor="accent1"/>
          <w:rtl/>
        </w:rPr>
        <w:t xml:space="preserve"> </w:t>
      </w:r>
      <w:r w:rsidR="00CF16BC" w:rsidRPr="00753F98">
        <w:rPr>
          <w:rtl/>
        </w:rPr>
        <w:t>و</w:t>
      </w:r>
      <w:hyperlink r:id="rId29" w:history="1">
        <w:r w:rsidR="00CF16BC" w:rsidRPr="00753F98">
          <w:rPr>
            <w:rStyle w:val="Hyperlink"/>
            <w:rFonts w:ascii="Dubai" w:eastAsiaTheme="majorEastAsia" w:hAnsi="Dubai" w:cs="Dubai"/>
            <w:noProof w:val="0"/>
            <w:sz w:val="26"/>
            <w:u w:val="single"/>
            <w:rtl/>
            <w:lang w:val="en-US" w:eastAsia="zh-CN"/>
          </w:rPr>
          <w:t>C25/76</w:t>
        </w:r>
      </w:hyperlink>
      <w:r w:rsidR="00CF16BC" w:rsidRPr="00753F98">
        <w:rPr>
          <w:color w:val="5B9BD5" w:themeColor="accent1"/>
          <w:rtl/>
        </w:rPr>
        <w:t xml:space="preserve"> </w:t>
      </w:r>
      <w:r w:rsidR="00CF16BC" w:rsidRPr="00753F98">
        <w:rPr>
          <w:rtl/>
        </w:rPr>
        <w:t>و</w:t>
      </w:r>
      <w:hyperlink r:id="rId30" w:history="1">
        <w:r w:rsidR="00CF16BC" w:rsidRPr="00753F98">
          <w:rPr>
            <w:rStyle w:val="Hyperlink"/>
            <w:rFonts w:ascii="Dubai" w:eastAsiaTheme="majorEastAsia" w:hAnsi="Dubai" w:cs="Dubai"/>
            <w:noProof w:val="0"/>
            <w:sz w:val="26"/>
            <w:u w:val="single"/>
            <w:rtl/>
            <w:lang w:val="en-US" w:eastAsia="zh-CN"/>
          </w:rPr>
          <w:t>C25/89</w:t>
        </w:r>
      </w:hyperlink>
      <w:r w:rsidR="00CF16BC" w:rsidRPr="00753F98">
        <w:rPr>
          <w:color w:val="5B9BD5" w:themeColor="accent1"/>
          <w:rtl/>
        </w:rPr>
        <w:t xml:space="preserve"> </w:t>
      </w:r>
      <w:r w:rsidR="00CF16BC" w:rsidRPr="00753F98">
        <w:rPr>
          <w:rtl/>
        </w:rPr>
        <w:t>و</w:t>
      </w:r>
      <w:hyperlink r:id="rId31" w:history="1">
        <w:r w:rsidR="00CF16BC" w:rsidRPr="00753F98">
          <w:rPr>
            <w:rStyle w:val="Hyperlink"/>
            <w:rFonts w:ascii="Dubai" w:eastAsiaTheme="majorEastAsia" w:hAnsi="Dubai" w:cs="Dubai"/>
            <w:noProof w:val="0"/>
            <w:sz w:val="26"/>
            <w:u w:val="single"/>
            <w:rtl/>
            <w:lang w:val="en-US" w:eastAsia="zh-CN"/>
          </w:rPr>
          <w:t>C25/100</w:t>
        </w:r>
      </w:hyperlink>
      <w:r w:rsidR="00CF16BC" w:rsidRPr="00753F98">
        <w:rPr>
          <w:color w:val="5B9BD5" w:themeColor="accent1"/>
          <w:rtl/>
        </w:rPr>
        <w:t>)</w:t>
      </w:r>
      <w:hyperlink r:id="rId32" w:history="1"/>
      <w:hyperlink r:id="rId33" w:history="1"/>
      <w:hyperlink r:id="rId34" w:history="1"/>
      <w:hyperlink r:id="rId35" w:history="1"/>
    </w:p>
    <w:p w14:paraId="4BD7DF18" w14:textId="539845FB" w:rsidR="00CF16BC" w:rsidRPr="00CF16BC" w:rsidRDefault="00D02EDF" w:rsidP="00CF16BC">
      <w:r>
        <w:t>1.3</w:t>
      </w:r>
      <w:r w:rsidR="00CF16BC" w:rsidRPr="00CF16BC">
        <w:rPr>
          <w:rtl/>
        </w:rPr>
        <w:tab/>
        <w:t xml:space="preserve">قدم ممثل عن الأمانة العامة التقرير الوارد في الوثيقة C25/17، بشأن الاحتفال باليوم العالمي للاتصالات ومجتمع المعلومات عام 2025 (WTISD-25) والذكرى السنوية الستين بعد المائة لتأسيس الاتحاد (ITU160) وعرض مقطع فيديو قصيراً </w:t>
      </w:r>
      <w:r w:rsidR="003B2193">
        <w:rPr>
          <w:rFonts w:hint="cs"/>
          <w:rtl/>
        </w:rPr>
        <w:t>يبين</w:t>
      </w:r>
      <w:r w:rsidR="00CF16BC" w:rsidRPr="00CF16BC">
        <w:rPr>
          <w:rtl/>
        </w:rPr>
        <w:t xml:space="preserve"> أبرز </w:t>
      </w:r>
      <w:r w:rsidR="003B2193">
        <w:rPr>
          <w:rFonts w:hint="cs"/>
          <w:rtl/>
        </w:rPr>
        <w:t>المجريات</w:t>
      </w:r>
      <w:r w:rsidR="00CF16BC" w:rsidRPr="00CF16BC">
        <w:rPr>
          <w:rtl/>
        </w:rPr>
        <w:t xml:space="preserve"> في حدث</w:t>
      </w:r>
      <w:r w:rsidR="003B2193">
        <w:rPr>
          <w:rFonts w:hint="cs"/>
          <w:rtl/>
        </w:rPr>
        <w:t>ي الأمانة المشتركين</w:t>
      </w:r>
      <w:r w:rsidR="00CF16BC" w:rsidRPr="00CF16BC">
        <w:rPr>
          <w:rtl/>
        </w:rPr>
        <w:t>. ود</w:t>
      </w:r>
      <w:r w:rsidR="00581EBF">
        <w:rPr>
          <w:rFonts w:hint="cs"/>
          <w:rtl/>
        </w:rPr>
        <w:t>ُ</w:t>
      </w:r>
      <w:r w:rsidR="00CF16BC" w:rsidRPr="00CF16BC">
        <w:rPr>
          <w:rtl/>
        </w:rPr>
        <w:t>عيت الدول الأعضاء إلى التواصل مع الأمانة إذا كانت ترغب في استخدام العرض الضوئي للاحتفالات بالذكرى السنوية الستين بعد المائة في بلدانها.</w:t>
      </w:r>
    </w:p>
    <w:p w14:paraId="33968B83" w14:textId="78691933" w:rsidR="00CF16BC" w:rsidRPr="00CF16BC" w:rsidRDefault="00D02EDF" w:rsidP="00CF16BC">
      <w:r>
        <w:t>2.3</w:t>
      </w:r>
      <w:r w:rsidR="00CF16BC" w:rsidRPr="00CF16BC">
        <w:rPr>
          <w:rtl/>
        </w:rPr>
        <w:tab/>
        <w:t>وقدم عضو المجلس من ماليزيا الوثيقة C25/76، التي تلخص الاحتفال باليوم العالمي للاتصالات ومجتمع المعلومات عام 2025 واليوم الدولي للفتيات في مجال تكنولوجيا المعلومات والاتصالات عام 2025 وفعالية ITU160 في ماليزيا، التي جمعت أصحاب المصلحة من الحكومات ودوائر الصناعة والمنظمات الدولية للتفكير في الالتزام المشترك بالأهداف العالمية للاتحاد.</w:t>
      </w:r>
    </w:p>
    <w:p w14:paraId="3172FABB" w14:textId="72F8AE43" w:rsidR="00CF16BC" w:rsidRPr="00CF16BC" w:rsidRDefault="00D02EDF" w:rsidP="00CF16BC">
      <w:r>
        <w:t>3.3</w:t>
      </w:r>
      <w:r w:rsidR="00CF16BC" w:rsidRPr="00CF16BC">
        <w:rPr>
          <w:rtl/>
        </w:rPr>
        <w:tab/>
        <w:t>قدم عضو المجلس من المملكة العربية السعودية، بالنيابة عن سبعة بلدان، المساهمة متعددة البلدان الواردة في الوثيقة C25/89. وتقترح المساهمة موضوعين لليوم العالمي للاتصالات ومجتمع المعلومات عام 2026: "تمكين الثقة الرقمية في عالم قائم على الذكاء الاصطناعي"، الذي يؤكد الحاجة إلى تطوير الذكاء الاصطناعي بشكل مسؤول والشفافية وإدارة البيانات الأخلاقية؛ و"الفضاء للجميع: توسيع نطاق التوصيلية عبر الحدود"، الذي يسلط الضوء على دور التكنولوجيات الساتلية والفضائية في تحقيق النفاذ الشامل والشمول الرقمي.</w:t>
      </w:r>
    </w:p>
    <w:p w14:paraId="23099F1E" w14:textId="4942408B" w:rsidR="00CF16BC" w:rsidRPr="00CF16BC" w:rsidRDefault="00D02EDF" w:rsidP="00CF16BC">
      <w:r>
        <w:t>4.3</w:t>
      </w:r>
      <w:r w:rsidR="00CF16BC" w:rsidRPr="00CF16BC">
        <w:rPr>
          <w:rtl/>
        </w:rPr>
        <w:tab/>
        <w:t>قدم عضو المجلس من نيجيريا الوثيقة C25/100، التي تقترح موضوعاً آخر لليوم العالمي للاتصالات ومجتمع المعلومات عام 2026: "شر</w:t>
      </w:r>
      <w:r w:rsidR="00581EBF">
        <w:rPr>
          <w:rFonts w:hint="cs"/>
          <w:rtl/>
        </w:rPr>
        <w:t>ايين</w:t>
      </w:r>
      <w:r w:rsidR="00CF16BC" w:rsidRPr="00CF16BC">
        <w:rPr>
          <w:rtl/>
        </w:rPr>
        <w:t xml:space="preserve"> الحياة الرقمية: تعزيز القدرة على الصمود في عالم موصول"، من أجل التأكيد على أهمية البنية التحتية الرقمية القادرة على الصمود لتحقيق الاستقرار الاقتصادي والنمو الشامل والابتكار التكنولوجي.</w:t>
      </w:r>
    </w:p>
    <w:p w14:paraId="432A0ACE" w14:textId="2337B8E2" w:rsidR="00CF16BC" w:rsidRPr="00CF16BC" w:rsidRDefault="004E0A34" w:rsidP="00CF16BC">
      <w:r>
        <w:lastRenderedPageBreak/>
        <w:t>5.3</w:t>
      </w:r>
      <w:r w:rsidR="00CF16BC" w:rsidRPr="00CF16BC">
        <w:rPr>
          <w:rtl/>
        </w:rPr>
        <w:tab/>
        <w:t>ورداً على سؤال من الرئيسة، أكد عضوا المجلس من المملكة العربية السعودية ونيجيريا أنه تم الاتفاق، بعد مشاورات غير رسمية، على اقتراح "شر</w:t>
      </w:r>
      <w:r w:rsidR="00F71CA0">
        <w:rPr>
          <w:rFonts w:hint="cs"/>
          <w:rtl/>
        </w:rPr>
        <w:t>ا</w:t>
      </w:r>
      <w:r w:rsidR="00CF16BC" w:rsidRPr="00CF16BC">
        <w:rPr>
          <w:rtl/>
        </w:rPr>
        <w:t>ي</w:t>
      </w:r>
      <w:r w:rsidR="00F71CA0">
        <w:rPr>
          <w:rFonts w:hint="cs"/>
          <w:rtl/>
        </w:rPr>
        <w:t>ين</w:t>
      </w:r>
      <w:r w:rsidR="00CF16BC" w:rsidRPr="00CF16BC">
        <w:rPr>
          <w:rtl/>
        </w:rPr>
        <w:t xml:space="preserve"> الحياة الرقمية: تعزيز القدرة على الصمود في عالم موصول" كموضوع لليوم العالمي للاتصالات ومجتمع المعلومات عام 2026 و"فضاء للجميع: توسيع نطاق التوصيلية عبر الحدود" كموضوع لليوم العالمي للاتصالات ومجتمع المعلومات عام 2027.</w:t>
      </w:r>
    </w:p>
    <w:p w14:paraId="3EED508F" w14:textId="3C5988CD" w:rsidR="00CF16BC" w:rsidRPr="00CF16BC" w:rsidRDefault="004E0A34" w:rsidP="00CF16BC">
      <w:r>
        <w:t>6.3</w:t>
      </w:r>
      <w:r w:rsidR="00CF16BC" w:rsidRPr="00CF16BC">
        <w:rPr>
          <w:rtl/>
        </w:rPr>
        <w:tab/>
        <w:t>وأعرب أعضاء المجلس عن تقديرهم للأنشطة التي نُظمت احتفالاً باليوم العالمي للاتصالات ومجتمع المعلومات عام 2025 في ماليزيا وتركيزها على تعزيز التعاون الدولي والتحول الرقمي الشامل. وأيد العديد من أعضاء المجلس تأييداً تاماً الموضوعين المقترحين لليوم العالمي للاتصالات ومجتمع المعلومات عام 2026 واليوم العالمي للاتصالات ومجتمع المعلومات عام 2027</w:t>
      </w:r>
      <w:r w:rsidR="00CF16BC" w:rsidRPr="00CF16BC">
        <w:t>:</w:t>
      </w:r>
      <w:r w:rsidR="00CF16BC" w:rsidRPr="00CF16BC">
        <w:rPr>
          <w:rtl/>
        </w:rPr>
        <w:t xml:space="preserve"> فالقدرة على الصمود موضوع مهم يشمل العديد من المجالات، في حين سيكون لموضوع الفضاء أهمية خاصة في سياق المؤتمر العالمي للاتصالات الراديوية عام 2027. ومع ذلك، حذر أحد أعضاء المجلس من أن "توسيع نطاق التوصيلية عبر الحدود" ينبغي ألا يقوض السيادة الوطنية.</w:t>
      </w:r>
    </w:p>
    <w:p w14:paraId="313861FB" w14:textId="06A550A7" w:rsidR="00CF16BC" w:rsidRPr="00CF16BC" w:rsidRDefault="004E0A34" w:rsidP="00CF16BC">
      <w:r>
        <w:t>7.3</w:t>
      </w:r>
      <w:r w:rsidR="00CF16BC" w:rsidRPr="00CF16BC">
        <w:rPr>
          <w:rtl/>
        </w:rPr>
        <w:tab/>
        <w:t>شدد أحد أعضاء المجلس على الحاجة إلى بناء شراكات وآليات تمويل مستدامة لدعم أنشطة اليوم العالمي للاتصالات ومجتمع المعلومات.</w:t>
      </w:r>
    </w:p>
    <w:p w14:paraId="5B13A077" w14:textId="55A7BBA9" w:rsidR="00CF16BC" w:rsidRPr="00CF16BC" w:rsidRDefault="004E0A34" w:rsidP="006D49AF">
      <w:pPr>
        <w:rPr>
          <w:lang w:bidi="en-GB"/>
        </w:rPr>
      </w:pPr>
      <w:r>
        <w:t>8.3</w:t>
      </w:r>
      <w:r w:rsidR="00CF16BC" w:rsidRPr="00CF16BC">
        <w:rPr>
          <w:rtl/>
        </w:rPr>
        <w:tab/>
        <w:t xml:space="preserve">دعت الرئيسة المجلس إلى </w:t>
      </w:r>
      <w:r w:rsidR="006E113C">
        <w:rPr>
          <w:rtl/>
        </w:rPr>
        <w:t>أخذ العلم</w:t>
      </w:r>
      <w:r w:rsidR="00CF16BC" w:rsidRPr="00CF16BC">
        <w:rPr>
          <w:rtl/>
        </w:rPr>
        <w:t xml:space="preserve"> بالتقرير الوارد في الوثيقة C25/17، وإلى </w:t>
      </w:r>
      <w:r w:rsidR="006E113C">
        <w:rPr>
          <w:rtl/>
        </w:rPr>
        <w:t>أخذ العلم</w:t>
      </w:r>
      <w:r w:rsidR="00CF16BC" w:rsidRPr="00CF16BC">
        <w:rPr>
          <w:rtl/>
        </w:rPr>
        <w:t xml:space="preserve"> كذلك بالاحتفالات في</w:t>
      </w:r>
      <w:r w:rsidR="006D49AF">
        <w:rPr>
          <w:rFonts w:hint="eastAsia"/>
          <w:rtl/>
          <w:lang w:bidi="ar-EG"/>
        </w:rPr>
        <w:t> </w:t>
      </w:r>
      <w:r w:rsidR="00CF16BC" w:rsidRPr="00CF16BC">
        <w:rPr>
          <w:rtl/>
        </w:rPr>
        <w:t>ماليزيا الواردة في الوثيقة C25/76 والموافقة على الموضوعين المقترحين لليوم العالمي للاتصالات ومجتمع المعلومات لعامي 2026 و2027.</w:t>
      </w:r>
    </w:p>
    <w:p w14:paraId="1AFFDD9C" w14:textId="4AED1942" w:rsidR="00CF16BC" w:rsidRPr="00CF16BC" w:rsidRDefault="004E0A34" w:rsidP="00CF16BC">
      <w:r>
        <w:t>9.3</w:t>
      </w:r>
      <w:r w:rsidR="00CF16BC" w:rsidRPr="00CF16BC">
        <w:rPr>
          <w:rtl/>
        </w:rPr>
        <w:tab/>
      </w:r>
      <w:r w:rsidR="00CF16BC" w:rsidRPr="00CF16BC">
        <w:rPr>
          <w:b/>
          <w:bCs/>
          <w:rtl/>
        </w:rPr>
        <w:t xml:space="preserve">واتُّفق </w:t>
      </w:r>
      <w:r w:rsidR="00CF16BC" w:rsidRPr="00CF16BC">
        <w:rPr>
          <w:rtl/>
        </w:rPr>
        <w:t>على ذلك.</w:t>
      </w:r>
    </w:p>
    <w:p w14:paraId="64E55E1F" w14:textId="3778B983" w:rsidR="00CF16BC" w:rsidRPr="00CF16BC" w:rsidRDefault="00D02EDF" w:rsidP="0049075F">
      <w:pPr>
        <w:pStyle w:val="Heading1"/>
      </w:pPr>
      <w:r>
        <w:t>4</w:t>
      </w:r>
      <w:r w:rsidR="00CF16BC" w:rsidRPr="00CF16BC">
        <w:rPr>
          <w:rtl/>
        </w:rPr>
        <w:tab/>
        <w:t xml:space="preserve">استراتيجية تنسيق الجهود بين قطاعات الاتحاد الثلاثة (الوثيقة </w:t>
      </w:r>
      <w:hyperlink r:id="rId36" w:history="1">
        <w:r w:rsidR="0049075F" w:rsidRPr="00753F98">
          <w:rPr>
            <w:rStyle w:val="Hyperlink"/>
            <w:rFonts w:ascii="Dubai" w:eastAsiaTheme="majorEastAsia" w:hAnsi="Dubai" w:cs="Dubai"/>
            <w:noProof w:val="0"/>
            <w:sz w:val="26"/>
            <w:u w:val="single"/>
            <w:lang w:eastAsia="zh-CN"/>
          </w:rPr>
          <w:t>C25/27</w:t>
        </w:r>
      </w:hyperlink>
      <w:r w:rsidR="00F379B9">
        <w:rPr>
          <w:rFonts w:hint="cs"/>
          <w:rtl/>
        </w:rPr>
        <w:t>)</w:t>
      </w:r>
    </w:p>
    <w:p w14:paraId="4E58AACB" w14:textId="1E50F4D5" w:rsidR="00CF16BC" w:rsidRPr="00CF16BC" w:rsidRDefault="004E0A34" w:rsidP="00CF16BC">
      <w:r w:rsidRPr="00250ED5">
        <w:t>1.4</w:t>
      </w:r>
      <w:r w:rsidR="00CF16BC" w:rsidRPr="00250ED5">
        <w:rPr>
          <w:rtl/>
        </w:rPr>
        <w:tab/>
        <w:t xml:space="preserve">عرض ممثل عن الأمانة العامة الوثيقة C25/27، التي تقدم تقريراً عن استراتيجية تنسيق الجهود بين القطاعات الثلاثة والأمانة العامة وتلخص أنشطة فريق المهام المعني بالتنسيق بين القطاعات </w:t>
      </w:r>
      <w:r w:rsidR="00CF16BC" w:rsidRPr="00250ED5">
        <w:t>(ISC-TF</w:t>
      </w:r>
      <w:r w:rsidR="0049075F" w:rsidRPr="00250ED5">
        <w:t>)</w:t>
      </w:r>
      <w:r w:rsidR="00CF16BC" w:rsidRPr="00250ED5">
        <w:rPr>
          <w:rtl/>
        </w:rPr>
        <w:t xml:space="preserve"> وفريق التنسيق بين القطاعات (</w:t>
      </w:r>
      <w:r w:rsidR="00CF16BC" w:rsidRPr="00250ED5">
        <w:t>ISCG</w:t>
      </w:r>
      <w:r w:rsidR="00CF16BC" w:rsidRPr="00250ED5">
        <w:rPr>
          <w:rtl/>
        </w:rPr>
        <w:t xml:space="preserve">). وتقدم المنصة الإلكترونية المشار إليها في الوثيقة </w:t>
      </w:r>
      <w:hyperlink r:id="rId37" w:history="1">
        <w:r w:rsidR="00CF16BC" w:rsidRPr="00753F98">
          <w:rPr>
            <w:rStyle w:val="Hyperlink"/>
            <w:rFonts w:ascii="Dubai" w:eastAsiaTheme="minorEastAsia" w:hAnsi="Dubai" w:cs="Dubai"/>
            <w:noProof w:val="0"/>
            <w:sz w:val="22"/>
            <w:u w:val="single"/>
            <w:lang w:val="en-US" w:eastAsia="zh-CN"/>
          </w:rPr>
          <w:t>C25/35</w:t>
        </w:r>
      </w:hyperlink>
      <w:r w:rsidR="00CF16BC" w:rsidRPr="00250ED5">
        <w:rPr>
          <w:rtl/>
        </w:rPr>
        <w:t xml:space="preserve"> بشأن تنفيذ قرارات مؤتمر المندوبين المفوضين نتائج ملموسة للتنسيق بشأن المسائل ذات الاهتمام المشترك للقطاعات والأمانة العامة.</w:t>
      </w:r>
      <w:hyperlink r:id="rId38" w:history="1"/>
    </w:p>
    <w:p w14:paraId="3A9D1E4A" w14:textId="16FBEA88" w:rsidR="00CF16BC" w:rsidRPr="00CF16BC" w:rsidRDefault="004E0A34" w:rsidP="00CF16BC">
      <w:r>
        <w:t>2.4</w:t>
      </w:r>
      <w:r w:rsidR="00CF16BC" w:rsidRPr="00CF16BC">
        <w:rPr>
          <w:rtl/>
        </w:rPr>
        <w:tab/>
        <w:t>قال رئيس فريق التنسيق بين القطاعات إنه تم تعيين منسقين لمواضيع إمكانية النفاذ وتغير المناخ والمشاركة عن ب</w:t>
      </w:r>
      <w:r w:rsidR="00B361AA">
        <w:rPr>
          <w:rFonts w:hint="cs"/>
          <w:rtl/>
        </w:rPr>
        <w:t>ُ</w:t>
      </w:r>
      <w:r w:rsidR="00CF16BC" w:rsidRPr="00CF16BC">
        <w:rPr>
          <w:rtl/>
        </w:rPr>
        <w:t>عد والتحول الرقمي المستدام ومشاركة دوائر الصناعة. وقد نشر فريق التنسيق بين القطاعات نتائج عملية رسم خارطة الارتباط الخاصة به في موقعه الإلكتروني من أجل تسهيل التنسيق وتجنب التداخل في الأنشطة والدراسات بين القطاعات.</w:t>
      </w:r>
    </w:p>
    <w:p w14:paraId="389FCFFB" w14:textId="7680136F" w:rsidR="00CF16BC" w:rsidRPr="00CF16BC" w:rsidRDefault="004E0A34" w:rsidP="00CF16BC">
      <w:r>
        <w:t>3.4</w:t>
      </w:r>
      <w:r w:rsidR="00CF16BC" w:rsidRPr="00CF16BC">
        <w:rPr>
          <w:rtl/>
        </w:rPr>
        <w:tab/>
        <w:t xml:space="preserve">رحب أعضاء المجلس بالتقدم المحرز في استراتيجية تعزيز التنسيق بين القطاعات الثلاثة والأمانة العامة، مما سيحقق قيمة كبيرة في المواضيع المشتركة المحددة. وأشيد بعمل رسم خرائط الارتباط الذي أنجزه فريق التنسيق بين القطاعات ومنصة قرارات مؤتمر المندوبين المفوضين. </w:t>
      </w:r>
      <w:r w:rsidR="00CF16BC" w:rsidRPr="00CF16BC">
        <w:rPr>
          <w:rFonts w:hint="eastAsia"/>
          <w:rtl/>
        </w:rPr>
        <w:t>ومع</w:t>
      </w:r>
      <w:r w:rsidR="00CF16BC" w:rsidRPr="00CF16BC">
        <w:rPr>
          <w:rtl/>
        </w:rPr>
        <w:t xml:space="preserve"> </w:t>
      </w:r>
      <w:r w:rsidR="00CF16BC" w:rsidRPr="00CF16BC">
        <w:rPr>
          <w:rFonts w:hint="eastAsia"/>
          <w:rtl/>
        </w:rPr>
        <w:t>ذلك،</w:t>
      </w:r>
      <w:r w:rsidR="00CF16BC" w:rsidRPr="00CF16BC">
        <w:rPr>
          <w:rtl/>
        </w:rPr>
        <w:t xml:space="preserve"> </w:t>
      </w:r>
      <w:r w:rsidR="00CF16BC" w:rsidRPr="00CF16BC">
        <w:rPr>
          <w:rFonts w:hint="eastAsia"/>
          <w:rtl/>
        </w:rPr>
        <w:t>قال</w:t>
      </w:r>
      <w:r w:rsidR="00CF16BC" w:rsidRPr="00CF16BC">
        <w:rPr>
          <w:rtl/>
        </w:rPr>
        <w:t xml:space="preserve"> </w:t>
      </w:r>
      <w:r w:rsidR="00CF16BC" w:rsidRPr="00CF16BC">
        <w:rPr>
          <w:rFonts w:hint="eastAsia"/>
          <w:rtl/>
        </w:rPr>
        <w:t>العديد</w:t>
      </w:r>
      <w:r w:rsidR="00CF16BC" w:rsidRPr="00CF16BC">
        <w:rPr>
          <w:rtl/>
        </w:rPr>
        <w:t xml:space="preserve"> </w:t>
      </w:r>
      <w:r w:rsidR="00CF16BC" w:rsidRPr="00CF16BC">
        <w:rPr>
          <w:rFonts w:hint="eastAsia"/>
          <w:rtl/>
        </w:rPr>
        <w:t>من</w:t>
      </w:r>
      <w:r w:rsidR="00CF16BC" w:rsidRPr="00CF16BC">
        <w:rPr>
          <w:rtl/>
        </w:rPr>
        <w:t xml:space="preserve"> </w:t>
      </w:r>
      <w:r w:rsidR="00CF16BC" w:rsidRPr="00CF16BC">
        <w:rPr>
          <w:rFonts w:hint="eastAsia"/>
          <w:rtl/>
        </w:rPr>
        <w:t>أعضاء</w:t>
      </w:r>
      <w:r w:rsidR="00CF16BC" w:rsidRPr="00CF16BC">
        <w:rPr>
          <w:rtl/>
        </w:rPr>
        <w:t xml:space="preserve"> </w:t>
      </w:r>
      <w:r w:rsidR="00CF16BC" w:rsidRPr="00CF16BC">
        <w:rPr>
          <w:rFonts w:hint="eastAsia"/>
          <w:rtl/>
        </w:rPr>
        <w:t>المجلس</w:t>
      </w:r>
      <w:r w:rsidR="00CF16BC" w:rsidRPr="00CF16BC">
        <w:rPr>
          <w:rtl/>
        </w:rPr>
        <w:t xml:space="preserve"> </w:t>
      </w:r>
      <w:r w:rsidR="00CF16BC" w:rsidRPr="00CF16BC">
        <w:rPr>
          <w:rFonts w:hint="eastAsia"/>
          <w:rtl/>
        </w:rPr>
        <w:t>إن</w:t>
      </w:r>
      <w:r w:rsidR="00CF16BC" w:rsidRPr="00CF16BC">
        <w:rPr>
          <w:rtl/>
        </w:rPr>
        <w:t xml:space="preserve"> </w:t>
      </w:r>
      <w:r w:rsidR="00CF16BC" w:rsidRPr="00CF16BC">
        <w:rPr>
          <w:rFonts w:hint="eastAsia"/>
          <w:rtl/>
        </w:rPr>
        <w:t>من</w:t>
      </w:r>
      <w:r w:rsidR="00CF16BC" w:rsidRPr="00CF16BC">
        <w:rPr>
          <w:rtl/>
        </w:rPr>
        <w:t xml:space="preserve"> </w:t>
      </w:r>
      <w:r w:rsidR="00CF16BC" w:rsidRPr="00CF16BC">
        <w:rPr>
          <w:rFonts w:hint="eastAsia"/>
          <w:rtl/>
        </w:rPr>
        <w:t>غير</w:t>
      </w:r>
      <w:r w:rsidR="00CF16BC" w:rsidRPr="00CF16BC">
        <w:rPr>
          <w:rtl/>
        </w:rPr>
        <w:t xml:space="preserve"> </w:t>
      </w:r>
      <w:r w:rsidR="00CF16BC" w:rsidRPr="00CF16BC">
        <w:rPr>
          <w:rFonts w:hint="eastAsia"/>
          <w:rtl/>
        </w:rPr>
        <w:t>الواضح</w:t>
      </w:r>
      <w:r w:rsidR="00CF16BC" w:rsidRPr="00CF16BC">
        <w:rPr>
          <w:rtl/>
        </w:rPr>
        <w:t xml:space="preserve"> كيفية إسهام </w:t>
      </w:r>
      <w:r w:rsidR="00CF16BC" w:rsidRPr="00CF16BC">
        <w:rPr>
          <w:rFonts w:hint="eastAsia"/>
          <w:rtl/>
        </w:rPr>
        <w:t>هذه</w:t>
      </w:r>
      <w:r w:rsidR="00CF16BC" w:rsidRPr="00CF16BC">
        <w:rPr>
          <w:rtl/>
        </w:rPr>
        <w:t xml:space="preserve"> </w:t>
      </w:r>
      <w:r w:rsidR="00CF16BC" w:rsidRPr="00CF16BC">
        <w:rPr>
          <w:rFonts w:hint="eastAsia"/>
          <w:rtl/>
        </w:rPr>
        <w:t>التدابير</w:t>
      </w:r>
      <w:r w:rsidR="00CF16BC" w:rsidRPr="00CF16BC">
        <w:rPr>
          <w:rtl/>
        </w:rPr>
        <w:t xml:space="preserve"> </w:t>
      </w:r>
      <w:r w:rsidR="00CF16BC" w:rsidRPr="00CF16BC">
        <w:rPr>
          <w:rFonts w:hint="eastAsia"/>
          <w:rtl/>
        </w:rPr>
        <w:t>وتدابير</w:t>
      </w:r>
      <w:r w:rsidR="00CF16BC" w:rsidRPr="00CF16BC">
        <w:rPr>
          <w:rtl/>
        </w:rPr>
        <w:t xml:space="preserve"> </w:t>
      </w:r>
      <w:r w:rsidR="00CF16BC" w:rsidRPr="00CF16BC">
        <w:rPr>
          <w:rFonts w:hint="eastAsia"/>
          <w:rtl/>
        </w:rPr>
        <w:t>الكفاءة</w:t>
      </w:r>
      <w:r w:rsidR="00CF16BC" w:rsidRPr="00CF16BC">
        <w:rPr>
          <w:rtl/>
        </w:rPr>
        <w:t xml:space="preserve"> </w:t>
      </w:r>
      <w:r w:rsidR="00CF16BC" w:rsidRPr="00CF16BC">
        <w:rPr>
          <w:rFonts w:hint="eastAsia"/>
          <w:rtl/>
        </w:rPr>
        <w:t>الأخرى</w:t>
      </w:r>
      <w:r w:rsidR="00CF16BC" w:rsidRPr="00CF16BC">
        <w:rPr>
          <w:rtl/>
        </w:rPr>
        <w:t xml:space="preserve"> </w:t>
      </w:r>
      <w:r w:rsidR="00CF16BC" w:rsidRPr="00CF16BC">
        <w:rPr>
          <w:rFonts w:hint="eastAsia"/>
          <w:rtl/>
        </w:rPr>
        <w:t>في</w:t>
      </w:r>
      <w:r w:rsidR="00CF16BC" w:rsidRPr="00CF16BC">
        <w:rPr>
          <w:rtl/>
        </w:rPr>
        <w:t xml:space="preserve"> </w:t>
      </w:r>
      <w:r w:rsidR="00CF16BC" w:rsidRPr="00CF16BC">
        <w:rPr>
          <w:rFonts w:hint="eastAsia"/>
          <w:rtl/>
        </w:rPr>
        <w:t>تجنب</w:t>
      </w:r>
      <w:r w:rsidR="00CF16BC" w:rsidRPr="00CF16BC">
        <w:rPr>
          <w:rtl/>
        </w:rPr>
        <w:t xml:space="preserve"> </w:t>
      </w:r>
      <w:r w:rsidR="00CF16BC" w:rsidRPr="00CF16BC">
        <w:rPr>
          <w:rFonts w:hint="eastAsia"/>
          <w:rtl/>
        </w:rPr>
        <w:t>الازدواجية</w:t>
      </w:r>
      <w:r w:rsidR="00CF16BC" w:rsidRPr="00CF16BC">
        <w:rPr>
          <w:rtl/>
        </w:rPr>
        <w:t xml:space="preserve"> </w:t>
      </w:r>
      <w:r w:rsidR="00CF16BC" w:rsidRPr="00CF16BC">
        <w:rPr>
          <w:rFonts w:hint="eastAsia"/>
          <w:rtl/>
        </w:rPr>
        <w:t>في</w:t>
      </w:r>
      <w:r w:rsidR="00CF16BC" w:rsidRPr="00CF16BC">
        <w:rPr>
          <w:rtl/>
        </w:rPr>
        <w:t xml:space="preserve"> </w:t>
      </w:r>
      <w:r w:rsidR="00CF16BC" w:rsidRPr="00CF16BC">
        <w:rPr>
          <w:rFonts w:hint="eastAsia"/>
          <w:rtl/>
        </w:rPr>
        <w:t>الممارسة</w:t>
      </w:r>
      <w:r w:rsidR="00CF16BC" w:rsidRPr="00CF16BC">
        <w:rPr>
          <w:rtl/>
        </w:rPr>
        <w:t xml:space="preserve"> </w:t>
      </w:r>
      <w:r w:rsidR="00CF16BC" w:rsidRPr="00CF16BC">
        <w:rPr>
          <w:rFonts w:hint="eastAsia"/>
          <w:rtl/>
        </w:rPr>
        <w:t>العملية</w:t>
      </w:r>
      <w:r w:rsidR="00CF16BC" w:rsidRPr="00CF16BC">
        <w:rPr>
          <w:rtl/>
        </w:rPr>
        <w:t>.</w:t>
      </w:r>
      <w:r w:rsidR="00CF16BC" w:rsidRPr="00CF16BC">
        <w:rPr>
          <w:cs/>
        </w:rPr>
        <w:t>‎</w:t>
      </w:r>
      <w:r w:rsidR="00CF16BC" w:rsidRPr="00CF16BC">
        <w:rPr>
          <w:rtl/>
        </w:rPr>
        <w:t xml:space="preserve"> وينبغي إدراج مزيد من المعلومات في هذا الصدد والمؤشرات المناسبة في التقرير.</w:t>
      </w:r>
    </w:p>
    <w:p w14:paraId="65FA9484" w14:textId="21BD43D3" w:rsidR="00CF16BC" w:rsidRPr="00704D95" w:rsidRDefault="004E0A34" w:rsidP="00CF16BC">
      <w:pPr>
        <w:rPr>
          <w:spacing w:val="-1"/>
        </w:rPr>
      </w:pPr>
      <w:r w:rsidRPr="00704D95">
        <w:rPr>
          <w:spacing w:val="-1"/>
        </w:rPr>
        <w:t>4.4</w:t>
      </w:r>
      <w:r w:rsidR="00CF16BC" w:rsidRPr="00704D95">
        <w:rPr>
          <w:spacing w:val="-1"/>
          <w:rtl/>
        </w:rPr>
        <w:tab/>
        <w:t xml:space="preserve">قال ممثل الأمانة العامة إن لجنة التنسيق </w:t>
      </w:r>
      <w:r w:rsidR="00CF16BC" w:rsidRPr="00704D95">
        <w:rPr>
          <w:spacing w:val="-1"/>
        </w:rPr>
        <w:t>(CoCo</w:t>
      </w:r>
      <w:r w:rsidR="0049075F" w:rsidRPr="00704D95">
        <w:rPr>
          <w:spacing w:val="-1"/>
        </w:rPr>
        <w:t>)</w:t>
      </w:r>
      <w:r w:rsidR="00CF16BC" w:rsidRPr="00704D95">
        <w:rPr>
          <w:spacing w:val="-1"/>
          <w:rtl/>
        </w:rPr>
        <w:t xml:space="preserve"> وافقت على استراتيجية التنسيق بين القطاعات وأن الإدارة العليا شاركت في اختيار المواضيع المشتركة والتوصية بمنسقين لها. وقدم فريق المهام المعني بالتنسيق بين القطاعات، الذي يرأسه نائب الأمينة العامة، تقارير دورية إلى لجنة التنسيق وقدم مدخلات إلى اجتماعات فريق التنسيق بين القطاعات. وشملت التدابير الرامية إلى تعزيز التنسيق والحد من الازدواجية إنشاء أمانة مشتركة لفريق المهام المعني بالتنسيق بين القطاعات وفريق التنسيق بين القطاعات وجداول زمنية وأدوات ومنشورات مشتركة. فعلى سبيل المثال، كثيراً ما يجتمع فريق التنسيق بين القطاعات بالتزامن مع فريق استشاري للقطاع. وبينما يجتمع فريق المهام المعني بالتنسيق بين القطاعات كل شهرين، تجتمع الأفرقة </w:t>
      </w:r>
      <w:proofErr w:type="spellStart"/>
      <w:r w:rsidR="00CF16BC" w:rsidRPr="00704D95">
        <w:rPr>
          <w:spacing w:val="-1"/>
          <w:rtl/>
        </w:rPr>
        <w:t>المواضيعية</w:t>
      </w:r>
      <w:proofErr w:type="spellEnd"/>
      <w:r w:rsidR="00CF16BC" w:rsidRPr="00704D95">
        <w:rPr>
          <w:spacing w:val="-1"/>
          <w:rtl/>
        </w:rPr>
        <w:t xml:space="preserve"> شهرياً. وستتضمن التقارير المقبلة مؤشرات تبين أثر التدابير.</w:t>
      </w:r>
    </w:p>
    <w:p w14:paraId="59207EF8" w14:textId="68E6CFBA" w:rsidR="00CF16BC" w:rsidRPr="00CF16BC" w:rsidRDefault="004E0A34" w:rsidP="00CF16BC">
      <w:r>
        <w:t>5.4</w:t>
      </w:r>
      <w:r w:rsidR="00CF16BC" w:rsidRPr="00CF16BC">
        <w:rPr>
          <w:rtl/>
        </w:rPr>
        <w:tab/>
        <w:t>قال رئيس فريق التنسيق بين القطاعات إن الفريق يجتمع عادة</w:t>
      </w:r>
      <w:r w:rsidR="00B93898">
        <w:rPr>
          <w:rFonts w:hint="cs"/>
          <w:rtl/>
        </w:rPr>
        <w:t>ً</w:t>
      </w:r>
      <w:r w:rsidR="00CF16BC" w:rsidRPr="00CF16BC">
        <w:rPr>
          <w:rtl/>
        </w:rPr>
        <w:t xml:space="preserve"> ثلاث مرات في السنة، بالتزامن حيثما أمكن مع اجتماع الفريق الاستشاري للقطاع لتيسير مشاركة أعضائه. ويقدم فريق المهام المعني بالتنسيق بين القطاعات تقاريره إلى كل اجتماع من اجتماعات فريق التنسيق بين القطاعات. وقد أدخلت تحسينات على الموقع الإلكتروني للفريق لضمان سهولة النفاذ إلى المعلومات والنواتج.</w:t>
      </w:r>
    </w:p>
    <w:p w14:paraId="4EB3C2F7" w14:textId="7A70CC63" w:rsidR="00CF16BC" w:rsidRPr="00CF16BC" w:rsidRDefault="004E0A34" w:rsidP="00704D95">
      <w:r>
        <w:lastRenderedPageBreak/>
        <w:t>6.4</w:t>
      </w:r>
      <w:r w:rsidR="00CF16BC" w:rsidRPr="00CF16BC">
        <w:rPr>
          <w:rtl/>
        </w:rPr>
        <w:tab/>
        <w:t xml:space="preserve">قال نائب مدير مكتب تقييس الاتصالات إن قطاعي تقييس الاتصالات والاتصالات الراديوية متسقان تماماً بشأن الترتيبات الرامية إلى تجنب التداخل في العمل. فعلى سبيل المثال، عندما تقع مساهمة ما خارج ولاية أكثر من فريق، تقوم لجان الدراسات المعنية بإبلاغ الأفرقة الاستشارية مباشرة بدلاً من الاعتماد على بيانات الاتصال، ثم تبلّغ العضو بذلك. كما يجري التواصل بين الفريق الاستشاري للاتصالات الراديوية </w:t>
      </w:r>
      <w:r w:rsidR="00CF16BC" w:rsidRPr="00CF16BC">
        <w:t>(RAG</w:t>
      </w:r>
      <w:r w:rsidR="00DF70DD">
        <w:t>)</w:t>
      </w:r>
      <w:r w:rsidR="00CF16BC" w:rsidRPr="00CF16BC">
        <w:rPr>
          <w:rtl/>
        </w:rPr>
        <w:t xml:space="preserve"> والفريق الاستشاري لتقييس الاتصالات (</w:t>
      </w:r>
      <w:r w:rsidR="00CF16BC" w:rsidRPr="00CF16BC">
        <w:t>TSAG</w:t>
      </w:r>
      <w:r w:rsidR="00CF16BC" w:rsidRPr="00CF16BC">
        <w:rPr>
          <w:rtl/>
        </w:rPr>
        <w:t xml:space="preserve">) عبر قنوات بسيطة مباشرة. واتفق الفريق الاستشاري للاتصالات الراديوية والفريق الاستشاري لتقييس الاتصالات على أن المسائل المتعلقة بالمدارات الساتلية وموارد الطيف تندرج ضمن اختصاص لجان دراسات قطاع الاتصالات الراديوية، في حين تتولى لجنة الدراسات 3 لقطاع تقييس الاتصالات التعامل مع المسائل الاقتصادية </w:t>
      </w:r>
      <w:proofErr w:type="spellStart"/>
      <w:r w:rsidR="00CF16BC" w:rsidRPr="00CF16BC">
        <w:rPr>
          <w:rtl/>
        </w:rPr>
        <w:t>والسياساتية</w:t>
      </w:r>
      <w:proofErr w:type="spellEnd"/>
      <w:r w:rsidR="00CF16BC" w:rsidRPr="00CF16BC">
        <w:rPr>
          <w:rtl/>
        </w:rPr>
        <w:t xml:space="preserve"> المتعلقة باستخدام </w:t>
      </w:r>
      <w:proofErr w:type="spellStart"/>
      <w:r w:rsidR="00CF16BC" w:rsidRPr="00CF16BC">
        <w:rPr>
          <w:rtl/>
        </w:rPr>
        <w:t>السواتل</w:t>
      </w:r>
      <w:proofErr w:type="spellEnd"/>
      <w:r w:rsidR="00CF16BC" w:rsidRPr="00CF16BC">
        <w:rPr>
          <w:rtl/>
        </w:rPr>
        <w:t>.</w:t>
      </w:r>
    </w:p>
    <w:p w14:paraId="614B5386" w14:textId="339607FE" w:rsidR="00CF16BC" w:rsidRPr="00CF16BC" w:rsidRDefault="004E0A34" w:rsidP="00CF16BC">
      <w:r>
        <w:t>7.4</w:t>
      </w:r>
      <w:r w:rsidR="00CF16BC" w:rsidRPr="00CF16BC">
        <w:rPr>
          <w:rtl/>
        </w:rPr>
        <w:tab/>
        <w:t xml:space="preserve">قال مدير مكتب الاتصالات الراديوية </w:t>
      </w:r>
      <w:r w:rsidR="00CF16BC" w:rsidRPr="00CF16BC">
        <w:t>(BR</w:t>
      </w:r>
      <w:r w:rsidR="00DF70DD">
        <w:t>)</w:t>
      </w:r>
      <w:r w:rsidR="00CF16BC" w:rsidRPr="00CF16BC">
        <w:rPr>
          <w:rtl/>
        </w:rPr>
        <w:t xml:space="preserve"> إن من المهم أيضاً أن تكفل الدول الأعضاء التنسيق بين ممثليها الذين يشاركون في العمل الشامل الذي تضطلع به لجان الدراسات التابعة للقطاعات المختلفة.</w:t>
      </w:r>
    </w:p>
    <w:p w14:paraId="21D014B2" w14:textId="0E9DEEF6" w:rsidR="00CF16BC" w:rsidRPr="00CF16BC" w:rsidRDefault="004E0A34" w:rsidP="00DF70DD">
      <w:r>
        <w:t>8.4</w:t>
      </w:r>
      <w:r w:rsidR="00CF16BC" w:rsidRPr="00CF16BC">
        <w:rPr>
          <w:rtl/>
        </w:rPr>
        <w:tab/>
      </w:r>
      <w:r w:rsidR="006E113C">
        <w:rPr>
          <w:b/>
          <w:bCs/>
          <w:rtl/>
        </w:rPr>
        <w:t>وأخذ</w:t>
      </w:r>
      <w:r w:rsidR="00CF16BC" w:rsidRPr="00CF16BC">
        <w:rPr>
          <w:rtl/>
        </w:rPr>
        <w:t xml:space="preserve"> المجلس </w:t>
      </w:r>
      <w:r w:rsidR="00CF16BC" w:rsidRPr="00CF16BC">
        <w:rPr>
          <w:b/>
          <w:bCs/>
          <w:rtl/>
        </w:rPr>
        <w:t xml:space="preserve">علماً </w:t>
      </w:r>
      <w:r w:rsidR="00CF16BC" w:rsidRPr="00CF16BC">
        <w:rPr>
          <w:rtl/>
        </w:rPr>
        <w:t xml:space="preserve">بالتقرير الوارد في الوثيقة </w:t>
      </w:r>
      <w:r w:rsidR="00DF70DD" w:rsidRPr="00DF70DD">
        <w:rPr>
          <w:lang w:val="en-GB"/>
        </w:rPr>
        <w:t>C25/27</w:t>
      </w:r>
      <w:r w:rsidR="00CF16BC" w:rsidRPr="00CF16BC">
        <w:rPr>
          <w:rtl/>
        </w:rPr>
        <w:t>.</w:t>
      </w:r>
    </w:p>
    <w:p w14:paraId="46B6C269" w14:textId="5F8B2EFE" w:rsidR="00CF16BC" w:rsidRPr="00CF16BC" w:rsidRDefault="00D02EDF" w:rsidP="00026272">
      <w:pPr>
        <w:pStyle w:val="Heading1"/>
      </w:pPr>
      <w:r>
        <w:t>5</w:t>
      </w:r>
      <w:r w:rsidR="00CF16BC" w:rsidRPr="00CF16BC">
        <w:rPr>
          <w:rtl/>
        </w:rPr>
        <w:tab/>
        <w:t xml:space="preserve">تقرير رئيسة فريق العمل التابع للمجلس والمعني باستعمال اللغات الرسمية الست للاتحاد (الوثيقتان </w:t>
      </w:r>
      <w:hyperlink r:id="rId39" w:history="1">
        <w:r w:rsidR="00CF16BC" w:rsidRPr="00753F98">
          <w:rPr>
            <w:rStyle w:val="Hyperlink"/>
            <w:rFonts w:ascii="Dubai" w:eastAsiaTheme="majorEastAsia" w:hAnsi="Dubai" w:cs="Dubai"/>
            <w:noProof w:val="0"/>
            <w:sz w:val="26"/>
            <w:u w:val="single"/>
            <w:rtl/>
            <w:lang w:val="en-US" w:eastAsia="zh-CN"/>
          </w:rPr>
          <w:t>C25/12</w:t>
        </w:r>
      </w:hyperlink>
      <w:r w:rsidR="00CF16BC" w:rsidRPr="00753F98">
        <w:rPr>
          <w:color w:val="5B9BD5" w:themeColor="accent1"/>
          <w:rtl/>
        </w:rPr>
        <w:t xml:space="preserve"> </w:t>
      </w:r>
      <w:r w:rsidR="00CF16BC" w:rsidRPr="00753F98">
        <w:rPr>
          <w:rtl/>
        </w:rPr>
        <w:t>و</w:t>
      </w:r>
      <w:hyperlink r:id="rId40" w:history="1">
        <w:r w:rsidR="00CF16BC" w:rsidRPr="00753F98">
          <w:rPr>
            <w:rStyle w:val="Hyperlink"/>
            <w:rFonts w:ascii="Dubai" w:eastAsiaTheme="majorEastAsia" w:hAnsi="Dubai" w:cs="Dubai"/>
            <w:noProof w:val="0"/>
            <w:sz w:val="26"/>
            <w:u w:val="single"/>
            <w:rtl/>
            <w:lang w:val="en-US" w:eastAsia="zh-CN"/>
          </w:rPr>
          <w:t>C25/78</w:t>
        </w:r>
      </w:hyperlink>
      <w:r w:rsidR="00F379B9">
        <w:rPr>
          <w:rFonts w:hint="cs"/>
          <w:rtl/>
        </w:rPr>
        <w:t>)</w:t>
      </w:r>
      <w:hyperlink r:id="rId41" w:history="1"/>
      <w:hyperlink r:id="rId42" w:history="1"/>
    </w:p>
    <w:p w14:paraId="6C4D1680" w14:textId="0F13C1AE" w:rsidR="00CF16BC" w:rsidRPr="00CF16BC" w:rsidRDefault="004E0A34" w:rsidP="00704D95">
      <w:r>
        <w:t>1.5</w:t>
      </w:r>
      <w:r w:rsidR="00CF16BC" w:rsidRPr="00CF16BC">
        <w:rPr>
          <w:rtl/>
        </w:rPr>
        <w:tab/>
        <w:t>قدمت نائبة رئيسة فريق العمل التابع للمجلس والمعني باستعمال اللغات الرسمية الست للاتحاد</w:t>
      </w:r>
      <w:r w:rsidR="0001436C">
        <w:rPr>
          <w:rFonts w:hint="cs"/>
          <w:rtl/>
        </w:rPr>
        <w:t> </w:t>
      </w:r>
      <w:r w:rsidR="00CF16BC" w:rsidRPr="00CF16BC">
        <w:t>(CWG</w:t>
      </w:r>
      <w:r w:rsidR="0001436C">
        <w:noBreakHyphen/>
      </w:r>
      <w:r w:rsidR="00CF16BC" w:rsidRPr="00CF16BC">
        <w:t>LANG</w:t>
      </w:r>
      <w:r w:rsidR="0001436C">
        <w:t>)</w:t>
      </w:r>
      <w:r w:rsidR="00CF16BC" w:rsidRPr="00CF16BC">
        <w:rPr>
          <w:rtl/>
        </w:rPr>
        <w:t xml:space="preserve"> الوثيقة C25/12، التي تلخص نتائج الاجتماع السادس عشر للفريق الذي قام بتحليل ميزانيات وأحجام الترجمة التحريرية والترجمة الشفوية للغات الرسمية الست في الفترة من 2019 إلى 2024. وأشارت إلى أن اللغات الرسمية الست قد عوملت على قدم المساواة وسلطت الضوء على مكاسب الكفاءة الناجمة عن</w:t>
      </w:r>
      <w:r w:rsidR="00B6194F">
        <w:rPr>
          <w:rFonts w:hint="cs"/>
          <w:rtl/>
        </w:rPr>
        <w:t> </w:t>
      </w:r>
      <w:r w:rsidR="00CF16BC" w:rsidRPr="00CF16BC">
        <w:rPr>
          <w:rtl/>
        </w:rPr>
        <w:t>استخدام</w:t>
      </w:r>
      <w:r w:rsidR="00B6194F">
        <w:rPr>
          <w:rFonts w:hint="cs"/>
          <w:rtl/>
        </w:rPr>
        <w:t> </w:t>
      </w:r>
      <w:r w:rsidR="00CF16BC" w:rsidRPr="00CF16BC">
        <w:rPr>
          <w:rtl/>
        </w:rPr>
        <w:t xml:space="preserve">التكنولوجيات الجديدة. وتتضمن الوثيقة </w:t>
      </w:r>
      <w:hyperlink r:id="rId43" w:history="1">
        <w:r w:rsidR="00CF16BC" w:rsidRPr="00753F98">
          <w:rPr>
            <w:rStyle w:val="Hyperlink"/>
            <w:rFonts w:ascii="Dubai" w:eastAsiaTheme="minorEastAsia" w:hAnsi="Dubai" w:cs="Dubai"/>
            <w:noProof w:val="0"/>
            <w:sz w:val="22"/>
            <w:u w:val="single"/>
            <w:rtl/>
            <w:lang w:val="en-US" w:eastAsia="zh-CN"/>
          </w:rPr>
          <w:t>CWG-LANG-16/3</w:t>
        </w:r>
      </w:hyperlink>
      <w:r w:rsidR="00CF16BC" w:rsidRPr="00CF16BC">
        <w:rPr>
          <w:rtl/>
        </w:rPr>
        <w:t xml:space="preserve"> معلومات عن أداة الترجمة الآلية الداخلية</w:t>
      </w:r>
      <w:r w:rsidR="00C957FA">
        <w:rPr>
          <w:rFonts w:hint="cs"/>
          <w:rtl/>
        </w:rPr>
        <w:t> </w:t>
      </w:r>
      <w:r w:rsidR="00CF16BC" w:rsidRPr="00CF16BC">
        <w:rPr>
          <w:rtl/>
        </w:rPr>
        <w:t>"</w:t>
      </w:r>
      <w:r w:rsidR="00B6194F" w:rsidRPr="00B6194F">
        <w:rPr>
          <w:lang w:val="en-GB"/>
        </w:rPr>
        <w:t>ITU Translate</w:t>
      </w:r>
      <w:r w:rsidR="00CF16BC" w:rsidRPr="00CF16BC">
        <w:rPr>
          <w:rtl/>
        </w:rPr>
        <w:t xml:space="preserve">". وقد أثبتت الترجمة الشفوية المدعومة بقدرة الذكاء الاصطناعي التي تمت تجربتها أثناء الاجتماع أنها مُرضية وستجري تجربتها في اجتماعات أخرى للاتحاد. وتقدم الوثيقة </w:t>
      </w:r>
      <w:hyperlink r:id="rId44" w:history="1">
        <w:r w:rsidR="00CF16BC" w:rsidRPr="00753F98">
          <w:rPr>
            <w:rStyle w:val="Hyperlink"/>
            <w:rFonts w:ascii="Dubai" w:eastAsiaTheme="minorEastAsia" w:hAnsi="Dubai" w:cs="Dubai"/>
            <w:noProof w:val="0"/>
            <w:sz w:val="22"/>
            <w:u w:val="single"/>
            <w:rtl/>
            <w:lang w:val="en-US" w:eastAsia="zh-CN"/>
          </w:rPr>
          <w:t>C25/INF/7</w:t>
        </w:r>
      </w:hyperlink>
      <w:r w:rsidR="00CF16BC" w:rsidRPr="00753F98">
        <w:rPr>
          <w:color w:val="5B9BD5" w:themeColor="accent1"/>
          <w:rtl/>
        </w:rPr>
        <w:t xml:space="preserve"> </w:t>
      </w:r>
      <w:r w:rsidR="00CF16BC" w:rsidRPr="00CF16BC">
        <w:rPr>
          <w:rtl/>
        </w:rPr>
        <w:t>تقريراً عن التحديات والفرص التي تتيحها الترجمة الشفوية المدعومة بالذكاء الاصطناعي. وفي ضوء هذا التقدم، ستقوم الأمانة والأفرقة الاستشارية للقطاعات باستعراض التدابير والمبادئ المتعلقة بالترجمة الشفوية والترجمة التحريرية في الاتحاد.</w:t>
      </w:r>
      <w:hyperlink r:id="rId45" w:history="1"/>
      <w:hyperlink r:id="rId46" w:history="1"/>
    </w:p>
    <w:p w14:paraId="64651CF7" w14:textId="20446CCA" w:rsidR="00CF16BC" w:rsidRPr="00CF16BC" w:rsidRDefault="004E0A34" w:rsidP="00704D95">
      <w:r>
        <w:t>2.5</w:t>
      </w:r>
      <w:r w:rsidR="00CF16BC" w:rsidRPr="00CF16BC">
        <w:rPr>
          <w:rtl/>
        </w:rPr>
        <w:tab/>
        <w:t>أعرب أعضاء المجلس عن دعمهم للجهود المبذولة لتعزيز الخدمات اللغوية في الاتحاد واستخدام أداة</w:t>
      </w:r>
      <w:r w:rsidR="00185037">
        <w:rPr>
          <w:rFonts w:hint="eastAsia"/>
          <w:rtl/>
        </w:rPr>
        <w:t> </w:t>
      </w:r>
      <w:r w:rsidR="00CF16BC" w:rsidRPr="00CF16BC">
        <w:rPr>
          <w:rtl/>
        </w:rPr>
        <w:t>"</w:t>
      </w:r>
      <w:r w:rsidR="00CF16BC" w:rsidRPr="00CF16BC">
        <w:t>ITU</w:t>
      </w:r>
      <w:r w:rsidR="00B6194F">
        <w:t> </w:t>
      </w:r>
      <w:r w:rsidR="00CF16BC" w:rsidRPr="00CF16BC">
        <w:t>Translate</w:t>
      </w:r>
      <w:r w:rsidR="00CF16BC" w:rsidRPr="00CF16BC">
        <w:rPr>
          <w:rtl/>
        </w:rPr>
        <w:t>" والترجمة الشفوية المدعومة بالذكاء الاصطناعي وغيرها من الأدوات لتعزيز فعالية التكاليف والنفاذ إلى موارد الاتحاد. فالشمولية اللغوية، ولا سيما بالنسبة لأولئك الذين لا تكون لغتهم الأم إحدى اللغات الرسمية الست للاتحاد، أمر ضروري لضمان مشاركة جميع الدول الأعضاء بفعالية في أعمال الاتحاد.</w:t>
      </w:r>
    </w:p>
    <w:p w14:paraId="1615224C" w14:textId="76287192" w:rsidR="00CF16BC" w:rsidRPr="00CF16BC" w:rsidRDefault="004E0A34" w:rsidP="00704D95">
      <w:r>
        <w:t>3.5</w:t>
      </w:r>
      <w:r w:rsidR="00CF16BC" w:rsidRPr="00CF16BC">
        <w:rPr>
          <w:rtl/>
        </w:rPr>
        <w:tab/>
        <w:t>أوصى أحد أعضاء المجلس بتجريب الترجمة التحريرية والترجمة الشفوية المدعومة بالذكاء الاصطناعي في</w:t>
      </w:r>
      <w:r w:rsidR="00B6194F">
        <w:rPr>
          <w:rFonts w:hint="cs"/>
          <w:rtl/>
        </w:rPr>
        <w:t> </w:t>
      </w:r>
      <w:r w:rsidR="00CF16BC" w:rsidRPr="00CF16BC">
        <w:rPr>
          <w:rtl/>
        </w:rPr>
        <w:t>لجان الدراسات والاجتماعات الأخرى لزيادة تقييم الأداء وتعزيز إمكانية النفاذ. وينبغي أيضاً ترجمة المحتوى المختار إلى اللغات غير الرسمية للاتحاد لدعم بناء القدرات المحلية والمشاركة على مستوى المجتمع.</w:t>
      </w:r>
    </w:p>
    <w:p w14:paraId="43D18D09" w14:textId="2899C95D" w:rsidR="00CF16BC" w:rsidRPr="00CF16BC" w:rsidRDefault="004E0A34" w:rsidP="00704D95">
      <w:r>
        <w:t>4.5</w:t>
      </w:r>
      <w:r w:rsidR="00CF16BC" w:rsidRPr="00CF16BC">
        <w:rPr>
          <w:rtl/>
        </w:rPr>
        <w:tab/>
        <w:t xml:space="preserve">رحب أحد المراقبين بمحتوى الوثيقة </w:t>
      </w:r>
      <w:r w:rsidR="00CF16BC" w:rsidRPr="00CF16BC">
        <w:t>C25/12</w:t>
      </w:r>
      <w:r w:rsidR="00CF16BC" w:rsidRPr="00CF16BC">
        <w:rPr>
          <w:rtl/>
        </w:rPr>
        <w:t xml:space="preserve"> وبالخطوات المقبلة المقترحة الواردة في الوثيقة </w:t>
      </w:r>
      <w:r w:rsidR="00CF16BC" w:rsidRPr="00CF16BC">
        <w:t>C25/INF/7</w:t>
      </w:r>
      <w:r w:rsidR="00CF16BC" w:rsidRPr="00CF16BC">
        <w:rPr>
          <w:rtl/>
        </w:rPr>
        <w:t xml:space="preserve">، ودعا إلى تحسين التنسيق بين الموقع الإلكتروني للجنة تنسيق المصطلحات بالاتحاد (ITU CCT) والموقع الإلكتروني للفريق </w:t>
      </w:r>
      <w:r w:rsidR="00CF16BC" w:rsidRPr="00CF16BC">
        <w:t>ISCG</w:t>
      </w:r>
      <w:r w:rsidR="00CF16BC" w:rsidRPr="00CF16BC">
        <w:rPr>
          <w:rtl/>
        </w:rPr>
        <w:t xml:space="preserve">، مشيراً إلى التحديات المواجَهة في تنزيل الوثائق وعدم تكامل أداة </w:t>
      </w:r>
      <w:r w:rsidR="00CF16BC" w:rsidRPr="00CF16BC">
        <w:t>ITU Translate</w:t>
      </w:r>
      <w:r w:rsidR="00CF16BC" w:rsidRPr="00CF16BC">
        <w:rPr>
          <w:rtl/>
        </w:rPr>
        <w:t>.</w:t>
      </w:r>
    </w:p>
    <w:p w14:paraId="591C5A6D" w14:textId="7C725C11" w:rsidR="00CF16BC" w:rsidRPr="00CF16BC" w:rsidRDefault="004E0A34" w:rsidP="00CF16BC">
      <w:r>
        <w:t>5.5</w:t>
      </w:r>
      <w:r w:rsidR="00CF16BC" w:rsidRPr="00CF16BC">
        <w:rPr>
          <w:rtl/>
        </w:rPr>
        <w:tab/>
      </w:r>
      <w:r w:rsidR="006E113C">
        <w:rPr>
          <w:b/>
          <w:bCs/>
          <w:rtl/>
        </w:rPr>
        <w:t>وأخذ</w:t>
      </w:r>
      <w:r w:rsidR="00CF16BC" w:rsidRPr="00CF16BC">
        <w:rPr>
          <w:rtl/>
        </w:rPr>
        <w:t xml:space="preserve"> المجلس </w:t>
      </w:r>
      <w:r w:rsidR="00CF16BC" w:rsidRPr="00CF16BC">
        <w:rPr>
          <w:b/>
          <w:bCs/>
          <w:rtl/>
        </w:rPr>
        <w:t>علماً</w:t>
      </w:r>
      <w:r w:rsidR="00CF16BC" w:rsidRPr="00CF16BC">
        <w:rPr>
          <w:rtl/>
        </w:rPr>
        <w:t xml:space="preserve"> بالتقرير الوارد في الوثيقة </w:t>
      </w:r>
      <w:r w:rsidR="00B6194F" w:rsidRPr="00381AC3">
        <w:t>C25/12</w:t>
      </w:r>
      <w:r w:rsidR="00CF16BC" w:rsidRPr="00CF16BC">
        <w:rPr>
          <w:rtl/>
        </w:rPr>
        <w:t>.</w:t>
      </w:r>
    </w:p>
    <w:p w14:paraId="2FC5DE5E" w14:textId="40BBE04E" w:rsidR="00CF16BC" w:rsidRPr="00CF16BC" w:rsidRDefault="004E0A34" w:rsidP="00704D95">
      <w:r>
        <w:t>6.5</w:t>
      </w:r>
      <w:r w:rsidR="00CF16BC" w:rsidRPr="00CF16BC">
        <w:rPr>
          <w:rtl/>
        </w:rPr>
        <w:tab/>
        <w:t>قدم المراقب عن الاتحاد الروسي الوثيقة C25/</w:t>
      </w:r>
      <w:proofErr w:type="gramStart"/>
      <w:r w:rsidR="00CF16BC" w:rsidRPr="00CF16BC">
        <w:rPr>
          <w:rtl/>
        </w:rPr>
        <w:t>78، التي تقترح مراجعة قرار مجلس الاتحاد 1386 (الصادر في</w:t>
      </w:r>
      <w:r w:rsidR="002309F8" w:rsidRPr="002309F8">
        <w:rPr>
          <w:rFonts w:hint="cs"/>
          <w:rtl/>
        </w:rPr>
        <w:t> </w:t>
      </w:r>
      <w:r w:rsidR="00CF16BC" w:rsidRPr="00CF16BC">
        <w:rPr>
          <w:rtl/>
        </w:rPr>
        <w:t>دورة المجلس لعام</w:t>
      </w:r>
      <w:proofErr w:type="gramEnd"/>
      <w:r w:rsidR="00CF16BC" w:rsidRPr="00CF16BC">
        <w:rPr>
          <w:rtl/>
        </w:rPr>
        <w:t xml:space="preserve"> </w:t>
      </w:r>
      <w:proofErr w:type="gramStart"/>
      <w:r w:rsidR="00CF16BC" w:rsidRPr="00CF16BC">
        <w:rPr>
          <w:rtl/>
        </w:rPr>
        <w:t xml:space="preserve">2017، والمعدل آخر مرة في </w:t>
      </w:r>
      <w:r w:rsidR="00704D95">
        <w:rPr>
          <w:rFonts w:hint="cs"/>
          <w:rtl/>
        </w:rPr>
        <w:t>دورته</w:t>
      </w:r>
      <w:r w:rsidR="00CF16BC" w:rsidRPr="00CF16BC">
        <w:rPr>
          <w:rtl/>
        </w:rPr>
        <w:t xml:space="preserve"> لعام 2024)، بشأن لجنة تنسيق المصطلحات في</w:t>
      </w:r>
      <w:r w:rsidR="002309F8" w:rsidRPr="002309F8">
        <w:rPr>
          <w:rFonts w:hint="cs"/>
          <w:rtl/>
        </w:rPr>
        <w:t> </w:t>
      </w:r>
      <w:r w:rsidR="00CF16BC" w:rsidRPr="00CF16BC">
        <w:rPr>
          <w:rtl/>
        </w:rPr>
        <w:t>الاتحاد، بهدف مواءمته مع قرارات القطاعات ذات الصلة، استناداً إلى القرار 154 (المراج</w:t>
      </w:r>
      <w:r w:rsidR="002309F8" w:rsidRPr="002309F8">
        <w:rPr>
          <w:rFonts w:hint="cs"/>
          <w:rtl/>
        </w:rPr>
        <w:t>َ</w:t>
      </w:r>
      <w:r w:rsidR="00CF16BC" w:rsidRPr="00CF16BC">
        <w:rPr>
          <w:rtl/>
        </w:rPr>
        <w:t xml:space="preserve">ع في بوخارست، 2022) لمؤتمر المندوبين المفوضين، بشأن استعمال اللغات الرسمية الست </w:t>
      </w:r>
      <w:r w:rsidR="00BA568D">
        <w:rPr>
          <w:rFonts w:hint="cs"/>
          <w:rtl/>
          <w:lang w:bidi="ar-EG"/>
        </w:rPr>
        <w:t>في ا</w:t>
      </w:r>
      <w:r w:rsidR="00CF16BC" w:rsidRPr="00CF16BC">
        <w:rPr>
          <w:rtl/>
        </w:rPr>
        <w:t>لاتحاد على قدم المساواة</w:t>
      </w:r>
      <w:proofErr w:type="gramEnd"/>
      <w:r w:rsidR="00CF16BC" w:rsidRPr="00CF16BC">
        <w:rPr>
          <w:rtl/>
        </w:rPr>
        <w:t>. وينبغي تكريس مسؤوليات المقر</w:t>
      </w:r>
      <w:r w:rsidR="00BA568D">
        <w:rPr>
          <w:rFonts w:hint="cs"/>
          <w:rtl/>
        </w:rPr>
        <w:t>ِّ</w:t>
      </w:r>
      <w:r w:rsidR="00CF16BC" w:rsidRPr="00CF16BC">
        <w:rPr>
          <w:rtl/>
        </w:rPr>
        <w:t>رين المعنيين بالمفردات في قرار المجلس 1386 الذي ينبغي أن تقتصر قرارات القطاعات على الإشارة إليه.</w:t>
      </w:r>
    </w:p>
    <w:p w14:paraId="54F07CA9" w14:textId="55F77E3F" w:rsidR="00CF16BC" w:rsidRPr="00CF16BC" w:rsidRDefault="004E0A34" w:rsidP="00CF16BC">
      <w:r>
        <w:t>7.5</w:t>
      </w:r>
      <w:r w:rsidR="00CF16BC" w:rsidRPr="00CF16BC">
        <w:rPr>
          <w:rtl/>
        </w:rPr>
        <w:tab/>
        <w:t xml:space="preserve">وأخذ </w:t>
      </w:r>
      <w:r w:rsidR="00385D86">
        <w:rPr>
          <w:rFonts w:hint="cs"/>
          <w:rtl/>
        </w:rPr>
        <w:t xml:space="preserve">أحد أعضاء </w:t>
      </w:r>
      <w:r w:rsidR="00CF16BC" w:rsidRPr="00CF16BC">
        <w:rPr>
          <w:rtl/>
        </w:rPr>
        <w:t>المجلس الكلمة لتأييد المقترح.</w:t>
      </w:r>
    </w:p>
    <w:p w14:paraId="28EB484C" w14:textId="04ED063B" w:rsidR="00CF16BC" w:rsidRPr="00CF16BC" w:rsidRDefault="004E0A34" w:rsidP="00704D95">
      <w:proofErr w:type="gramStart"/>
      <w:r>
        <w:t>8.5</w:t>
      </w:r>
      <w:r w:rsidR="00CF16BC" w:rsidRPr="00CF16BC">
        <w:rPr>
          <w:rtl/>
        </w:rPr>
        <w:tab/>
        <w:t>ودعت الرئيسة المجلس إلى الموافقة على مشروع مراجعة القرار 1386 (الصادر في دورة المجلس لعام</w:t>
      </w:r>
      <w:proofErr w:type="gramEnd"/>
      <w:r w:rsidR="00CF16BC" w:rsidRPr="00CF16BC">
        <w:rPr>
          <w:rtl/>
        </w:rPr>
        <w:t xml:space="preserve"> </w:t>
      </w:r>
      <w:proofErr w:type="gramStart"/>
      <w:r w:rsidR="00CF16BC" w:rsidRPr="00CF16BC">
        <w:rPr>
          <w:rtl/>
        </w:rPr>
        <w:t xml:space="preserve">2017، والمعدل آخر مرة في </w:t>
      </w:r>
      <w:r w:rsidR="00BA568D">
        <w:rPr>
          <w:rFonts w:hint="cs"/>
          <w:rtl/>
        </w:rPr>
        <w:t>دورته</w:t>
      </w:r>
      <w:r w:rsidR="00CF16BC" w:rsidRPr="00CF16BC">
        <w:rPr>
          <w:rtl/>
        </w:rPr>
        <w:t xml:space="preserve"> لعام </w:t>
      </w:r>
      <w:r w:rsidR="00093F02">
        <w:t>2024</w:t>
      </w:r>
      <w:r w:rsidR="00093F02">
        <w:rPr>
          <w:rFonts w:hint="cs"/>
          <w:rtl/>
        </w:rPr>
        <w:t>)،</w:t>
      </w:r>
      <w:r w:rsidR="00CF16BC" w:rsidRPr="00CF16BC">
        <w:rPr>
          <w:rtl/>
        </w:rPr>
        <w:t xml:space="preserve"> على النحو الوارد في الوثيقة</w:t>
      </w:r>
      <w:proofErr w:type="gramEnd"/>
      <w:r w:rsidR="00CF16BC" w:rsidRPr="00CF16BC">
        <w:rPr>
          <w:rtl/>
        </w:rPr>
        <w:t xml:space="preserve"> C25/78.</w:t>
      </w:r>
    </w:p>
    <w:p w14:paraId="65414A79" w14:textId="171E9E36" w:rsidR="00CF16BC" w:rsidRPr="00CF16BC" w:rsidRDefault="004E0A34" w:rsidP="00CF16BC">
      <w:r>
        <w:lastRenderedPageBreak/>
        <w:t>9.5</w:t>
      </w:r>
      <w:r w:rsidR="00CF16BC" w:rsidRPr="00CF16BC">
        <w:rPr>
          <w:rtl/>
        </w:rPr>
        <w:tab/>
      </w:r>
      <w:r w:rsidR="00CF16BC" w:rsidRPr="00CF16BC">
        <w:rPr>
          <w:b/>
          <w:bCs/>
          <w:rtl/>
        </w:rPr>
        <w:t xml:space="preserve">واتُّفق </w:t>
      </w:r>
      <w:r w:rsidR="00CF16BC" w:rsidRPr="00CF16BC">
        <w:rPr>
          <w:rtl/>
        </w:rPr>
        <w:t>على ذلك.</w:t>
      </w:r>
    </w:p>
    <w:p w14:paraId="14D2ED02" w14:textId="6857D785" w:rsidR="00CF16BC" w:rsidRPr="00CF16BC" w:rsidRDefault="00D02EDF" w:rsidP="00026272">
      <w:pPr>
        <w:pStyle w:val="Heading1"/>
      </w:pPr>
      <w:r>
        <w:t>6</w:t>
      </w:r>
      <w:r w:rsidR="00CF16BC" w:rsidRPr="00CF16BC">
        <w:rPr>
          <w:rtl/>
        </w:rPr>
        <w:tab/>
        <w:t>دور الاتحاد الدولي للاتصالات في تنفيذ خطة "الفضاء 2030"</w:t>
      </w:r>
      <w:r w:rsidR="00CF16BC" w:rsidRPr="00CF16BC">
        <w:t>:</w:t>
      </w:r>
      <w:r w:rsidR="00CF16BC" w:rsidRPr="00CF16BC">
        <w:rPr>
          <w:rtl/>
        </w:rPr>
        <w:t xml:space="preserve"> الفضاء باعتباره محركاً للتنمية المستدامة، وفي عملية متابعة تنفيذ الخطة واستعراضه (الوثيقة </w:t>
      </w:r>
      <w:hyperlink r:id="rId47" w:history="1">
        <w:r w:rsidR="00CF16BC" w:rsidRPr="00753F98">
          <w:rPr>
            <w:rStyle w:val="Hyperlink"/>
            <w:rFonts w:ascii="Dubai" w:eastAsiaTheme="majorEastAsia" w:hAnsi="Dubai" w:cs="Dubai"/>
            <w:noProof w:val="0"/>
            <w:sz w:val="26"/>
            <w:u w:val="single"/>
            <w:rtl/>
            <w:lang w:val="en-US" w:eastAsia="zh-CN"/>
          </w:rPr>
          <w:t>C25/36</w:t>
        </w:r>
      </w:hyperlink>
      <w:r w:rsidR="00CF16BC" w:rsidRPr="00CF16BC">
        <w:rPr>
          <w:rtl/>
        </w:rPr>
        <w:t>)</w:t>
      </w:r>
      <w:hyperlink r:id="rId48" w:history="1"/>
    </w:p>
    <w:p w14:paraId="7ADB3286" w14:textId="05CDB706" w:rsidR="00CF16BC" w:rsidRPr="00704D95" w:rsidRDefault="004E0A34" w:rsidP="00704D95">
      <w:r w:rsidRPr="00704D95">
        <w:t>1.6</w:t>
      </w:r>
      <w:r w:rsidR="00CF16BC" w:rsidRPr="00704D95">
        <w:rPr>
          <w:rtl/>
        </w:rPr>
        <w:tab/>
        <w:t xml:space="preserve">قدم ممثل مكتب الاتصالات الراديوية الوثيقة C25/36، التي تلخص دور الاتحاد في تنفيذ خطة </w:t>
      </w:r>
      <w:r w:rsidR="007920B6">
        <w:rPr>
          <w:rFonts w:hint="cs"/>
          <w:rtl/>
        </w:rPr>
        <w:t>"</w:t>
      </w:r>
      <w:r w:rsidR="00CF16BC" w:rsidRPr="00704D95">
        <w:rPr>
          <w:rtl/>
        </w:rPr>
        <w:t>الفضاء 2030</w:t>
      </w:r>
      <w:r w:rsidR="007920B6">
        <w:rPr>
          <w:rFonts w:hint="cs"/>
          <w:rtl/>
        </w:rPr>
        <w:t>"</w:t>
      </w:r>
      <w:r w:rsidR="00CF16BC" w:rsidRPr="00704D95">
        <w:rPr>
          <w:rtl/>
        </w:rPr>
        <w:t>. ود</w:t>
      </w:r>
      <w:r w:rsidR="00185037" w:rsidRPr="00704D95">
        <w:rPr>
          <w:rFonts w:hint="cs"/>
          <w:rtl/>
        </w:rPr>
        <w:t>ُ</w:t>
      </w:r>
      <w:r w:rsidR="00CF16BC" w:rsidRPr="00704D95">
        <w:rPr>
          <w:rtl/>
        </w:rPr>
        <w:t xml:space="preserve">عي أعضاء المجلس إلى الرجوع إلى الوثيقة </w:t>
      </w:r>
      <w:hyperlink r:id="rId49" w:history="1">
        <w:r w:rsidR="00CF16BC" w:rsidRPr="00753F98">
          <w:rPr>
            <w:rStyle w:val="Hyperlink"/>
            <w:rFonts w:ascii="Dubai" w:eastAsiaTheme="minorEastAsia" w:hAnsi="Dubai" w:cs="Dubai"/>
            <w:noProof w:val="0"/>
            <w:sz w:val="22"/>
            <w:u w:val="single"/>
            <w:rtl/>
            <w:lang w:val="en-US" w:eastAsia="zh-CN"/>
          </w:rPr>
          <w:t>C25/INF/3</w:t>
        </w:r>
      </w:hyperlink>
      <w:r w:rsidR="00CF16BC" w:rsidRPr="00704D95">
        <w:rPr>
          <w:rtl/>
        </w:rPr>
        <w:t xml:space="preserve"> بشأن الإبلاغ الكامل المطلوب بموجب القرار 218 (بوخارست، 2022) لمؤتمر المندوبين المفوضين بشأن: حالة الخطط التي تحكمها </w:t>
      </w:r>
      <w:proofErr w:type="spellStart"/>
      <w:r w:rsidR="00CF16BC" w:rsidRPr="00704D95">
        <w:rPr>
          <w:rtl/>
        </w:rPr>
        <w:t>التذييلات</w:t>
      </w:r>
      <w:proofErr w:type="spellEnd"/>
      <w:r w:rsidR="00CF16BC" w:rsidRPr="00704D95">
        <w:rPr>
          <w:rtl/>
        </w:rPr>
        <w:t xml:space="preserve"> 30 و30A و30B من لوائح الراديو؛ ودور الاتحاد في</w:t>
      </w:r>
      <w:r w:rsidR="002F7BF5" w:rsidRPr="00704D95">
        <w:rPr>
          <w:rFonts w:hint="cs"/>
          <w:rtl/>
        </w:rPr>
        <w:t> </w:t>
      </w:r>
      <w:r w:rsidR="00CF16BC" w:rsidRPr="00704D95">
        <w:rPr>
          <w:rtl/>
        </w:rPr>
        <w:t>تنفيذ خطة "الفضاء ‏‎2030‎‏"‏ وجلسات اجتماع الأمم المتحدة المشترك بين الوكالات بشأن أنشطة الفضاء الخارجي</w:t>
      </w:r>
      <w:r w:rsidR="002F7BF5" w:rsidRPr="00704D95">
        <w:rPr>
          <w:rFonts w:hint="cs"/>
          <w:rtl/>
        </w:rPr>
        <w:t> </w:t>
      </w:r>
      <w:r w:rsidR="00CF16BC" w:rsidRPr="00704D95">
        <w:rPr>
          <w:rtl/>
        </w:rPr>
        <w:t>(</w:t>
      </w:r>
      <w:r w:rsidR="00CF16BC" w:rsidRPr="00704D95">
        <w:t>UN</w:t>
      </w:r>
      <w:r w:rsidR="002F7BF5" w:rsidRPr="00704D95">
        <w:noBreakHyphen/>
      </w:r>
      <w:r w:rsidR="00CF16BC" w:rsidRPr="00704D95">
        <w:t>Space</w:t>
      </w:r>
      <w:r w:rsidR="00CF16BC" w:rsidRPr="00704D95">
        <w:rPr>
          <w:rtl/>
        </w:rPr>
        <w:t>)؛ والتدابير التي يجري تنفيذها لتعزيز أوجه التآزر وتفادي الازدواجية فيما يتعلق باستخدام تكنولوجيا</w:t>
      </w:r>
      <w:r w:rsidR="002F7BF5" w:rsidRPr="00704D95">
        <w:rPr>
          <w:rFonts w:hint="cs"/>
          <w:rtl/>
        </w:rPr>
        <w:t> </w:t>
      </w:r>
      <w:r w:rsidR="00CF16BC" w:rsidRPr="00704D95">
        <w:rPr>
          <w:rtl/>
        </w:rPr>
        <w:t>الفضاء.</w:t>
      </w:r>
      <w:hyperlink r:id="rId50" w:history="1"/>
    </w:p>
    <w:p w14:paraId="462E45DA" w14:textId="47C5F3AD" w:rsidR="00CF16BC" w:rsidRPr="00CF16BC" w:rsidRDefault="004E0A34" w:rsidP="00CF16BC">
      <w:r>
        <w:t>2.6</w:t>
      </w:r>
      <w:r w:rsidR="00CF16BC" w:rsidRPr="00CF16BC">
        <w:rPr>
          <w:rtl/>
        </w:rPr>
        <w:tab/>
        <w:t>رحب أعضاء المجلس بالتقرير وأشادوا بنهج "الاتحاد الواحد" التعاوني المستخدم في المبادرات المؤثرة مثل منتدى استدامة الفضاء، وسلسلة "</w:t>
      </w:r>
      <w:r w:rsidR="00CF16BC" w:rsidRPr="00CF16BC">
        <w:t>Space Connect</w:t>
      </w:r>
      <w:r w:rsidR="00CF16BC" w:rsidRPr="00CF16BC">
        <w:rPr>
          <w:rtl/>
        </w:rPr>
        <w:t xml:space="preserve"> "، وبوابة استدامة الفضاء، وبناء القدرات المشترك مع مكتب الأمم المتحدة لشؤون الفضاء الخارجي. وساهمت هذه الجهود بشكل مباشر في تحقيق أهداف التنمية المستدامة من خلال تعزيز النفاذ الشامل إلى الموارد الفضائية، وتعزيز بناء القدرات، وتعزيز الاستخدام المسؤول والمنصف لتكنولوجيا الفضاء، لا سيما في البلدان النامية، حيث تؤدي الخدمات الفضائية دوراً متزايداً في الاستجابة للكوارث ورصد المناخ والتوصيلية وسد الفجوة الرقمية.</w:t>
      </w:r>
    </w:p>
    <w:p w14:paraId="783A89BE" w14:textId="68F0FF48" w:rsidR="00CF16BC" w:rsidRPr="00CF16BC" w:rsidRDefault="004E0A34" w:rsidP="00CF16BC">
      <w:r>
        <w:t>3.6</w:t>
      </w:r>
      <w:r w:rsidR="00CF16BC" w:rsidRPr="00CF16BC">
        <w:rPr>
          <w:rtl/>
        </w:rPr>
        <w:tab/>
        <w:t xml:space="preserve">أيد أعضاء المجلس مبادرات الاتحاد في إطار خطة </w:t>
      </w:r>
      <w:r w:rsidR="007920B6">
        <w:rPr>
          <w:rFonts w:hint="cs"/>
          <w:rtl/>
        </w:rPr>
        <w:t>"</w:t>
      </w:r>
      <w:r w:rsidR="00CF16BC" w:rsidRPr="00CF16BC">
        <w:rPr>
          <w:rtl/>
        </w:rPr>
        <w:t>الفضاء 2030</w:t>
      </w:r>
      <w:r w:rsidR="007920B6">
        <w:rPr>
          <w:rFonts w:hint="cs"/>
          <w:rtl/>
        </w:rPr>
        <w:t>"</w:t>
      </w:r>
      <w:r w:rsidR="00CF16BC" w:rsidRPr="00CF16BC">
        <w:rPr>
          <w:rtl/>
        </w:rPr>
        <w:t>. وشجعوا على مواصلة تعزيز الشراكات لتحسين المساعدة التقنية وزيادة مشاركة البلدان ذات القدرات الفضائية المحدودة، وطلبوا معلومات عن التعاون والتنسيق مع هيئات الأمم المتحدة الأخرى والإجراءات المتخذة لتعزيز التكامل وتجنب الازدواجية.</w:t>
      </w:r>
    </w:p>
    <w:p w14:paraId="78C33E26" w14:textId="60C123B4" w:rsidR="00CF16BC" w:rsidRPr="00704D95" w:rsidRDefault="004E0A34" w:rsidP="00CF16BC">
      <w:r w:rsidRPr="00DD4054">
        <w:t>4.6</w:t>
      </w:r>
      <w:r w:rsidR="00CF16BC" w:rsidRPr="00DD4054">
        <w:rPr>
          <w:rtl/>
        </w:rPr>
        <w:tab/>
      </w:r>
      <w:r w:rsidR="00CF16BC" w:rsidRPr="00704D95">
        <w:rPr>
          <w:rtl/>
        </w:rPr>
        <w:t>قال أحد المراقبين إن مناقشة الأنشطة المنفذة بموجب القرارين 218 (بوخارست، 2022) و219</w:t>
      </w:r>
      <w:r w:rsidR="00CE29C1" w:rsidRPr="00704D95">
        <w:rPr>
          <w:rFonts w:hint="eastAsia"/>
          <w:rtl/>
        </w:rPr>
        <w:t> </w:t>
      </w:r>
      <w:r w:rsidR="00CF16BC" w:rsidRPr="00704D95">
        <w:rPr>
          <w:rtl/>
        </w:rPr>
        <w:t>(بوخارست،</w:t>
      </w:r>
      <w:r w:rsidR="00DD4054">
        <w:rPr>
          <w:rFonts w:hint="cs"/>
          <w:rtl/>
        </w:rPr>
        <w:t> </w:t>
      </w:r>
      <w:r w:rsidR="00CF16BC" w:rsidRPr="00704D95">
        <w:rPr>
          <w:rtl/>
        </w:rPr>
        <w:t>2022) لمؤتمر المندوبين المفوضين ينبغي أن تركز حصرياً على مجالات عمل الاتحاد، وأشار إلى أن الأنشطة الموصوفة في</w:t>
      </w:r>
      <w:r w:rsidR="00B80FF6" w:rsidRPr="00704D95">
        <w:rPr>
          <w:rFonts w:hint="eastAsia"/>
          <w:rtl/>
        </w:rPr>
        <w:t> </w:t>
      </w:r>
      <w:r w:rsidR="00CF16BC" w:rsidRPr="00704D95">
        <w:rPr>
          <w:rtl/>
        </w:rPr>
        <w:t>التقرير ترتبط ارتباطاً وثيقاً بالقرار 219 (بوخارست، 2022) منها بالقرار</w:t>
      </w:r>
      <w:r w:rsidR="00531FD5" w:rsidRPr="00704D95">
        <w:rPr>
          <w:rFonts w:hint="eastAsia"/>
          <w:rtl/>
        </w:rPr>
        <w:t> </w:t>
      </w:r>
      <w:r w:rsidR="00CF16BC" w:rsidRPr="00704D95">
        <w:rPr>
          <w:rtl/>
        </w:rPr>
        <w:t>218</w:t>
      </w:r>
      <w:r w:rsidR="00531FD5" w:rsidRPr="00704D95">
        <w:rPr>
          <w:rFonts w:hint="eastAsia"/>
          <w:rtl/>
        </w:rPr>
        <w:t> </w:t>
      </w:r>
      <w:r w:rsidR="00CF16BC" w:rsidRPr="00704D95">
        <w:rPr>
          <w:rtl/>
        </w:rPr>
        <w:t>(بوخارست،</w:t>
      </w:r>
      <w:r w:rsidR="00531FD5" w:rsidRPr="00704D95">
        <w:rPr>
          <w:rFonts w:hint="eastAsia"/>
          <w:rtl/>
        </w:rPr>
        <w:t> </w:t>
      </w:r>
      <w:r w:rsidR="00CF16BC" w:rsidRPr="00704D95">
        <w:rPr>
          <w:rtl/>
        </w:rPr>
        <w:t xml:space="preserve">2022) وخطة </w:t>
      </w:r>
      <w:r w:rsidR="007920B6">
        <w:rPr>
          <w:rFonts w:hint="cs"/>
          <w:rtl/>
        </w:rPr>
        <w:t>"</w:t>
      </w:r>
      <w:r w:rsidR="00CF16BC" w:rsidRPr="00704D95">
        <w:rPr>
          <w:rtl/>
        </w:rPr>
        <w:t>الفضاء 2030</w:t>
      </w:r>
      <w:r w:rsidR="007920B6">
        <w:rPr>
          <w:rFonts w:hint="cs"/>
          <w:rtl/>
        </w:rPr>
        <w:t>"</w:t>
      </w:r>
      <w:r w:rsidR="00CF16BC" w:rsidRPr="00704D95">
        <w:rPr>
          <w:rtl/>
        </w:rPr>
        <w:t>. وينبغي توخي الحذر لتجنب ازدواجية العمل والنفقات غير الضرورية. وذكّر بأن القرار</w:t>
      </w:r>
      <w:r w:rsidR="007920B6">
        <w:rPr>
          <w:rFonts w:hint="cs"/>
          <w:rtl/>
        </w:rPr>
        <w:t> </w:t>
      </w:r>
      <w:r w:rsidR="00CF16BC" w:rsidRPr="00704D95">
        <w:rPr>
          <w:rtl/>
        </w:rPr>
        <w:t>219</w:t>
      </w:r>
      <w:r w:rsidR="007920B6">
        <w:rPr>
          <w:rFonts w:hint="cs"/>
          <w:rtl/>
        </w:rPr>
        <w:t> </w:t>
      </w:r>
      <w:r w:rsidR="00CF16BC" w:rsidRPr="00704D95">
        <w:rPr>
          <w:rtl/>
        </w:rPr>
        <w:t xml:space="preserve">(بوخارست، 2022) يدعو، على وجه السرعة، إلى إجراء دراسات بشأن مسألة زيادة استخدام طيف الترددات الراديوية وموارد المدارات المرتبطة به في المدارات غير المستقرة بالنسبة إلى الأرض واستدامة تلك الموارد على المدى الطويل، وأن القرار </w:t>
      </w:r>
      <w:r w:rsidR="007920B6">
        <w:t>ITU</w:t>
      </w:r>
      <w:r w:rsidR="007920B6">
        <w:noBreakHyphen/>
        <w:t>R 74</w:t>
      </w:r>
      <w:r w:rsidR="00CF16BC" w:rsidRPr="00704D95">
        <w:rPr>
          <w:rtl/>
        </w:rPr>
        <w:t xml:space="preserve"> يكرر هذه الدعوة.</w:t>
      </w:r>
    </w:p>
    <w:p w14:paraId="3A9B5E34" w14:textId="07CC2124" w:rsidR="00CF16BC" w:rsidRDefault="004E0A34" w:rsidP="00CF16BC">
      <w:pPr>
        <w:rPr>
          <w:rtl/>
        </w:rPr>
      </w:pPr>
      <w:r>
        <w:t>5.6</w:t>
      </w:r>
      <w:r>
        <w:rPr>
          <w:rtl/>
          <w:lang w:bidi="ar-EG"/>
        </w:rPr>
        <w:tab/>
      </w:r>
      <w:r w:rsidR="006E113C">
        <w:rPr>
          <w:b/>
          <w:bCs/>
          <w:rtl/>
        </w:rPr>
        <w:t>وأخذ</w:t>
      </w:r>
      <w:r w:rsidR="00CF16BC" w:rsidRPr="00CF16BC">
        <w:rPr>
          <w:rtl/>
        </w:rPr>
        <w:t xml:space="preserve"> المجلس </w:t>
      </w:r>
      <w:r w:rsidR="00CF16BC" w:rsidRPr="00CF16BC">
        <w:rPr>
          <w:b/>
          <w:bCs/>
          <w:rtl/>
        </w:rPr>
        <w:t xml:space="preserve">علماً </w:t>
      </w:r>
      <w:r w:rsidR="00CF16BC" w:rsidRPr="00CF16BC">
        <w:rPr>
          <w:rtl/>
        </w:rPr>
        <w:t>بالتقرير الوارد في الوثيقة C25/36.</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721D6" w:rsidRPr="002A0750" w14:paraId="27D95517" w14:textId="77777777" w:rsidTr="002A12CA">
        <w:tc>
          <w:tcPr>
            <w:tcW w:w="4530" w:type="dxa"/>
          </w:tcPr>
          <w:p w14:paraId="666BEC8B" w14:textId="77777777" w:rsidR="007721D6" w:rsidRPr="002A0750" w:rsidRDefault="007721D6" w:rsidP="00704D95">
            <w:pPr>
              <w:tabs>
                <w:tab w:val="clear" w:pos="794"/>
              </w:tabs>
              <w:spacing w:before="600" w:after="0"/>
              <w:rPr>
                <w:rtl/>
              </w:rPr>
            </w:pPr>
            <w:r w:rsidRPr="002A0750">
              <w:rPr>
                <w:rtl/>
              </w:rPr>
              <w:t>الأمينة العامة:</w:t>
            </w:r>
          </w:p>
        </w:tc>
        <w:tc>
          <w:tcPr>
            <w:tcW w:w="4531" w:type="dxa"/>
          </w:tcPr>
          <w:p w14:paraId="555E9079" w14:textId="77777777" w:rsidR="007721D6" w:rsidRPr="002A0750" w:rsidRDefault="007721D6" w:rsidP="00704D95">
            <w:pPr>
              <w:tabs>
                <w:tab w:val="clear" w:pos="794"/>
              </w:tabs>
              <w:spacing w:before="600" w:after="0"/>
              <w:rPr>
                <w:lang w:val="ar-SA" w:bidi="ar-EG"/>
              </w:rPr>
            </w:pPr>
            <w:r w:rsidRPr="002A0750">
              <w:rPr>
                <w:rtl/>
              </w:rPr>
              <w:t>الرئيسة:</w:t>
            </w:r>
          </w:p>
        </w:tc>
      </w:tr>
      <w:tr w:rsidR="007721D6" w:rsidRPr="002A0750" w14:paraId="02BDEFBB" w14:textId="77777777" w:rsidTr="002A12CA">
        <w:tc>
          <w:tcPr>
            <w:tcW w:w="4530" w:type="dxa"/>
          </w:tcPr>
          <w:p w14:paraId="57A212BE" w14:textId="40E26295" w:rsidR="007721D6" w:rsidRPr="002A0750" w:rsidRDefault="007721D6" w:rsidP="002A12CA">
            <w:pPr>
              <w:tabs>
                <w:tab w:val="clear" w:pos="794"/>
              </w:tabs>
              <w:rPr>
                <w:rtl/>
              </w:rPr>
            </w:pPr>
            <w:r w:rsidRPr="002A0750">
              <w:rPr>
                <w:rtl/>
              </w:rPr>
              <w:t>د</w:t>
            </w:r>
            <w:r w:rsidR="00704D95">
              <w:rPr>
                <w:rFonts w:hint="cs"/>
                <w:rtl/>
              </w:rPr>
              <w:t xml:space="preserve">. </w:t>
            </w:r>
            <w:proofErr w:type="spellStart"/>
            <w:r w:rsidRPr="002A0750">
              <w:rPr>
                <w:rtl/>
              </w:rPr>
              <w:t>بوغدان</w:t>
            </w:r>
            <w:proofErr w:type="spellEnd"/>
            <w:r w:rsidRPr="002A0750">
              <w:rPr>
                <w:rtl/>
              </w:rPr>
              <w:t>-مارتن</w:t>
            </w:r>
          </w:p>
        </w:tc>
        <w:tc>
          <w:tcPr>
            <w:tcW w:w="4531" w:type="dxa"/>
          </w:tcPr>
          <w:p w14:paraId="7FB5F67C" w14:textId="77FB77F5" w:rsidR="007721D6" w:rsidRPr="002A0750" w:rsidRDefault="00704D95" w:rsidP="002A12CA">
            <w:pPr>
              <w:tabs>
                <w:tab w:val="clear" w:pos="794"/>
              </w:tabs>
              <w:rPr>
                <w:lang w:val="ar-SA" w:bidi="ar-EG"/>
              </w:rPr>
            </w:pPr>
            <w:r>
              <w:rPr>
                <w:rFonts w:hint="cs"/>
                <w:rtl/>
              </w:rPr>
              <w:t xml:space="preserve">ك. </w:t>
            </w:r>
            <w:proofErr w:type="spellStart"/>
            <w:r w:rsidR="007721D6" w:rsidRPr="002A0750">
              <w:rPr>
                <w:rtl/>
              </w:rPr>
              <w:t>فلوتور</w:t>
            </w:r>
            <w:proofErr w:type="spellEnd"/>
          </w:p>
        </w:tc>
      </w:tr>
    </w:tbl>
    <w:p w14:paraId="25DE6891" w14:textId="45D347E5"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51"/>
      <w:headerReference w:type="first" r:id="rId52"/>
      <w:footerReference w:type="first" r:id="rId53"/>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DB7C" w14:textId="77777777" w:rsidR="002317C4" w:rsidRDefault="002317C4" w:rsidP="006C3242">
      <w:pPr>
        <w:spacing w:before="0" w:line="240" w:lineRule="auto"/>
      </w:pPr>
      <w:r>
        <w:separator/>
      </w:r>
    </w:p>
  </w:endnote>
  <w:endnote w:type="continuationSeparator" w:id="0">
    <w:p w14:paraId="07A12B2C" w14:textId="77777777" w:rsidR="002317C4" w:rsidRDefault="002317C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097"/>
      <w:gridCol w:w="399"/>
    </w:tblGrid>
    <w:tr w:rsidR="00F50E3F" w:rsidRPr="007B0AA0" w14:paraId="6015E0DB" w14:textId="77777777" w:rsidTr="00DB1B13">
      <w:trPr>
        <w:jc w:val="center"/>
      </w:trPr>
      <w:tc>
        <w:tcPr>
          <w:tcW w:w="868" w:type="pct"/>
          <w:vAlign w:val="center"/>
        </w:tcPr>
        <w:p w14:paraId="5E1C9C7A" w14:textId="7803DE74" w:rsidR="00F50E3F" w:rsidRPr="003E5F6B" w:rsidRDefault="003E5F6B" w:rsidP="003E5F6B">
          <w:pPr>
            <w:tabs>
              <w:tab w:val="clear" w:pos="794"/>
            </w:tabs>
            <w:overflowPunct w:val="0"/>
            <w:autoSpaceDE w:val="0"/>
            <w:autoSpaceDN w:val="0"/>
            <w:bidi w:val="0"/>
            <w:adjustRightInd w:val="0"/>
            <w:spacing w:before="0" w:line="240" w:lineRule="auto"/>
            <w:jc w:val="right"/>
            <w:textAlignment w:val="baseline"/>
            <w:rPr>
              <w:rFonts w:ascii="Calibri" w:hAnsi="Calibri" w:cs="Arial"/>
              <w:color w:val="7F7F7F"/>
              <w:sz w:val="18"/>
              <w:lang w:val="en-US"/>
            </w:rPr>
          </w:pPr>
          <w:r w:rsidRPr="003E5F6B">
            <w:rPr>
              <w:rFonts w:ascii="Calibri" w:hAnsi="Calibri" w:cs="Arial"/>
              <w:color w:val="7F7F7F"/>
              <w:sz w:val="18"/>
              <w:lang w:val="en-US"/>
            </w:rPr>
            <w:t>2501755A</w:t>
          </w:r>
        </w:p>
      </w:tc>
      <w:tc>
        <w:tcPr>
          <w:tcW w:w="3912" w:type="pct"/>
        </w:tcPr>
        <w:p w14:paraId="0AABE64A" w14:textId="375C1EDB"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3E5F6B">
            <w:rPr>
              <w:rFonts w:ascii="Calibri" w:hAnsi="Calibri" w:cs="Arial"/>
              <w:bCs/>
              <w:color w:val="7F7F7F"/>
              <w:sz w:val="18"/>
            </w:rPr>
            <w:t>111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FAE62E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2602BC4" w14:textId="77777777" w:rsidR="006C3242" w:rsidRPr="00704D95" w:rsidRDefault="006C3242" w:rsidP="00704D95">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2CB68D20" w14:textId="77777777" w:rsidTr="00A67F05">
      <w:trPr>
        <w:jc w:val="center"/>
      </w:trPr>
      <w:tc>
        <w:tcPr>
          <w:tcW w:w="1013" w:type="pct"/>
          <w:vAlign w:val="center"/>
        </w:tcPr>
        <w:p w14:paraId="5481F652"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18D39BC8" w14:textId="5136A11E"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3E5F6B">
            <w:rPr>
              <w:rFonts w:ascii="Calibri" w:hAnsi="Calibri" w:cs="Arial"/>
              <w:bCs/>
              <w:color w:val="7F7F7F"/>
              <w:sz w:val="18"/>
            </w:rPr>
            <w:t>111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90C0207"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250E282" w14:textId="77777777" w:rsidR="0006468A" w:rsidRPr="00301187" w:rsidRDefault="0006468A" w:rsidP="00301187">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69C7" w14:textId="77777777" w:rsidR="002317C4" w:rsidRDefault="002317C4" w:rsidP="006C3242">
      <w:pPr>
        <w:spacing w:before="0" w:line="240" w:lineRule="auto"/>
      </w:pPr>
      <w:r>
        <w:separator/>
      </w:r>
    </w:p>
  </w:footnote>
  <w:footnote w:type="continuationSeparator" w:id="0">
    <w:p w14:paraId="35714F74" w14:textId="77777777" w:rsidR="002317C4" w:rsidRDefault="002317C4"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7EB9"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1BC76DF" wp14:editId="16293CC7">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C04D2"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470D6A1F" wp14:editId="68ACFA35">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7823419">
    <w:abstractNumId w:val="9"/>
  </w:num>
  <w:num w:numId="2" w16cid:durableId="1257595802">
    <w:abstractNumId w:val="7"/>
  </w:num>
  <w:num w:numId="3" w16cid:durableId="1603108432">
    <w:abstractNumId w:val="6"/>
  </w:num>
  <w:num w:numId="4" w16cid:durableId="1393893195">
    <w:abstractNumId w:val="5"/>
  </w:num>
  <w:num w:numId="5" w16cid:durableId="602691973">
    <w:abstractNumId w:val="4"/>
  </w:num>
  <w:num w:numId="6" w16cid:durableId="1081102758">
    <w:abstractNumId w:val="8"/>
  </w:num>
  <w:num w:numId="7" w16cid:durableId="955210169">
    <w:abstractNumId w:val="3"/>
  </w:num>
  <w:num w:numId="8" w16cid:durableId="1729306912">
    <w:abstractNumId w:val="2"/>
  </w:num>
  <w:num w:numId="9" w16cid:durableId="325213165">
    <w:abstractNumId w:val="1"/>
  </w:num>
  <w:num w:numId="10" w16cid:durableId="1489975813">
    <w:abstractNumId w:val="0"/>
  </w:num>
  <w:num w:numId="11" w16cid:durableId="1346831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84"/>
    <w:rsid w:val="000036F1"/>
    <w:rsid w:val="0001436C"/>
    <w:rsid w:val="0002510E"/>
    <w:rsid w:val="00026272"/>
    <w:rsid w:val="000365E2"/>
    <w:rsid w:val="0006468A"/>
    <w:rsid w:val="00066CAD"/>
    <w:rsid w:val="00083AA3"/>
    <w:rsid w:val="00090574"/>
    <w:rsid w:val="0009110B"/>
    <w:rsid w:val="00093F02"/>
    <w:rsid w:val="000968AF"/>
    <w:rsid w:val="000B3432"/>
    <w:rsid w:val="000C1B62"/>
    <w:rsid w:val="000C1C0E"/>
    <w:rsid w:val="000C548A"/>
    <w:rsid w:val="00114BEF"/>
    <w:rsid w:val="00142DD9"/>
    <w:rsid w:val="00146631"/>
    <w:rsid w:val="00176F87"/>
    <w:rsid w:val="00183A0D"/>
    <w:rsid w:val="00183E76"/>
    <w:rsid w:val="00185037"/>
    <w:rsid w:val="00187671"/>
    <w:rsid w:val="00191059"/>
    <w:rsid w:val="001B6E2B"/>
    <w:rsid w:val="001C0169"/>
    <w:rsid w:val="001C0C21"/>
    <w:rsid w:val="001D1D50"/>
    <w:rsid w:val="001D3000"/>
    <w:rsid w:val="001D64C7"/>
    <w:rsid w:val="001D6745"/>
    <w:rsid w:val="001E446E"/>
    <w:rsid w:val="001F4E01"/>
    <w:rsid w:val="00213059"/>
    <w:rsid w:val="002154EE"/>
    <w:rsid w:val="00225267"/>
    <w:rsid w:val="002276D2"/>
    <w:rsid w:val="002309F8"/>
    <w:rsid w:val="002317C4"/>
    <w:rsid w:val="0023283D"/>
    <w:rsid w:val="002353FD"/>
    <w:rsid w:val="0024445C"/>
    <w:rsid w:val="00250ED5"/>
    <w:rsid w:val="00254393"/>
    <w:rsid w:val="002571E7"/>
    <w:rsid w:val="0026373E"/>
    <w:rsid w:val="00271C43"/>
    <w:rsid w:val="002730D0"/>
    <w:rsid w:val="00281C19"/>
    <w:rsid w:val="00290728"/>
    <w:rsid w:val="002978F4"/>
    <w:rsid w:val="002A6A41"/>
    <w:rsid w:val="002B028D"/>
    <w:rsid w:val="002B307A"/>
    <w:rsid w:val="002B5F1C"/>
    <w:rsid w:val="002C3F32"/>
    <w:rsid w:val="002C70B4"/>
    <w:rsid w:val="002D673A"/>
    <w:rsid w:val="002E6541"/>
    <w:rsid w:val="002E7767"/>
    <w:rsid w:val="002F4A5A"/>
    <w:rsid w:val="002F4A94"/>
    <w:rsid w:val="002F7BF5"/>
    <w:rsid w:val="00301187"/>
    <w:rsid w:val="003312A8"/>
    <w:rsid w:val="00334924"/>
    <w:rsid w:val="003409BC"/>
    <w:rsid w:val="00344FB1"/>
    <w:rsid w:val="00357185"/>
    <w:rsid w:val="003755D7"/>
    <w:rsid w:val="00380CBE"/>
    <w:rsid w:val="00383829"/>
    <w:rsid w:val="00384884"/>
    <w:rsid w:val="00385D86"/>
    <w:rsid w:val="003B2193"/>
    <w:rsid w:val="003B59FA"/>
    <w:rsid w:val="003C1BE4"/>
    <w:rsid w:val="003D62B7"/>
    <w:rsid w:val="003E5F6B"/>
    <w:rsid w:val="003F4B29"/>
    <w:rsid w:val="00413E34"/>
    <w:rsid w:val="00420F8A"/>
    <w:rsid w:val="0042686F"/>
    <w:rsid w:val="004317D8"/>
    <w:rsid w:val="0043260A"/>
    <w:rsid w:val="00434183"/>
    <w:rsid w:val="004423B9"/>
    <w:rsid w:val="00443869"/>
    <w:rsid w:val="00447F32"/>
    <w:rsid w:val="00457483"/>
    <w:rsid w:val="0049075F"/>
    <w:rsid w:val="00491BA9"/>
    <w:rsid w:val="004A0131"/>
    <w:rsid w:val="004A139A"/>
    <w:rsid w:val="004A4701"/>
    <w:rsid w:val="004B4C0B"/>
    <w:rsid w:val="004B7334"/>
    <w:rsid w:val="004E0A34"/>
    <w:rsid w:val="004E11DC"/>
    <w:rsid w:val="004E1BEC"/>
    <w:rsid w:val="004E6092"/>
    <w:rsid w:val="004F4412"/>
    <w:rsid w:val="005130DE"/>
    <w:rsid w:val="00513157"/>
    <w:rsid w:val="00521B11"/>
    <w:rsid w:val="00525DDD"/>
    <w:rsid w:val="00531FD5"/>
    <w:rsid w:val="005409AC"/>
    <w:rsid w:val="00541F62"/>
    <w:rsid w:val="005434E0"/>
    <w:rsid w:val="005546CF"/>
    <w:rsid w:val="0055516A"/>
    <w:rsid w:val="00555D9C"/>
    <w:rsid w:val="00581EBF"/>
    <w:rsid w:val="0058491B"/>
    <w:rsid w:val="00592EA5"/>
    <w:rsid w:val="005A3170"/>
    <w:rsid w:val="005B4D93"/>
    <w:rsid w:val="005D26C5"/>
    <w:rsid w:val="005F014B"/>
    <w:rsid w:val="00626F19"/>
    <w:rsid w:val="00630CE8"/>
    <w:rsid w:val="0063610B"/>
    <w:rsid w:val="00660DEA"/>
    <w:rsid w:val="00663285"/>
    <w:rsid w:val="00677396"/>
    <w:rsid w:val="0069200F"/>
    <w:rsid w:val="006A0B6E"/>
    <w:rsid w:val="006A566D"/>
    <w:rsid w:val="006A65CB"/>
    <w:rsid w:val="006B066B"/>
    <w:rsid w:val="006B12E5"/>
    <w:rsid w:val="006C3242"/>
    <w:rsid w:val="006C5605"/>
    <w:rsid w:val="006C7CC0"/>
    <w:rsid w:val="006D49AF"/>
    <w:rsid w:val="006D78FC"/>
    <w:rsid w:val="006E113C"/>
    <w:rsid w:val="006E4A90"/>
    <w:rsid w:val="006E66E5"/>
    <w:rsid w:val="006F363C"/>
    <w:rsid w:val="006F63F7"/>
    <w:rsid w:val="007025C7"/>
    <w:rsid w:val="007048A9"/>
    <w:rsid w:val="00704D95"/>
    <w:rsid w:val="00706D7A"/>
    <w:rsid w:val="00722F0D"/>
    <w:rsid w:val="007307DA"/>
    <w:rsid w:val="00742CE6"/>
    <w:rsid w:val="0074420E"/>
    <w:rsid w:val="00753F98"/>
    <w:rsid w:val="007648A6"/>
    <w:rsid w:val="0077110E"/>
    <w:rsid w:val="007721D6"/>
    <w:rsid w:val="0077222F"/>
    <w:rsid w:val="00783779"/>
    <w:rsid w:val="00783E26"/>
    <w:rsid w:val="007920B6"/>
    <w:rsid w:val="007A6684"/>
    <w:rsid w:val="007B0AA0"/>
    <w:rsid w:val="007B47AC"/>
    <w:rsid w:val="007C263C"/>
    <w:rsid w:val="007C3BC7"/>
    <w:rsid w:val="007C3BCD"/>
    <w:rsid w:val="007C7CDA"/>
    <w:rsid w:val="007D4ACF"/>
    <w:rsid w:val="007E025C"/>
    <w:rsid w:val="007F0787"/>
    <w:rsid w:val="007F44F5"/>
    <w:rsid w:val="008003AB"/>
    <w:rsid w:val="00810B7B"/>
    <w:rsid w:val="008225D3"/>
    <w:rsid w:val="0082358A"/>
    <w:rsid w:val="008235CD"/>
    <w:rsid w:val="008247DE"/>
    <w:rsid w:val="008339C0"/>
    <w:rsid w:val="00840B10"/>
    <w:rsid w:val="008467A1"/>
    <w:rsid w:val="008513CB"/>
    <w:rsid w:val="008557EC"/>
    <w:rsid w:val="008664E2"/>
    <w:rsid w:val="00871C53"/>
    <w:rsid w:val="00874E9F"/>
    <w:rsid w:val="008A7F84"/>
    <w:rsid w:val="008D1429"/>
    <w:rsid w:val="008F65A9"/>
    <w:rsid w:val="0091702E"/>
    <w:rsid w:val="00923B0C"/>
    <w:rsid w:val="00924A86"/>
    <w:rsid w:val="00924F46"/>
    <w:rsid w:val="009279DE"/>
    <w:rsid w:val="009332C9"/>
    <w:rsid w:val="00935824"/>
    <w:rsid w:val="00935AAC"/>
    <w:rsid w:val="0094021C"/>
    <w:rsid w:val="00952F86"/>
    <w:rsid w:val="00955044"/>
    <w:rsid w:val="00956AC1"/>
    <w:rsid w:val="00960A58"/>
    <w:rsid w:val="00970212"/>
    <w:rsid w:val="0098230E"/>
    <w:rsid w:val="00982B28"/>
    <w:rsid w:val="009835DC"/>
    <w:rsid w:val="00987455"/>
    <w:rsid w:val="00997636"/>
    <w:rsid w:val="009A6DD2"/>
    <w:rsid w:val="009B34EA"/>
    <w:rsid w:val="009D313F"/>
    <w:rsid w:val="009E76E7"/>
    <w:rsid w:val="009F0D59"/>
    <w:rsid w:val="00A04120"/>
    <w:rsid w:val="00A47A5A"/>
    <w:rsid w:val="00A47EC7"/>
    <w:rsid w:val="00A63AE6"/>
    <w:rsid w:val="00A6683B"/>
    <w:rsid w:val="00A67F05"/>
    <w:rsid w:val="00A74922"/>
    <w:rsid w:val="00A77B3D"/>
    <w:rsid w:val="00A97F94"/>
    <w:rsid w:val="00AA7EA2"/>
    <w:rsid w:val="00AC0861"/>
    <w:rsid w:val="00AC7BD5"/>
    <w:rsid w:val="00AE6415"/>
    <w:rsid w:val="00AF33EC"/>
    <w:rsid w:val="00B03099"/>
    <w:rsid w:val="00B05BC8"/>
    <w:rsid w:val="00B16D4A"/>
    <w:rsid w:val="00B30F5E"/>
    <w:rsid w:val="00B361AA"/>
    <w:rsid w:val="00B42863"/>
    <w:rsid w:val="00B6194F"/>
    <w:rsid w:val="00B64B47"/>
    <w:rsid w:val="00B80FF6"/>
    <w:rsid w:val="00B83DC9"/>
    <w:rsid w:val="00B84904"/>
    <w:rsid w:val="00B93898"/>
    <w:rsid w:val="00B95654"/>
    <w:rsid w:val="00B97F32"/>
    <w:rsid w:val="00BA04B2"/>
    <w:rsid w:val="00BA568D"/>
    <w:rsid w:val="00BB4708"/>
    <w:rsid w:val="00BB583B"/>
    <w:rsid w:val="00BC5F9B"/>
    <w:rsid w:val="00C002DE"/>
    <w:rsid w:val="00C0602B"/>
    <w:rsid w:val="00C06A77"/>
    <w:rsid w:val="00C224DA"/>
    <w:rsid w:val="00C2562B"/>
    <w:rsid w:val="00C51FD2"/>
    <w:rsid w:val="00C53BF8"/>
    <w:rsid w:val="00C66157"/>
    <w:rsid w:val="00C674FE"/>
    <w:rsid w:val="00C67501"/>
    <w:rsid w:val="00C7293E"/>
    <w:rsid w:val="00C75633"/>
    <w:rsid w:val="00C957FA"/>
    <w:rsid w:val="00CE29C1"/>
    <w:rsid w:val="00CE2EE1"/>
    <w:rsid w:val="00CE3349"/>
    <w:rsid w:val="00CE36E5"/>
    <w:rsid w:val="00CE4360"/>
    <w:rsid w:val="00CF16BC"/>
    <w:rsid w:val="00CF27F5"/>
    <w:rsid w:val="00CF3FFD"/>
    <w:rsid w:val="00D006A7"/>
    <w:rsid w:val="00D02EDF"/>
    <w:rsid w:val="00D10003"/>
    <w:rsid w:val="00D10CCF"/>
    <w:rsid w:val="00D13941"/>
    <w:rsid w:val="00D23F5F"/>
    <w:rsid w:val="00D34058"/>
    <w:rsid w:val="00D43F7D"/>
    <w:rsid w:val="00D633BD"/>
    <w:rsid w:val="00D63735"/>
    <w:rsid w:val="00D63898"/>
    <w:rsid w:val="00D6432D"/>
    <w:rsid w:val="00D77D0F"/>
    <w:rsid w:val="00D9186B"/>
    <w:rsid w:val="00D9369B"/>
    <w:rsid w:val="00DA1CF0"/>
    <w:rsid w:val="00DB1B13"/>
    <w:rsid w:val="00DB6709"/>
    <w:rsid w:val="00DC1E02"/>
    <w:rsid w:val="00DC24B4"/>
    <w:rsid w:val="00DC5FB0"/>
    <w:rsid w:val="00DD4054"/>
    <w:rsid w:val="00DF16DC"/>
    <w:rsid w:val="00DF70DD"/>
    <w:rsid w:val="00E27050"/>
    <w:rsid w:val="00E302D8"/>
    <w:rsid w:val="00E33EBD"/>
    <w:rsid w:val="00E45211"/>
    <w:rsid w:val="00E473C5"/>
    <w:rsid w:val="00E53B7D"/>
    <w:rsid w:val="00E61BE8"/>
    <w:rsid w:val="00E81DED"/>
    <w:rsid w:val="00E83FF1"/>
    <w:rsid w:val="00E92023"/>
    <w:rsid w:val="00E92863"/>
    <w:rsid w:val="00E95347"/>
    <w:rsid w:val="00E979B2"/>
    <w:rsid w:val="00EB6DE0"/>
    <w:rsid w:val="00EB796D"/>
    <w:rsid w:val="00EF5A23"/>
    <w:rsid w:val="00F02819"/>
    <w:rsid w:val="00F058DC"/>
    <w:rsid w:val="00F14233"/>
    <w:rsid w:val="00F24FC4"/>
    <w:rsid w:val="00F2676C"/>
    <w:rsid w:val="00F363FE"/>
    <w:rsid w:val="00F379B9"/>
    <w:rsid w:val="00F40B4E"/>
    <w:rsid w:val="00F50E3F"/>
    <w:rsid w:val="00F579A2"/>
    <w:rsid w:val="00F71623"/>
    <w:rsid w:val="00F71CA0"/>
    <w:rsid w:val="00F8051A"/>
    <w:rsid w:val="00F84366"/>
    <w:rsid w:val="00F85089"/>
    <w:rsid w:val="00F9095E"/>
    <w:rsid w:val="00F974C5"/>
    <w:rsid w:val="00FA08AF"/>
    <w:rsid w:val="00FA3763"/>
    <w:rsid w:val="00FA6F46"/>
    <w:rsid w:val="00FB2778"/>
    <w:rsid w:val="00FC0E94"/>
    <w:rsid w:val="00FC4592"/>
    <w:rsid w:val="00FD1C8A"/>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928E58"/>
  <w15:chartTrackingRefBased/>
  <w15:docId w15:val="{8FD608F8-3C92-4EEA-B7EF-D32954F7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1D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6D49AF"/>
    <w:rPr>
      <w:rFonts w:ascii="Calibri" w:eastAsia="Calibri" w:hAnsi="Calibri" w:cs="Arial"/>
      <w:noProof/>
      <w:color w:val="0563C1"/>
      <w:sz w:val="18"/>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paragraph" w:customStyle="1" w:styleId="Questionref">
    <w:name w:val="Question_ref"/>
    <w:basedOn w:val="Normal"/>
    <w:next w:val="Normal"/>
    <w:rsid w:val="00935824"/>
    <w:pPr>
      <w:tabs>
        <w:tab w:val="clear" w:pos="794"/>
        <w:tab w:val="left" w:pos="567"/>
        <w:tab w:val="left" w:pos="1134"/>
        <w:tab w:val="left" w:pos="1701"/>
        <w:tab w:val="left" w:pos="2268"/>
        <w:tab w:val="left" w:pos="2835"/>
      </w:tabs>
      <w:overflowPunct w:val="0"/>
      <w:autoSpaceDE w:val="0"/>
      <w:autoSpaceDN w:val="0"/>
      <w:bidi w:val="0"/>
      <w:adjustRightInd w:val="0"/>
      <w:spacing w:line="240" w:lineRule="auto"/>
      <w:jc w:val="center"/>
      <w:textAlignment w:val="baseline"/>
    </w:pPr>
    <w:rPr>
      <w:rFonts w:ascii="Times New Roman" w:eastAsia="Times New Roman" w:hAnsi="Times New Roman" w:cs="Times New Roman"/>
      <w:sz w:val="24"/>
      <w:szCs w:val="20"/>
      <w:lang w:val="en-GB" w:eastAsia="en-US"/>
    </w:rPr>
  </w:style>
  <w:style w:type="character" w:styleId="FollowedHyperlink">
    <w:name w:val="FollowedHyperlink"/>
    <w:basedOn w:val="DefaultParagraphFont"/>
    <w:uiPriority w:val="99"/>
    <w:semiHidden/>
    <w:unhideWhenUsed/>
    <w:rsid w:val="00935824"/>
    <w:rPr>
      <w:color w:val="954F72" w:themeColor="followedHyperlink"/>
      <w:u w:val="single"/>
    </w:rPr>
  </w:style>
  <w:style w:type="paragraph" w:customStyle="1" w:styleId="5">
    <w:name w:val="5"/>
    <w:basedOn w:val="Heading1"/>
    <w:rsid w:val="00C7293E"/>
  </w:style>
  <w:style w:type="paragraph" w:styleId="Revision">
    <w:name w:val="Revision"/>
    <w:hidden/>
    <w:uiPriority w:val="99"/>
    <w:semiHidden/>
    <w:rsid w:val="007721D6"/>
    <w:pPr>
      <w:spacing w:after="0" w:line="240" w:lineRule="auto"/>
    </w:pPr>
    <w:rPr>
      <w:rFonts w:ascii="Dubai" w:hAnsi="Dubai" w:cs="Dubai"/>
    </w:rPr>
  </w:style>
  <w:style w:type="character" w:styleId="CommentReference">
    <w:name w:val="annotation reference"/>
    <w:basedOn w:val="DefaultParagraphFont"/>
    <w:uiPriority w:val="99"/>
    <w:semiHidden/>
    <w:unhideWhenUsed/>
    <w:rsid w:val="00F71CA0"/>
    <w:rPr>
      <w:sz w:val="16"/>
      <w:szCs w:val="16"/>
    </w:rPr>
  </w:style>
  <w:style w:type="paragraph" w:styleId="CommentText">
    <w:name w:val="annotation text"/>
    <w:basedOn w:val="Normal"/>
    <w:link w:val="CommentTextChar"/>
    <w:uiPriority w:val="99"/>
    <w:semiHidden/>
    <w:unhideWhenUsed/>
    <w:rsid w:val="00F71CA0"/>
    <w:pPr>
      <w:spacing w:line="240" w:lineRule="auto"/>
    </w:pPr>
    <w:rPr>
      <w:sz w:val="20"/>
      <w:szCs w:val="20"/>
    </w:rPr>
  </w:style>
  <w:style w:type="character" w:customStyle="1" w:styleId="CommentTextChar">
    <w:name w:val="Comment Text Char"/>
    <w:basedOn w:val="DefaultParagraphFont"/>
    <w:link w:val="CommentText"/>
    <w:uiPriority w:val="99"/>
    <w:semiHidden/>
    <w:rsid w:val="00F71CA0"/>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F71CA0"/>
    <w:rPr>
      <w:b/>
      <w:bCs/>
    </w:rPr>
  </w:style>
  <w:style w:type="character" w:customStyle="1" w:styleId="CommentSubjectChar">
    <w:name w:val="Comment Subject Char"/>
    <w:basedOn w:val="CommentTextChar"/>
    <w:link w:val="CommentSubject"/>
    <w:uiPriority w:val="99"/>
    <w:semiHidden/>
    <w:rsid w:val="00F71CA0"/>
    <w:rPr>
      <w:rFonts w:ascii="Dubai" w:hAnsi="Dubai" w:cs="Duba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8806">
      <w:bodyDiv w:val="1"/>
      <w:marLeft w:val="0"/>
      <w:marRight w:val="0"/>
      <w:marTop w:val="0"/>
      <w:marBottom w:val="0"/>
      <w:divBdr>
        <w:top w:val="none" w:sz="0" w:space="0" w:color="auto"/>
        <w:left w:val="none" w:sz="0" w:space="0" w:color="auto"/>
        <w:bottom w:val="none" w:sz="0" w:space="0" w:color="auto"/>
        <w:right w:val="none" w:sz="0" w:space="0" w:color="auto"/>
      </w:divBdr>
      <w:divsChild>
        <w:div w:id="1871913250">
          <w:marLeft w:val="0"/>
          <w:marRight w:val="0"/>
          <w:marTop w:val="0"/>
          <w:marBottom w:val="0"/>
          <w:divBdr>
            <w:top w:val="none" w:sz="0" w:space="0" w:color="auto"/>
            <w:left w:val="none" w:sz="0" w:space="0" w:color="auto"/>
            <w:bottom w:val="none" w:sz="0" w:space="0" w:color="auto"/>
            <w:right w:val="none" w:sz="0" w:space="0" w:color="auto"/>
          </w:divBdr>
          <w:divsChild>
            <w:div w:id="1536305935">
              <w:marLeft w:val="0"/>
              <w:marRight w:val="0"/>
              <w:marTop w:val="0"/>
              <w:marBottom w:val="0"/>
              <w:divBdr>
                <w:top w:val="none" w:sz="0" w:space="0" w:color="auto"/>
                <w:left w:val="none" w:sz="0" w:space="0" w:color="auto"/>
                <w:bottom w:val="none" w:sz="0" w:space="0" w:color="auto"/>
                <w:right w:val="none" w:sz="0" w:space="0" w:color="auto"/>
              </w:divBdr>
              <w:divsChild>
                <w:div w:id="273291595">
                  <w:marLeft w:val="0"/>
                  <w:marRight w:val="0"/>
                  <w:marTop w:val="0"/>
                  <w:marBottom w:val="0"/>
                  <w:divBdr>
                    <w:top w:val="none" w:sz="0" w:space="0" w:color="auto"/>
                    <w:left w:val="none" w:sz="0" w:space="0" w:color="auto"/>
                    <w:bottom w:val="none" w:sz="0" w:space="0" w:color="auto"/>
                    <w:right w:val="none" w:sz="0" w:space="0" w:color="auto"/>
                  </w:divBdr>
                  <w:divsChild>
                    <w:div w:id="508302177">
                      <w:marLeft w:val="0"/>
                      <w:marRight w:val="0"/>
                      <w:marTop w:val="0"/>
                      <w:marBottom w:val="0"/>
                      <w:divBdr>
                        <w:top w:val="none" w:sz="0" w:space="0" w:color="auto"/>
                        <w:left w:val="none" w:sz="0" w:space="0" w:color="auto"/>
                        <w:bottom w:val="none" w:sz="0" w:space="0" w:color="auto"/>
                        <w:right w:val="none" w:sz="0" w:space="0" w:color="auto"/>
                      </w:divBdr>
                      <w:divsChild>
                        <w:div w:id="5565539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1486580691">
      <w:bodyDiv w:val="1"/>
      <w:marLeft w:val="0"/>
      <w:marRight w:val="0"/>
      <w:marTop w:val="0"/>
      <w:marBottom w:val="0"/>
      <w:divBdr>
        <w:top w:val="none" w:sz="0" w:space="0" w:color="auto"/>
        <w:left w:val="none" w:sz="0" w:space="0" w:color="auto"/>
        <w:bottom w:val="none" w:sz="0" w:space="0" w:color="auto"/>
        <w:right w:val="none" w:sz="0" w:space="0" w:color="auto"/>
      </w:divBdr>
      <w:divsChild>
        <w:div w:id="240605191">
          <w:marLeft w:val="0"/>
          <w:marRight w:val="0"/>
          <w:marTop w:val="0"/>
          <w:marBottom w:val="0"/>
          <w:divBdr>
            <w:top w:val="none" w:sz="0" w:space="0" w:color="auto"/>
            <w:left w:val="none" w:sz="0" w:space="0" w:color="auto"/>
            <w:bottom w:val="none" w:sz="0" w:space="0" w:color="auto"/>
            <w:right w:val="none" w:sz="0" w:space="0" w:color="auto"/>
          </w:divBdr>
          <w:divsChild>
            <w:div w:id="946543955">
              <w:marLeft w:val="0"/>
              <w:marRight w:val="0"/>
              <w:marTop w:val="0"/>
              <w:marBottom w:val="0"/>
              <w:divBdr>
                <w:top w:val="none" w:sz="0" w:space="0" w:color="auto"/>
                <w:left w:val="none" w:sz="0" w:space="0" w:color="auto"/>
                <w:bottom w:val="none" w:sz="0" w:space="0" w:color="auto"/>
                <w:right w:val="none" w:sz="0" w:space="0" w:color="auto"/>
              </w:divBdr>
              <w:divsChild>
                <w:div w:id="1922368427">
                  <w:marLeft w:val="0"/>
                  <w:marRight w:val="0"/>
                  <w:marTop w:val="0"/>
                  <w:marBottom w:val="0"/>
                  <w:divBdr>
                    <w:top w:val="none" w:sz="0" w:space="0" w:color="auto"/>
                    <w:left w:val="none" w:sz="0" w:space="0" w:color="auto"/>
                    <w:bottom w:val="none" w:sz="0" w:space="0" w:color="auto"/>
                    <w:right w:val="none" w:sz="0" w:space="0" w:color="auto"/>
                  </w:divBdr>
                  <w:divsChild>
                    <w:div w:id="1599870050">
                      <w:marLeft w:val="0"/>
                      <w:marRight w:val="0"/>
                      <w:marTop w:val="0"/>
                      <w:marBottom w:val="0"/>
                      <w:divBdr>
                        <w:top w:val="none" w:sz="0" w:space="0" w:color="auto"/>
                        <w:left w:val="none" w:sz="0" w:space="0" w:color="auto"/>
                        <w:bottom w:val="none" w:sz="0" w:space="0" w:color="auto"/>
                        <w:right w:val="none" w:sz="0" w:space="0" w:color="auto"/>
                      </w:divBdr>
                      <w:divsChild>
                        <w:div w:id="1223954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342590">
      <w:bodyDiv w:val="1"/>
      <w:marLeft w:val="0"/>
      <w:marRight w:val="0"/>
      <w:marTop w:val="0"/>
      <w:marBottom w:val="0"/>
      <w:divBdr>
        <w:top w:val="none" w:sz="0" w:space="0" w:color="auto"/>
        <w:left w:val="none" w:sz="0" w:space="0" w:color="auto"/>
        <w:bottom w:val="none" w:sz="0" w:space="0" w:color="auto"/>
        <w:right w:val="none" w:sz="0" w:space="0" w:color="auto"/>
      </w:divBdr>
      <w:divsChild>
        <w:div w:id="1934167940">
          <w:marLeft w:val="0"/>
          <w:marRight w:val="0"/>
          <w:marTop w:val="0"/>
          <w:marBottom w:val="0"/>
          <w:divBdr>
            <w:top w:val="none" w:sz="0" w:space="0" w:color="auto"/>
            <w:left w:val="none" w:sz="0" w:space="0" w:color="auto"/>
            <w:bottom w:val="none" w:sz="0" w:space="0" w:color="auto"/>
            <w:right w:val="none" w:sz="0" w:space="0" w:color="auto"/>
          </w:divBdr>
          <w:divsChild>
            <w:div w:id="558634292">
              <w:marLeft w:val="0"/>
              <w:marRight w:val="0"/>
              <w:marTop w:val="0"/>
              <w:marBottom w:val="0"/>
              <w:divBdr>
                <w:top w:val="none" w:sz="0" w:space="0" w:color="auto"/>
                <w:left w:val="none" w:sz="0" w:space="0" w:color="auto"/>
                <w:bottom w:val="none" w:sz="0" w:space="0" w:color="auto"/>
                <w:right w:val="none" w:sz="0" w:space="0" w:color="auto"/>
              </w:divBdr>
              <w:divsChild>
                <w:div w:id="307175610">
                  <w:marLeft w:val="0"/>
                  <w:marRight w:val="0"/>
                  <w:marTop w:val="0"/>
                  <w:marBottom w:val="0"/>
                  <w:divBdr>
                    <w:top w:val="none" w:sz="0" w:space="0" w:color="auto"/>
                    <w:left w:val="none" w:sz="0" w:space="0" w:color="auto"/>
                    <w:bottom w:val="none" w:sz="0" w:space="0" w:color="auto"/>
                    <w:right w:val="none" w:sz="0" w:space="0" w:color="auto"/>
                  </w:divBdr>
                  <w:divsChild>
                    <w:div w:id="1019813774">
                      <w:marLeft w:val="0"/>
                      <w:marRight w:val="0"/>
                      <w:marTop w:val="0"/>
                      <w:marBottom w:val="0"/>
                      <w:divBdr>
                        <w:top w:val="none" w:sz="0" w:space="0" w:color="auto"/>
                        <w:left w:val="none" w:sz="0" w:space="0" w:color="auto"/>
                        <w:bottom w:val="none" w:sz="0" w:space="0" w:color="auto"/>
                        <w:right w:val="none" w:sz="0" w:space="0" w:color="auto"/>
                      </w:divBdr>
                      <w:divsChild>
                        <w:div w:id="2062439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990905">
      <w:bodyDiv w:val="1"/>
      <w:marLeft w:val="0"/>
      <w:marRight w:val="0"/>
      <w:marTop w:val="0"/>
      <w:marBottom w:val="0"/>
      <w:divBdr>
        <w:top w:val="none" w:sz="0" w:space="0" w:color="auto"/>
        <w:left w:val="none" w:sz="0" w:space="0" w:color="auto"/>
        <w:bottom w:val="none" w:sz="0" w:space="0" w:color="auto"/>
        <w:right w:val="none" w:sz="0" w:space="0" w:color="auto"/>
      </w:divBdr>
      <w:divsChild>
        <w:div w:id="662314769">
          <w:marLeft w:val="0"/>
          <w:marRight w:val="0"/>
          <w:marTop w:val="0"/>
          <w:marBottom w:val="0"/>
          <w:divBdr>
            <w:top w:val="none" w:sz="0" w:space="0" w:color="auto"/>
            <w:left w:val="none" w:sz="0" w:space="0" w:color="auto"/>
            <w:bottom w:val="none" w:sz="0" w:space="0" w:color="auto"/>
            <w:right w:val="none" w:sz="0" w:space="0" w:color="auto"/>
          </w:divBdr>
          <w:divsChild>
            <w:div w:id="1339580100">
              <w:marLeft w:val="0"/>
              <w:marRight w:val="0"/>
              <w:marTop w:val="0"/>
              <w:marBottom w:val="0"/>
              <w:divBdr>
                <w:top w:val="none" w:sz="0" w:space="0" w:color="auto"/>
                <w:left w:val="none" w:sz="0" w:space="0" w:color="auto"/>
                <w:bottom w:val="none" w:sz="0" w:space="0" w:color="auto"/>
                <w:right w:val="none" w:sz="0" w:space="0" w:color="auto"/>
              </w:divBdr>
              <w:divsChild>
                <w:div w:id="1987973423">
                  <w:marLeft w:val="0"/>
                  <w:marRight w:val="0"/>
                  <w:marTop w:val="0"/>
                  <w:marBottom w:val="0"/>
                  <w:divBdr>
                    <w:top w:val="none" w:sz="0" w:space="0" w:color="auto"/>
                    <w:left w:val="none" w:sz="0" w:space="0" w:color="auto"/>
                    <w:bottom w:val="none" w:sz="0" w:space="0" w:color="auto"/>
                    <w:right w:val="none" w:sz="0" w:space="0" w:color="auto"/>
                  </w:divBdr>
                  <w:divsChild>
                    <w:div w:id="1653483302">
                      <w:marLeft w:val="0"/>
                      <w:marRight w:val="0"/>
                      <w:marTop w:val="0"/>
                      <w:marBottom w:val="0"/>
                      <w:divBdr>
                        <w:top w:val="none" w:sz="0" w:space="0" w:color="auto"/>
                        <w:left w:val="none" w:sz="0" w:space="0" w:color="auto"/>
                        <w:bottom w:val="none" w:sz="0" w:space="0" w:color="auto"/>
                        <w:right w:val="none" w:sz="0" w:space="0" w:color="auto"/>
                      </w:divBdr>
                      <w:divsChild>
                        <w:div w:id="12193231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100/en" TargetMode="External"/><Relationship Id="rId18" Type="http://schemas.openxmlformats.org/officeDocument/2006/relationships/hyperlink" Target="https://www.itu.int/md/S25-CL-C-0036/en" TargetMode="External"/><Relationship Id="rId26" Type="http://schemas.openxmlformats.org/officeDocument/2006/relationships/hyperlink" Target="https://www.itu.int/md/S25-CL-C-0043/en" TargetMode="External"/><Relationship Id="rId39" Type="http://schemas.openxmlformats.org/officeDocument/2006/relationships/hyperlink" Target="https://www.itu.int/md/S25-CL-C-0012/en" TargetMode="External"/><Relationship Id="rId21" Type="http://schemas.openxmlformats.org/officeDocument/2006/relationships/hyperlink" Target="https://www.itu.int/md/S25-CL-C-0056/en" TargetMode="External"/><Relationship Id="rId34" Type="http://schemas.openxmlformats.org/officeDocument/2006/relationships/hyperlink" Target="https://www.itu.int/md/S25-CL-C-0089/en" TargetMode="External"/><Relationship Id="rId42" Type="http://schemas.openxmlformats.org/officeDocument/2006/relationships/hyperlink" Target="https://www.itu.int/md/S25-CL-C-0078/en" TargetMode="External"/><Relationship Id="rId47" Type="http://schemas.openxmlformats.org/officeDocument/2006/relationships/hyperlink" Target="https://www.itu.int/md/S25-CL-C-0036/en" TargetMode="External"/><Relationship Id="rId50" Type="http://schemas.openxmlformats.org/officeDocument/2006/relationships/hyperlink" Target="https://www.itu.int/md/S25-CL-INF-0003/en"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5-CL-C-0012/en" TargetMode="External"/><Relationship Id="rId29" Type="http://schemas.openxmlformats.org/officeDocument/2006/relationships/hyperlink" Target="https://www.itu.int/md/S25-CL-C-0076/en" TargetMode="External"/><Relationship Id="rId11" Type="http://schemas.openxmlformats.org/officeDocument/2006/relationships/hyperlink" Target="https://www.itu.int/md/S25-CL-C-0076/en" TargetMode="External"/><Relationship Id="rId24" Type="http://schemas.openxmlformats.org/officeDocument/2006/relationships/hyperlink" Target="https://www.itu.int/md/S25-CL-C-0096/en" TargetMode="External"/><Relationship Id="rId32" Type="http://schemas.openxmlformats.org/officeDocument/2006/relationships/hyperlink" Target="https://www.itu.int/md/S25-CL-C-0017/en" TargetMode="External"/><Relationship Id="rId37" Type="http://schemas.openxmlformats.org/officeDocument/2006/relationships/hyperlink" Target="https://www.itu.int/md/S25-CL-C-0035/en" TargetMode="External"/><Relationship Id="rId40" Type="http://schemas.openxmlformats.org/officeDocument/2006/relationships/hyperlink" Target="https://www.itu.int/md/S25-CL-C-0078/en" TargetMode="External"/><Relationship Id="rId45" Type="http://schemas.openxmlformats.org/officeDocument/2006/relationships/hyperlink" Target="https://www.itu.int/md/S25-RCLCWGLANG16-C-0003/en"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itu.int/md/S25-CL-C-0017/en" TargetMode="External"/><Relationship Id="rId19" Type="http://schemas.openxmlformats.org/officeDocument/2006/relationships/hyperlink" Target="https://www.itu.int/md/S25-CL-C-0015/en" TargetMode="External"/><Relationship Id="rId31" Type="http://schemas.openxmlformats.org/officeDocument/2006/relationships/hyperlink" Target="https://www.itu.int/md/S25-CL-C-0100/en" TargetMode="External"/><Relationship Id="rId44" Type="http://schemas.openxmlformats.org/officeDocument/2006/relationships/hyperlink" Target="https://www.itu.int/md/S25-CL-INF-0007/en"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5-CL-C-0096/en" TargetMode="External"/><Relationship Id="rId14" Type="http://schemas.openxmlformats.org/officeDocument/2006/relationships/hyperlink" Target="https://www.itu.int/md/S25-CL-C-0027/en" TargetMode="External"/><Relationship Id="rId22" Type="http://schemas.openxmlformats.org/officeDocument/2006/relationships/hyperlink" Target="https://www.itu.int/md/S25-CL-C-0096/en" TargetMode="External"/><Relationship Id="rId27" Type="http://schemas.openxmlformats.org/officeDocument/2006/relationships/hyperlink" Target="https://www.itu.int/md/S25-CL-C-0052/en" TargetMode="External"/><Relationship Id="rId30" Type="http://schemas.openxmlformats.org/officeDocument/2006/relationships/hyperlink" Target="https://www.itu.int/md/S25-CL-C-0089/en" TargetMode="External"/><Relationship Id="rId35" Type="http://schemas.openxmlformats.org/officeDocument/2006/relationships/hyperlink" Target="https://www.itu.int/md/S25-CL-C-0100/en" TargetMode="External"/><Relationship Id="rId43" Type="http://schemas.openxmlformats.org/officeDocument/2006/relationships/hyperlink" Target="https://www.itu.int/md/S25-RCLCWGLANG16-C-0003/en" TargetMode="External"/><Relationship Id="rId48" Type="http://schemas.openxmlformats.org/officeDocument/2006/relationships/hyperlink" Target="https://www.itu.int/md/S25-CL-C-0036/en" TargetMode="External"/><Relationship Id="rId8" Type="http://schemas.openxmlformats.org/officeDocument/2006/relationships/hyperlink" Target="https://www.itu.int/md/S25-CL-C-0056/en"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tu.int/md/S25-CL-C-0089/en" TargetMode="External"/><Relationship Id="rId17" Type="http://schemas.openxmlformats.org/officeDocument/2006/relationships/hyperlink" Target="https://www.itu.int/md/S25-CL-C-0078/en" TargetMode="External"/><Relationship Id="rId25" Type="http://schemas.openxmlformats.org/officeDocument/2006/relationships/hyperlink" Target="https://www.itu.int/md/S25-CL-C-0043/en" TargetMode="External"/><Relationship Id="rId33" Type="http://schemas.openxmlformats.org/officeDocument/2006/relationships/hyperlink" Target="https://www.itu.int/md/S25-CL-C-0076/en" TargetMode="External"/><Relationship Id="rId38" Type="http://schemas.openxmlformats.org/officeDocument/2006/relationships/hyperlink" Target="https://dr-birgit-woerle.ch/lipedema/?lang=en" TargetMode="External"/><Relationship Id="rId46" Type="http://schemas.openxmlformats.org/officeDocument/2006/relationships/hyperlink" Target="https://www.itu.int/md/S25-CL-INF-0007/en" TargetMode="External"/><Relationship Id="rId20" Type="http://schemas.openxmlformats.org/officeDocument/2006/relationships/hyperlink" Target="https://www.itu.int/md/S25-CL-C-0015/en" TargetMode="External"/><Relationship Id="rId41" Type="http://schemas.openxmlformats.org/officeDocument/2006/relationships/hyperlink" Target="https://www.itu.int/md/S25-CL-C-0012/e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5-CL-C-0027/en" TargetMode="External"/><Relationship Id="rId23" Type="http://schemas.openxmlformats.org/officeDocument/2006/relationships/hyperlink" Target="https://www.itu.int/md/S25-CL-C-0056/en" TargetMode="External"/><Relationship Id="rId28" Type="http://schemas.openxmlformats.org/officeDocument/2006/relationships/hyperlink" Target="https://www.itu.int/md/S25-CL-C-0017/en" TargetMode="External"/><Relationship Id="rId36" Type="http://schemas.openxmlformats.org/officeDocument/2006/relationships/hyperlink" Target="https://www.itu.int/md/S25-CL-C-0027/en" TargetMode="External"/><Relationship Id="rId49" Type="http://schemas.openxmlformats.org/officeDocument/2006/relationships/hyperlink" Target="https://www.itu.int/md/S25-CL-INF-0003/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7\Templates\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0</TotalTime>
  <Pages>7</Pages>
  <Words>3482</Words>
  <Characters>21823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fifth Plenary meeting of Council-25</dc:title>
  <dc:subject>Council 2024</dc:subject>
  <dc:creator>GBS</dc:creator>
  <cp:keywords>C2025, C25, Council-25</cp:keywords>
  <dc:description/>
  <cp:lastModifiedBy>GBS</cp:lastModifiedBy>
  <cp:revision>2</cp:revision>
  <dcterms:created xsi:type="dcterms:W3CDTF">2025-09-04T12:06:00Z</dcterms:created>
  <dcterms:modified xsi:type="dcterms:W3CDTF">2025-09-04T12:06:00Z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