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Y="1"/>
        <w:tblOverlap w:val="never"/>
        <w:tblW w:w="9214" w:type="dxa"/>
        <w:tblLayout w:type="fixed"/>
        <w:tblLook w:val="0000" w:firstRow="0" w:lastRow="0" w:firstColumn="0" w:lastColumn="0" w:noHBand="0" w:noVBand="0"/>
      </w:tblPr>
      <w:tblGrid>
        <w:gridCol w:w="3969"/>
        <w:gridCol w:w="5245"/>
      </w:tblGrid>
      <w:tr w:rsidR="00796BD3" w:rsidRPr="00C37AC5" w14:paraId="6A79C608" w14:textId="77777777" w:rsidTr="00DA770A">
        <w:trPr>
          <w:cantSplit/>
          <w:trHeight w:val="23"/>
        </w:trPr>
        <w:tc>
          <w:tcPr>
            <w:tcW w:w="3969" w:type="dxa"/>
            <w:vMerge w:val="restart"/>
            <w:tcMar>
              <w:left w:w="0" w:type="dxa"/>
            </w:tcMar>
          </w:tcPr>
          <w:p w14:paraId="6AD7494F" w14:textId="6478A82D" w:rsidR="00796BD3" w:rsidRPr="00C37AC5" w:rsidRDefault="00796BD3" w:rsidP="00DA770A">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p>
        </w:tc>
        <w:tc>
          <w:tcPr>
            <w:tcW w:w="5245" w:type="dxa"/>
          </w:tcPr>
          <w:p w14:paraId="6024450C" w14:textId="4877C2BB" w:rsidR="00796BD3" w:rsidRPr="00C37AC5" w:rsidRDefault="0033025A" w:rsidP="00DA770A">
            <w:pPr>
              <w:tabs>
                <w:tab w:val="left" w:pos="851"/>
              </w:tabs>
              <w:spacing w:before="0" w:line="240" w:lineRule="atLeast"/>
              <w:jc w:val="right"/>
              <w:rPr>
                <w:b/>
                <w:lang w:val="ru-RU"/>
              </w:rPr>
            </w:pPr>
            <w:r w:rsidRPr="00C37AC5">
              <w:rPr>
                <w:b/>
                <w:lang w:val="ru-RU"/>
              </w:rPr>
              <w:t xml:space="preserve">Документ </w:t>
            </w:r>
            <w:r w:rsidR="00796BD3" w:rsidRPr="00C37AC5">
              <w:rPr>
                <w:b/>
                <w:lang w:val="ru-RU"/>
              </w:rPr>
              <w:t>C2</w:t>
            </w:r>
            <w:r w:rsidR="00D631AA" w:rsidRPr="00C37AC5">
              <w:rPr>
                <w:b/>
                <w:lang w:val="ru-RU"/>
              </w:rPr>
              <w:t>5</w:t>
            </w:r>
            <w:r w:rsidR="00796BD3" w:rsidRPr="00C37AC5">
              <w:rPr>
                <w:b/>
                <w:lang w:val="ru-RU"/>
              </w:rPr>
              <w:t>/</w:t>
            </w:r>
            <w:r w:rsidR="00D67E3C" w:rsidRPr="00C37AC5">
              <w:rPr>
                <w:b/>
                <w:lang w:val="ru-RU"/>
              </w:rPr>
              <w:t>110</w:t>
            </w:r>
            <w:r w:rsidR="00796BD3" w:rsidRPr="00C37AC5">
              <w:rPr>
                <w:b/>
                <w:lang w:val="ru-RU"/>
              </w:rPr>
              <w:t>-R</w:t>
            </w:r>
          </w:p>
        </w:tc>
      </w:tr>
      <w:tr w:rsidR="00796BD3" w:rsidRPr="00C37AC5" w14:paraId="71BCAFBE" w14:textId="77777777" w:rsidTr="00DA770A">
        <w:trPr>
          <w:cantSplit/>
        </w:trPr>
        <w:tc>
          <w:tcPr>
            <w:tcW w:w="3969" w:type="dxa"/>
            <w:vMerge/>
          </w:tcPr>
          <w:p w14:paraId="5CAF1797" w14:textId="77777777" w:rsidR="00796BD3" w:rsidRPr="00C37AC5" w:rsidRDefault="00796BD3" w:rsidP="00DA770A">
            <w:pPr>
              <w:tabs>
                <w:tab w:val="left" w:pos="851"/>
              </w:tabs>
              <w:spacing w:line="240" w:lineRule="atLeast"/>
              <w:rPr>
                <w:b/>
                <w:lang w:val="ru-RU"/>
              </w:rPr>
            </w:pPr>
            <w:bookmarkStart w:id="3" w:name="ddate" w:colFirst="1" w:colLast="1"/>
            <w:bookmarkEnd w:id="0"/>
            <w:bookmarkEnd w:id="1"/>
          </w:p>
        </w:tc>
        <w:tc>
          <w:tcPr>
            <w:tcW w:w="5245" w:type="dxa"/>
          </w:tcPr>
          <w:p w14:paraId="4428F145" w14:textId="60512FAC" w:rsidR="00796BD3" w:rsidRPr="00C37AC5" w:rsidRDefault="00E72959" w:rsidP="00DA770A">
            <w:pPr>
              <w:tabs>
                <w:tab w:val="left" w:pos="851"/>
              </w:tabs>
              <w:spacing w:before="0"/>
              <w:jc w:val="right"/>
              <w:rPr>
                <w:b/>
                <w:lang w:val="ru-RU"/>
              </w:rPr>
            </w:pPr>
            <w:r w:rsidRPr="00E72959">
              <w:rPr>
                <w:b/>
                <w:lang w:val="ru-RU"/>
              </w:rPr>
              <w:t>15 августа</w:t>
            </w:r>
            <w:r w:rsidR="00D67E3C" w:rsidRPr="00C37AC5">
              <w:rPr>
                <w:b/>
                <w:lang w:val="ru-RU"/>
              </w:rPr>
              <w:t xml:space="preserve"> 2025 г</w:t>
            </w:r>
            <w:r w:rsidR="009F601D" w:rsidRPr="00C37AC5">
              <w:rPr>
                <w:b/>
                <w:lang w:val="ru-RU"/>
              </w:rPr>
              <w:t>ода</w:t>
            </w:r>
          </w:p>
        </w:tc>
      </w:tr>
      <w:tr w:rsidR="00796BD3" w:rsidRPr="00C37AC5" w14:paraId="7A1DDAC0" w14:textId="77777777" w:rsidTr="00DA770A">
        <w:trPr>
          <w:cantSplit/>
          <w:trHeight w:val="23"/>
        </w:trPr>
        <w:tc>
          <w:tcPr>
            <w:tcW w:w="3969" w:type="dxa"/>
            <w:vMerge/>
          </w:tcPr>
          <w:p w14:paraId="6EAEF765" w14:textId="77777777" w:rsidR="00796BD3" w:rsidRPr="00C37AC5" w:rsidRDefault="00796BD3" w:rsidP="00DA770A">
            <w:pPr>
              <w:tabs>
                <w:tab w:val="left" w:pos="851"/>
              </w:tabs>
              <w:spacing w:line="240" w:lineRule="atLeast"/>
              <w:rPr>
                <w:b/>
                <w:lang w:val="ru-RU"/>
              </w:rPr>
            </w:pPr>
            <w:bookmarkStart w:id="4" w:name="dorlang" w:colFirst="1" w:colLast="1"/>
            <w:bookmarkEnd w:id="3"/>
          </w:p>
        </w:tc>
        <w:tc>
          <w:tcPr>
            <w:tcW w:w="5245" w:type="dxa"/>
          </w:tcPr>
          <w:p w14:paraId="4955C2C5" w14:textId="77777777" w:rsidR="00796BD3" w:rsidRPr="00C37AC5" w:rsidRDefault="0033025A" w:rsidP="00DA770A">
            <w:pPr>
              <w:tabs>
                <w:tab w:val="left" w:pos="851"/>
              </w:tabs>
              <w:spacing w:before="0" w:line="240" w:lineRule="atLeast"/>
              <w:jc w:val="right"/>
              <w:rPr>
                <w:b/>
                <w:lang w:val="ru-RU"/>
              </w:rPr>
            </w:pPr>
            <w:r w:rsidRPr="00C37AC5">
              <w:rPr>
                <w:b/>
                <w:lang w:val="ru-RU"/>
              </w:rPr>
              <w:t>Оригинал: английский</w:t>
            </w:r>
          </w:p>
        </w:tc>
      </w:tr>
      <w:tr w:rsidR="00796BD3" w:rsidRPr="00C37AC5" w14:paraId="56B15E48" w14:textId="77777777" w:rsidTr="00DA770A">
        <w:trPr>
          <w:cantSplit/>
          <w:trHeight w:val="23"/>
        </w:trPr>
        <w:tc>
          <w:tcPr>
            <w:tcW w:w="3969" w:type="dxa"/>
          </w:tcPr>
          <w:p w14:paraId="665DFA20" w14:textId="77777777" w:rsidR="00796BD3" w:rsidRPr="00C37AC5" w:rsidRDefault="00796BD3" w:rsidP="00DA770A">
            <w:pPr>
              <w:tabs>
                <w:tab w:val="left" w:pos="851"/>
              </w:tabs>
              <w:spacing w:line="240" w:lineRule="atLeast"/>
              <w:rPr>
                <w:b/>
                <w:lang w:val="ru-RU"/>
              </w:rPr>
            </w:pPr>
          </w:p>
        </w:tc>
        <w:tc>
          <w:tcPr>
            <w:tcW w:w="5245" w:type="dxa"/>
          </w:tcPr>
          <w:p w14:paraId="3E517990" w14:textId="77777777" w:rsidR="00796BD3" w:rsidRPr="00C37AC5" w:rsidRDefault="00796BD3" w:rsidP="00DA770A">
            <w:pPr>
              <w:tabs>
                <w:tab w:val="left" w:pos="851"/>
              </w:tabs>
              <w:spacing w:before="0" w:line="240" w:lineRule="atLeast"/>
              <w:jc w:val="right"/>
              <w:rPr>
                <w:b/>
                <w:lang w:val="ru-RU"/>
              </w:rPr>
            </w:pPr>
          </w:p>
        </w:tc>
      </w:tr>
      <w:tr w:rsidR="00796BD3" w:rsidRPr="00B87E1C" w14:paraId="1A874E9B" w14:textId="77777777" w:rsidTr="00DA770A">
        <w:trPr>
          <w:cantSplit/>
        </w:trPr>
        <w:tc>
          <w:tcPr>
            <w:tcW w:w="9214" w:type="dxa"/>
            <w:gridSpan w:val="2"/>
            <w:tcMar>
              <w:left w:w="0" w:type="dxa"/>
            </w:tcMar>
          </w:tcPr>
          <w:p w14:paraId="1CEA16ED" w14:textId="77777777" w:rsidR="00921391" w:rsidRPr="00921391" w:rsidRDefault="00D67E3C" w:rsidP="00C37AC5">
            <w:pPr>
              <w:pStyle w:val="Title1"/>
              <w:rPr>
                <w:lang w:val="ru-RU"/>
              </w:rPr>
            </w:pPr>
            <w:bookmarkStart w:id="5" w:name="dsource" w:colFirst="0" w:colLast="0"/>
            <w:bookmarkEnd w:id="4"/>
            <w:r w:rsidRPr="00C37AC5">
              <w:rPr>
                <w:lang w:val="ru-RU"/>
              </w:rPr>
              <w:t>КРАТКИЙ ОТЧЕТ</w:t>
            </w:r>
          </w:p>
          <w:p w14:paraId="6D7AC93E" w14:textId="5B7E45E8" w:rsidR="00D67E3C" w:rsidRPr="00C37AC5" w:rsidRDefault="0044156B" w:rsidP="00921391">
            <w:pPr>
              <w:pStyle w:val="Title1"/>
              <w:spacing w:before="120"/>
              <w:rPr>
                <w:lang w:val="ru-RU"/>
              </w:rPr>
            </w:pPr>
            <w:r w:rsidRPr="00C37AC5">
              <w:rPr>
                <w:lang w:val="ru-RU"/>
              </w:rPr>
              <w:t xml:space="preserve">О </w:t>
            </w:r>
            <w:r w:rsidR="00D67E3C" w:rsidRPr="00C37AC5">
              <w:rPr>
                <w:lang w:val="ru-RU"/>
              </w:rPr>
              <w:t>ЧЕТВЕРТО</w:t>
            </w:r>
            <w:r w:rsidRPr="00C37AC5">
              <w:rPr>
                <w:lang w:val="ru-RU"/>
              </w:rPr>
              <w:t>М</w:t>
            </w:r>
            <w:r w:rsidR="00D67E3C" w:rsidRPr="00C37AC5">
              <w:rPr>
                <w:lang w:val="ru-RU"/>
              </w:rPr>
              <w:t xml:space="preserve"> ПЛЕНАРНО</w:t>
            </w:r>
            <w:r w:rsidRPr="00C37AC5">
              <w:rPr>
                <w:lang w:val="ru-RU"/>
              </w:rPr>
              <w:t>М</w:t>
            </w:r>
            <w:r w:rsidR="00D67E3C" w:rsidRPr="00C37AC5">
              <w:rPr>
                <w:lang w:val="ru-RU"/>
              </w:rPr>
              <w:t xml:space="preserve"> ЗАСЕДАНИ</w:t>
            </w:r>
            <w:r w:rsidRPr="00C37AC5">
              <w:rPr>
                <w:lang w:val="ru-RU"/>
              </w:rPr>
              <w:t>И</w:t>
            </w:r>
          </w:p>
        </w:tc>
      </w:tr>
      <w:tr w:rsidR="00796BD3" w:rsidRPr="00B87E1C" w14:paraId="3794438E" w14:textId="77777777" w:rsidTr="00D67E3C">
        <w:trPr>
          <w:cantSplit/>
          <w:trHeight w:val="1121"/>
        </w:trPr>
        <w:tc>
          <w:tcPr>
            <w:tcW w:w="9214" w:type="dxa"/>
            <w:gridSpan w:val="2"/>
            <w:tcMar>
              <w:left w:w="0" w:type="dxa"/>
            </w:tcMar>
          </w:tcPr>
          <w:p w14:paraId="191D5076" w14:textId="77777777" w:rsidR="00921391" w:rsidRPr="00B87E1C" w:rsidRDefault="00D67E3C" w:rsidP="00921391">
            <w:pPr>
              <w:pStyle w:val="Normalaftertitle"/>
              <w:spacing w:before="240"/>
              <w:jc w:val="center"/>
              <w:rPr>
                <w:lang w:val="ru-RU"/>
              </w:rPr>
            </w:pPr>
            <w:bookmarkStart w:id="6" w:name="dtitle1" w:colFirst="0" w:colLast="0"/>
            <w:bookmarkEnd w:id="5"/>
            <w:r w:rsidRPr="00C37AC5">
              <w:rPr>
                <w:lang w:val="ru-RU"/>
              </w:rPr>
              <w:t xml:space="preserve">Понедельник, </w:t>
            </w:r>
            <w:r w:rsidR="0044156B" w:rsidRPr="00C37AC5">
              <w:rPr>
                <w:lang w:val="ru-RU"/>
              </w:rPr>
              <w:t>23</w:t>
            </w:r>
            <w:r w:rsidRPr="00C37AC5">
              <w:rPr>
                <w:lang w:val="ru-RU"/>
              </w:rPr>
              <w:t xml:space="preserve"> июня 202</w:t>
            </w:r>
            <w:r w:rsidR="0044156B" w:rsidRPr="00C37AC5">
              <w:rPr>
                <w:lang w:val="ru-RU"/>
              </w:rPr>
              <w:t>5</w:t>
            </w:r>
            <w:r w:rsidRPr="00C37AC5">
              <w:rPr>
                <w:lang w:val="ru-RU"/>
              </w:rPr>
              <w:t xml:space="preserve"> года, </w:t>
            </w:r>
            <w:r w:rsidR="00DF7628" w:rsidRPr="00C37AC5">
              <w:rPr>
                <w:lang w:val="ru-RU"/>
              </w:rPr>
              <w:t>09</w:t>
            </w:r>
            <w:r w:rsidRPr="00C37AC5">
              <w:rPr>
                <w:lang w:val="ru-RU"/>
              </w:rPr>
              <w:t xml:space="preserve"> ч</w:t>
            </w:r>
            <w:r w:rsidR="00DF7628" w:rsidRPr="00C37AC5">
              <w:rPr>
                <w:lang w:val="ru-RU"/>
              </w:rPr>
              <w:t>ас.</w:t>
            </w:r>
            <w:r w:rsidRPr="00C37AC5">
              <w:rPr>
                <w:lang w:val="ru-RU"/>
              </w:rPr>
              <w:t xml:space="preserve"> 30 мин. – 1</w:t>
            </w:r>
            <w:r w:rsidR="00DF7628" w:rsidRPr="00C37AC5">
              <w:rPr>
                <w:lang w:val="ru-RU"/>
              </w:rPr>
              <w:t>2</w:t>
            </w:r>
            <w:r w:rsidRPr="00C37AC5">
              <w:rPr>
                <w:lang w:val="ru-RU"/>
              </w:rPr>
              <w:t xml:space="preserve"> ч</w:t>
            </w:r>
            <w:r w:rsidR="00DF7628" w:rsidRPr="00C37AC5">
              <w:rPr>
                <w:lang w:val="ru-RU"/>
              </w:rPr>
              <w:t>ас.</w:t>
            </w:r>
            <w:r w:rsidRPr="00C37AC5">
              <w:rPr>
                <w:lang w:val="ru-RU"/>
              </w:rPr>
              <w:t xml:space="preserve"> 3</w:t>
            </w:r>
            <w:r w:rsidR="00DF7628" w:rsidRPr="00C37AC5">
              <w:rPr>
                <w:lang w:val="ru-RU"/>
              </w:rPr>
              <w:t>5</w:t>
            </w:r>
            <w:r w:rsidRPr="00C37AC5">
              <w:rPr>
                <w:lang w:val="ru-RU"/>
              </w:rPr>
              <w:t xml:space="preserve"> мин.</w:t>
            </w:r>
          </w:p>
          <w:p w14:paraId="53DF462E" w14:textId="14A46BAD" w:rsidR="00796BD3" w:rsidRPr="00C37AC5" w:rsidRDefault="00D67E3C" w:rsidP="00921391">
            <w:pPr>
              <w:pStyle w:val="Normalaftertitle"/>
              <w:spacing w:before="120"/>
              <w:jc w:val="center"/>
              <w:rPr>
                <w:lang w:val="ru-RU"/>
              </w:rPr>
            </w:pPr>
            <w:r w:rsidRPr="00C37AC5">
              <w:rPr>
                <w:b/>
                <w:bCs/>
                <w:lang w:val="ru-RU"/>
              </w:rPr>
              <w:t>Председатель</w:t>
            </w:r>
            <w:r w:rsidRPr="00C37AC5">
              <w:rPr>
                <w:lang w:val="ru-RU"/>
              </w:rPr>
              <w:t>: г-жа К. Флутур (Румыния)</w:t>
            </w:r>
          </w:p>
        </w:tc>
      </w:tr>
      <w:bookmarkEnd w:id="2"/>
      <w:bookmarkEnd w:id="6"/>
    </w:tbl>
    <w:p w14:paraId="7D2667E3" w14:textId="2A25E6FB" w:rsidR="00796BD3" w:rsidRPr="00C37AC5" w:rsidRDefault="00796BD3" w:rsidP="00796BD3">
      <w:pPr>
        <w:rPr>
          <w:lang w:val="ru-RU"/>
        </w:rPr>
      </w:pPr>
    </w:p>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C37AC5" w:rsidRPr="00C37AC5" w14:paraId="2B9913C4" w14:textId="77777777" w:rsidTr="00444E2A">
        <w:tc>
          <w:tcPr>
            <w:tcW w:w="242" w:type="pct"/>
          </w:tcPr>
          <w:p w14:paraId="5445047C" w14:textId="77777777" w:rsidR="00C37AC5" w:rsidRPr="00C37AC5" w:rsidRDefault="00C37AC5" w:rsidP="00921391">
            <w:pPr>
              <w:rPr>
                <w:b/>
                <w:bCs/>
                <w:szCs w:val="24"/>
                <w:lang w:val="ru-RU"/>
              </w:rPr>
            </w:pPr>
            <w:bookmarkStart w:id="7" w:name="_Hlk141438382"/>
            <w:r w:rsidRPr="00C37AC5">
              <w:rPr>
                <w:b/>
                <w:bCs/>
                <w:color w:val="000000"/>
                <w:szCs w:val="24"/>
                <w:lang w:val="ru-RU"/>
              </w:rPr>
              <w:br w:type="page"/>
            </w:r>
            <w:r w:rsidRPr="00C37AC5">
              <w:rPr>
                <w:b/>
                <w:bCs/>
                <w:color w:val="000000"/>
                <w:szCs w:val="24"/>
                <w:lang w:val="ru-RU"/>
              </w:rPr>
              <w:br w:type="page"/>
            </w:r>
          </w:p>
        </w:tc>
        <w:tc>
          <w:tcPr>
            <w:tcW w:w="3580" w:type="pct"/>
            <w:hideMark/>
          </w:tcPr>
          <w:p w14:paraId="76C9F23E" w14:textId="77777777" w:rsidR="00C37AC5" w:rsidRPr="00C37AC5" w:rsidRDefault="00C37AC5" w:rsidP="00921391">
            <w:pPr>
              <w:jc w:val="center"/>
              <w:rPr>
                <w:b/>
                <w:bCs/>
                <w:szCs w:val="24"/>
                <w:lang w:val="ru-RU"/>
              </w:rPr>
            </w:pPr>
            <w:r w:rsidRPr="00C37AC5">
              <w:rPr>
                <w:b/>
                <w:bCs/>
                <w:color w:val="000000"/>
                <w:lang w:val="ru-RU"/>
              </w:rPr>
              <w:t>Обсуждаемые вопросы</w:t>
            </w:r>
          </w:p>
        </w:tc>
        <w:tc>
          <w:tcPr>
            <w:tcW w:w="1178" w:type="pct"/>
            <w:hideMark/>
          </w:tcPr>
          <w:p w14:paraId="3C5F35A0" w14:textId="77777777" w:rsidR="00C37AC5" w:rsidRPr="00C37AC5" w:rsidRDefault="00C37AC5" w:rsidP="00921391">
            <w:pPr>
              <w:jc w:val="center"/>
              <w:rPr>
                <w:b/>
                <w:bCs/>
                <w:szCs w:val="24"/>
                <w:lang w:val="ru-RU"/>
              </w:rPr>
            </w:pPr>
            <w:r w:rsidRPr="00C37AC5">
              <w:rPr>
                <w:b/>
                <w:bCs/>
                <w:color w:val="000000"/>
                <w:lang w:val="ru-RU"/>
              </w:rPr>
              <w:t>Документы</w:t>
            </w:r>
          </w:p>
        </w:tc>
      </w:tr>
      <w:tr w:rsidR="00C37AC5" w:rsidRPr="00C37AC5" w14:paraId="28105773" w14:textId="77777777" w:rsidTr="00444E2A">
        <w:trPr>
          <w:trHeight w:val="20"/>
        </w:trPr>
        <w:tc>
          <w:tcPr>
            <w:tcW w:w="242" w:type="pct"/>
            <w:hideMark/>
          </w:tcPr>
          <w:p w14:paraId="2A981B79" w14:textId="77777777" w:rsidR="00C37AC5" w:rsidRPr="00C37AC5" w:rsidRDefault="00C37AC5" w:rsidP="00921391">
            <w:pPr>
              <w:rPr>
                <w:szCs w:val="22"/>
                <w:lang w:val="ru-RU"/>
              </w:rPr>
            </w:pPr>
            <w:r w:rsidRPr="00C37AC5">
              <w:rPr>
                <w:color w:val="000000"/>
                <w:lang w:val="ru-RU"/>
              </w:rPr>
              <w:t>1</w:t>
            </w:r>
          </w:p>
        </w:tc>
        <w:tc>
          <w:tcPr>
            <w:tcW w:w="3580" w:type="pct"/>
          </w:tcPr>
          <w:p w14:paraId="2862BF8F" w14:textId="77777777" w:rsidR="00C37AC5" w:rsidRPr="00C37AC5" w:rsidRDefault="00C37AC5" w:rsidP="00921391">
            <w:pPr>
              <w:rPr>
                <w:szCs w:val="22"/>
                <w:lang w:val="ru-RU"/>
              </w:rPr>
            </w:pPr>
            <w:r w:rsidRPr="00C37AC5">
              <w:rPr>
                <w:color w:val="000000"/>
                <w:lang w:val="ru-RU"/>
              </w:rPr>
              <w:t>Отчет председателя Рабочей группы Совета по разработке Стратегического и Финансового планов на 2028–2031 годы</w:t>
            </w:r>
          </w:p>
        </w:tc>
        <w:tc>
          <w:tcPr>
            <w:tcW w:w="1178" w:type="pct"/>
          </w:tcPr>
          <w:p w14:paraId="6F5B992D" w14:textId="77777777" w:rsidR="00C37AC5" w:rsidRPr="00C37AC5" w:rsidRDefault="00C37AC5" w:rsidP="00921391">
            <w:pPr>
              <w:jc w:val="center"/>
              <w:rPr>
                <w:szCs w:val="22"/>
                <w:lang w:val="ru-RU"/>
              </w:rPr>
            </w:pPr>
            <w:hyperlink r:id="rId7" w:history="1">
              <w:r w:rsidRPr="00C37AC5">
                <w:rPr>
                  <w:rStyle w:val="Hyperlink"/>
                  <w:rFonts w:cs="Calibri"/>
                  <w:szCs w:val="24"/>
                  <w:lang w:val="ru-RU" w:eastAsia="en-GB"/>
                </w:rPr>
                <w:t>C25/31</w:t>
              </w:r>
            </w:hyperlink>
          </w:p>
        </w:tc>
      </w:tr>
      <w:tr w:rsidR="00C37AC5" w:rsidRPr="00C37AC5" w14:paraId="335E4F34" w14:textId="77777777" w:rsidTr="00444E2A">
        <w:trPr>
          <w:trHeight w:val="20"/>
        </w:trPr>
        <w:tc>
          <w:tcPr>
            <w:tcW w:w="242" w:type="pct"/>
          </w:tcPr>
          <w:p w14:paraId="15F7933F" w14:textId="77777777" w:rsidR="00C37AC5" w:rsidRPr="00C37AC5" w:rsidRDefault="00C37AC5" w:rsidP="00921391">
            <w:pPr>
              <w:rPr>
                <w:szCs w:val="22"/>
                <w:lang w:val="ru-RU"/>
              </w:rPr>
            </w:pPr>
            <w:r w:rsidRPr="00C37AC5">
              <w:rPr>
                <w:color w:val="000000"/>
                <w:lang w:val="ru-RU"/>
              </w:rPr>
              <w:t>2</w:t>
            </w:r>
          </w:p>
        </w:tc>
        <w:tc>
          <w:tcPr>
            <w:tcW w:w="3580" w:type="pct"/>
          </w:tcPr>
          <w:p w14:paraId="55D8A1C4" w14:textId="77777777" w:rsidR="00C37AC5" w:rsidRPr="00C37AC5" w:rsidRDefault="00C37AC5" w:rsidP="00921391">
            <w:pPr>
              <w:rPr>
                <w:rFonts w:asciiTheme="minorHAnsi" w:hAnsiTheme="minorHAnsi" w:cstheme="minorBidi"/>
                <w:color w:val="2F2F2F"/>
                <w:szCs w:val="22"/>
                <w:shd w:val="clear" w:color="auto" w:fill="FFFFFF"/>
                <w:lang w:val="ru-RU"/>
              </w:rPr>
            </w:pPr>
            <w:r w:rsidRPr="00C37AC5">
              <w:rPr>
                <w:color w:val="000000"/>
                <w:lang w:val="ru-RU"/>
              </w:rPr>
              <w:t>Руководящие указания по согласованию Резолюций и Решений Полномочной конференции</w:t>
            </w:r>
          </w:p>
        </w:tc>
        <w:tc>
          <w:tcPr>
            <w:tcW w:w="1178" w:type="pct"/>
            <w:vAlign w:val="center"/>
          </w:tcPr>
          <w:p w14:paraId="72C2B9C9" w14:textId="77777777" w:rsidR="00C37AC5" w:rsidRPr="00C37AC5" w:rsidRDefault="00C37AC5" w:rsidP="00921391">
            <w:pPr>
              <w:jc w:val="center"/>
              <w:rPr>
                <w:szCs w:val="22"/>
                <w:lang w:val="ru-RU"/>
              </w:rPr>
            </w:pPr>
            <w:hyperlink r:id="rId8" w:history="1">
              <w:r w:rsidRPr="00C37AC5">
                <w:rPr>
                  <w:rStyle w:val="Hyperlink"/>
                  <w:lang w:val="ru-RU"/>
                </w:rPr>
                <w:t>C25/29</w:t>
              </w:r>
            </w:hyperlink>
            <w:r w:rsidRPr="00C37AC5">
              <w:rPr>
                <w:bCs/>
                <w:lang w:val="ru-RU"/>
              </w:rPr>
              <w:t xml:space="preserve">, </w:t>
            </w:r>
            <w:hyperlink r:id="rId9" w:history="1">
              <w:r w:rsidRPr="00C37AC5">
                <w:rPr>
                  <w:rStyle w:val="Hyperlink"/>
                  <w:lang w:val="ru-RU"/>
                </w:rPr>
                <w:t>C25/79</w:t>
              </w:r>
            </w:hyperlink>
            <w:r w:rsidRPr="00C37AC5">
              <w:rPr>
                <w:bCs/>
                <w:lang w:val="ru-RU"/>
              </w:rPr>
              <w:t xml:space="preserve">, </w:t>
            </w:r>
            <w:hyperlink r:id="rId10" w:history="1">
              <w:r w:rsidRPr="00C37AC5">
                <w:rPr>
                  <w:rStyle w:val="Hyperlink"/>
                  <w:lang w:val="ru-RU"/>
                </w:rPr>
                <w:t>C25/91</w:t>
              </w:r>
            </w:hyperlink>
          </w:p>
        </w:tc>
      </w:tr>
      <w:tr w:rsidR="00C37AC5" w:rsidRPr="00C37AC5" w14:paraId="43C1A283" w14:textId="77777777" w:rsidTr="00444E2A">
        <w:trPr>
          <w:trHeight w:val="20"/>
        </w:trPr>
        <w:tc>
          <w:tcPr>
            <w:tcW w:w="242" w:type="pct"/>
          </w:tcPr>
          <w:p w14:paraId="4411490B" w14:textId="77777777" w:rsidR="00C37AC5" w:rsidRPr="00C37AC5" w:rsidRDefault="00C37AC5" w:rsidP="00921391">
            <w:pPr>
              <w:rPr>
                <w:szCs w:val="22"/>
                <w:lang w:val="ru-RU"/>
              </w:rPr>
            </w:pPr>
            <w:r w:rsidRPr="00C37AC5">
              <w:rPr>
                <w:color w:val="000000"/>
                <w:lang w:val="ru-RU"/>
              </w:rPr>
              <w:t>3</w:t>
            </w:r>
          </w:p>
        </w:tc>
        <w:tc>
          <w:tcPr>
            <w:tcW w:w="3580" w:type="pct"/>
          </w:tcPr>
          <w:p w14:paraId="662C0BF4" w14:textId="77777777" w:rsidR="00C37AC5" w:rsidRPr="00C37AC5" w:rsidRDefault="00C37AC5" w:rsidP="00921391">
            <w:pPr>
              <w:rPr>
                <w:rFonts w:asciiTheme="minorHAnsi" w:hAnsiTheme="minorHAnsi" w:cstheme="minorHAnsi"/>
                <w:color w:val="2F2F2F"/>
                <w:szCs w:val="22"/>
                <w:shd w:val="clear" w:color="auto" w:fill="FFFFFF"/>
                <w:lang w:val="ru-RU"/>
              </w:rPr>
            </w:pPr>
            <w:r w:rsidRPr="00C37AC5">
              <w:rPr>
                <w:color w:val="000000"/>
                <w:lang w:val="ru-RU"/>
              </w:rPr>
              <w:t>Подготовка к Всемирному форуму по политике в области электросвязи/ИКТ 2026 года</w:t>
            </w:r>
          </w:p>
        </w:tc>
        <w:tc>
          <w:tcPr>
            <w:tcW w:w="1178" w:type="pct"/>
          </w:tcPr>
          <w:p w14:paraId="42D36B21" w14:textId="7EB6F2ED" w:rsidR="00C37AC5" w:rsidRPr="00C37AC5" w:rsidRDefault="00C37AC5" w:rsidP="00921391">
            <w:pPr>
              <w:jc w:val="center"/>
              <w:rPr>
                <w:szCs w:val="22"/>
                <w:lang w:val="ru-RU"/>
              </w:rPr>
            </w:pPr>
            <w:hyperlink r:id="rId11" w:history="1">
              <w:r w:rsidRPr="00C37AC5">
                <w:rPr>
                  <w:rStyle w:val="Hyperlink"/>
                  <w:lang w:val="ru-RU"/>
                </w:rPr>
                <w:t>C25/5(Rev.1)</w:t>
              </w:r>
              <w:r>
                <w:rPr>
                  <w:rStyle w:val="Hyperlink"/>
                  <w:lang w:val="ru-RU"/>
                </w:rPr>
                <w:t xml:space="preserve"> </w:t>
              </w:r>
              <w:r w:rsidRPr="00C37AC5">
                <w:rPr>
                  <w:rStyle w:val="Hyperlink"/>
                  <w:bCs/>
                  <w:lang w:val="ru-RU"/>
                </w:rPr>
                <w:t>+</w:t>
              </w:r>
              <w:r>
                <w:rPr>
                  <w:rStyle w:val="Hyperlink"/>
                  <w:bCs/>
                  <w:lang w:val="ru-RU"/>
                </w:rPr>
                <w:t xml:space="preserve"> </w:t>
              </w:r>
              <w:r w:rsidRPr="00C37AC5">
                <w:rPr>
                  <w:rStyle w:val="Hyperlink"/>
                  <w:bCs/>
                  <w:lang w:val="ru-RU"/>
                </w:rPr>
                <w:t>Add.1</w:t>
              </w:r>
            </w:hyperlink>
          </w:p>
        </w:tc>
      </w:tr>
      <w:tr w:rsidR="00C37AC5" w:rsidRPr="00C37AC5" w14:paraId="21F46F90" w14:textId="77777777" w:rsidTr="00444E2A">
        <w:trPr>
          <w:trHeight w:val="20"/>
        </w:trPr>
        <w:tc>
          <w:tcPr>
            <w:tcW w:w="242" w:type="pct"/>
          </w:tcPr>
          <w:p w14:paraId="7684470A" w14:textId="77777777" w:rsidR="00C37AC5" w:rsidRPr="00C37AC5" w:rsidRDefault="00C37AC5" w:rsidP="00921391">
            <w:pPr>
              <w:rPr>
                <w:szCs w:val="22"/>
                <w:lang w:val="ru-RU"/>
              </w:rPr>
            </w:pPr>
            <w:r w:rsidRPr="00C37AC5">
              <w:rPr>
                <w:color w:val="000000"/>
                <w:lang w:val="ru-RU"/>
              </w:rPr>
              <w:t>4</w:t>
            </w:r>
          </w:p>
        </w:tc>
        <w:tc>
          <w:tcPr>
            <w:tcW w:w="3580" w:type="pct"/>
          </w:tcPr>
          <w:p w14:paraId="4BA64777" w14:textId="77777777" w:rsidR="00C37AC5" w:rsidRPr="00C37AC5" w:rsidRDefault="00C37AC5" w:rsidP="00921391">
            <w:pPr>
              <w:rPr>
                <w:szCs w:val="22"/>
                <w:lang w:val="ru-RU"/>
              </w:rPr>
            </w:pPr>
            <w:r w:rsidRPr="00C37AC5">
              <w:rPr>
                <w:color w:val="000000"/>
                <w:lang w:val="ru-RU"/>
              </w:rPr>
              <w:t>Обзор ВВУИО+20 − призыв МСЭ представлять вклады: краткий обзор полученных представлений</w:t>
            </w:r>
          </w:p>
        </w:tc>
        <w:tc>
          <w:tcPr>
            <w:tcW w:w="1178" w:type="pct"/>
          </w:tcPr>
          <w:p w14:paraId="45106B62" w14:textId="77777777" w:rsidR="00C37AC5" w:rsidRPr="00C37AC5" w:rsidRDefault="00C37AC5" w:rsidP="00921391">
            <w:pPr>
              <w:jc w:val="center"/>
              <w:rPr>
                <w:szCs w:val="22"/>
                <w:lang w:val="ru-RU"/>
              </w:rPr>
            </w:pPr>
            <w:hyperlink r:id="rId12" w:history="1">
              <w:r w:rsidRPr="00C37AC5">
                <w:rPr>
                  <w:rStyle w:val="Hyperlink"/>
                  <w:lang w:val="ru-RU"/>
                </w:rPr>
                <w:t>C25/53</w:t>
              </w:r>
            </w:hyperlink>
          </w:p>
        </w:tc>
      </w:tr>
      <w:tr w:rsidR="00C37AC5" w:rsidRPr="00C37AC5" w14:paraId="0332F616" w14:textId="77777777" w:rsidTr="00444E2A">
        <w:trPr>
          <w:trHeight w:val="20"/>
        </w:trPr>
        <w:tc>
          <w:tcPr>
            <w:tcW w:w="242" w:type="pct"/>
          </w:tcPr>
          <w:p w14:paraId="39689C70" w14:textId="77777777" w:rsidR="00C37AC5" w:rsidRPr="00C37AC5" w:rsidRDefault="00C37AC5" w:rsidP="00921391">
            <w:pPr>
              <w:rPr>
                <w:szCs w:val="22"/>
                <w:lang w:val="ru-RU"/>
              </w:rPr>
            </w:pPr>
            <w:r w:rsidRPr="00C37AC5">
              <w:rPr>
                <w:color w:val="000000"/>
                <w:lang w:val="ru-RU"/>
              </w:rPr>
              <w:t>5</w:t>
            </w:r>
          </w:p>
        </w:tc>
        <w:tc>
          <w:tcPr>
            <w:tcW w:w="3580" w:type="pct"/>
          </w:tcPr>
          <w:p w14:paraId="7D464635" w14:textId="4DC638E3" w:rsidR="00C37AC5" w:rsidRPr="00C37AC5" w:rsidRDefault="00C37AC5" w:rsidP="00921391">
            <w:pPr>
              <w:rPr>
                <w:lang w:val="ru-RU"/>
              </w:rPr>
            </w:pPr>
            <w:r w:rsidRPr="00C37AC5">
              <w:rPr>
                <w:color w:val="000000"/>
                <w:lang w:val="ru-RU"/>
              </w:rPr>
              <w:t>Обновленная информация о Плане действий МСЭ по</w:t>
            </w:r>
            <w:r>
              <w:rPr>
                <w:color w:val="000000"/>
                <w:lang w:val="ru-RU"/>
              </w:rPr>
              <w:t> </w:t>
            </w:r>
            <w:r w:rsidRPr="00C37AC5">
              <w:rPr>
                <w:color w:val="000000"/>
                <w:lang w:val="ru-RU"/>
              </w:rPr>
              <w:t>осуществлению Глобального цифрового договора</w:t>
            </w:r>
          </w:p>
        </w:tc>
        <w:tc>
          <w:tcPr>
            <w:tcW w:w="1178" w:type="pct"/>
          </w:tcPr>
          <w:p w14:paraId="0C005113" w14:textId="77777777" w:rsidR="00C37AC5" w:rsidRPr="00C37AC5" w:rsidRDefault="00C37AC5" w:rsidP="00921391">
            <w:pPr>
              <w:jc w:val="center"/>
              <w:rPr>
                <w:szCs w:val="22"/>
                <w:lang w:val="ru-RU"/>
              </w:rPr>
            </w:pPr>
            <w:hyperlink r:id="rId13" w:history="1">
              <w:r w:rsidRPr="00C37AC5">
                <w:rPr>
                  <w:rStyle w:val="Hyperlink"/>
                  <w:lang w:val="ru-RU"/>
                </w:rPr>
                <w:t>C25/52</w:t>
              </w:r>
            </w:hyperlink>
          </w:p>
        </w:tc>
      </w:tr>
      <w:tr w:rsidR="00C37AC5" w:rsidRPr="00C37AC5" w14:paraId="13B56207" w14:textId="77777777" w:rsidTr="00444E2A">
        <w:trPr>
          <w:trHeight w:val="20"/>
        </w:trPr>
        <w:tc>
          <w:tcPr>
            <w:tcW w:w="242" w:type="pct"/>
          </w:tcPr>
          <w:p w14:paraId="55175599" w14:textId="77777777" w:rsidR="00C37AC5" w:rsidRPr="00C37AC5" w:rsidRDefault="00C37AC5" w:rsidP="00921391">
            <w:pPr>
              <w:rPr>
                <w:szCs w:val="22"/>
                <w:lang w:val="ru-RU"/>
              </w:rPr>
            </w:pPr>
            <w:r w:rsidRPr="00C37AC5">
              <w:rPr>
                <w:color w:val="000000"/>
                <w:lang w:val="ru-RU"/>
              </w:rPr>
              <w:t>6</w:t>
            </w:r>
          </w:p>
        </w:tc>
        <w:tc>
          <w:tcPr>
            <w:tcW w:w="3580" w:type="pct"/>
          </w:tcPr>
          <w:p w14:paraId="7B3BC3D8" w14:textId="77777777" w:rsidR="00C37AC5" w:rsidRPr="00C37AC5" w:rsidRDefault="00C37AC5" w:rsidP="00921391">
            <w:pPr>
              <w:rPr>
                <w:lang w:val="ru-RU"/>
              </w:rPr>
            </w:pPr>
            <w:r w:rsidRPr="00C37AC5">
              <w:rPr>
                <w:color w:val="000000"/>
                <w:lang w:val="ru-RU"/>
              </w:rPr>
              <w:t>Укрепление регионального присутствия МСЭ</w:t>
            </w:r>
          </w:p>
        </w:tc>
        <w:tc>
          <w:tcPr>
            <w:tcW w:w="1178" w:type="pct"/>
          </w:tcPr>
          <w:p w14:paraId="3ED53094" w14:textId="77777777" w:rsidR="00C37AC5" w:rsidRPr="00C37AC5" w:rsidRDefault="00C37AC5" w:rsidP="00921391">
            <w:pPr>
              <w:jc w:val="center"/>
              <w:rPr>
                <w:szCs w:val="22"/>
                <w:lang w:val="ru-RU"/>
              </w:rPr>
            </w:pPr>
            <w:hyperlink r:id="rId14" w:history="1">
              <w:r w:rsidRPr="00C37AC5">
                <w:rPr>
                  <w:rStyle w:val="Hyperlink"/>
                  <w:lang w:val="ru-RU"/>
                </w:rPr>
                <w:t>C25/25</w:t>
              </w:r>
              <w:r w:rsidRPr="00C37AC5">
                <w:rPr>
                  <w:rStyle w:val="Hyperlink"/>
                  <w:szCs w:val="24"/>
                  <w:lang w:val="ru-RU"/>
                </w:rPr>
                <w:t>(Rev.1)</w:t>
              </w:r>
            </w:hyperlink>
          </w:p>
        </w:tc>
      </w:tr>
      <w:bookmarkEnd w:id="7"/>
    </w:tbl>
    <w:p w14:paraId="0B1AF584" w14:textId="77777777" w:rsidR="00C37AC5" w:rsidRPr="00C37AC5" w:rsidRDefault="00C37AC5" w:rsidP="00796BD3">
      <w:pPr>
        <w:rPr>
          <w:lang w:val="ru-RU"/>
        </w:rPr>
      </w:pPr>
    </w:p>
    <w:p w14:paraId="456C63FA" w14:textId="77777777" w:rsidR="00165D06" w:rsidRPr="00C37AC5" w:rsidRDefault="00165D06">
      <w:pPr>
        <w:tabs>
          <w:tab w:val="clear" w:pos="794"/>
          <w:tab w:val="clear" w:pos="1191"/>
          <w:tab w:val="clear" w:pos="1588"/>
          <w:tab w:val="clear" w:pos="1985"/>
        </w:tabs>
        <w:overflowPunct/>
        <w:autoSpaceDE/>
        <w:autoSpaceDN/>
        <w:adjustRightInd/>
        <w:spacing w:before="0"/>
        <w:textAlignment w:val="auto"/>
        <w:rPr>
          <w:lang w:val="ru-RU"/>
        </w:rPr>
      </w:pPr>
      <w:r w:rsidRPr="00C37AC5">
        <w:rPr>
          <w:lang w:val="ru-RU"/>
        </w:rPr>
        <w:br w:type="page"/>
      </w:r>
    </w:p>
    <w:p w14:paraId="458D72C0" w14:textId="5049BF84" w:rsidR="00D67E3C" w:rsidRPr="00C37AC5" w:rsidRDefault="00D67E3C" w:rsidP="00C37AC5">
      <w:pPr>
        <w:pStyle w:val="Heading1"/>
        <w:rPr>
          <w:lang w:val="ru-RU"/>
        </w:rPr>
      </w:pPr>
      <w:r w:rsidRPr="00C37AC5">
        <w:rPr>
          <w:bCs/>
          <w:lang w:val="ru-RU"/>
        </w:rPr>
        <w:lastRenderedPageBreak/>
        <w:t>1</w:t>
      </w:r>
      <w:r w:rsidRPr="00C37AC5">
        <w:rPr>
          <w:lang w:val="ru-RU"/>
        </w:rPr>
        <w:tab/>
        <w:t>Отчет председателя Рабочей группы Совета по разработке Стратегического и Финансового планов на 2028</w:t>
      </w:r>
      <w:r w:rsidR="00C37AC5" w:rsidRPr="00C37AC5">
        <w:rPr>
          <w:lang w:val="ru-RU"/>
        </w:rPr>
        <w:t>−</w:t>
      </w:r>
      <w:r w:rsidRPr="00C37AC5">
        <w:rPr>
          <w:lang w:val="ru-RU"/>
        </w:rPr>
        <w:t>2031</w:t>
      </w:r>
      <w:r w:rsidR="00C37AC5" w:rsidRPr="00C37AC5">
        <w:rPr>
          <w:lang w:val="ru-RU"/>
        </w:rPr>
        <w:t> </w:t>
      </w:r>
      <w:r w:rsidRPr="00C37AC5">
        <w:rPr>
          <w:lang w:val="ru-RU"/>
        </w:rPr>
        <w:t>годы (Документ</w:t>
      </w:r>
      <w:r w:rsidR="00C37AC5" w:rsidRPr="00C37AC5">
        <w:rPr>
          <w:lang w:val="ru-RU"/>
        </w:rPr>
        <w:t> </w:t>
      </w:r>
      <w:proofErr w:type="spellStart"/>
      <w:r w:rsidR="00F8135B">
        <w:fldChar w:fldCharType="begin"/>
      </w:r>
      <w:r w:rsidR="00F8135B">
        <w:instrText>HYPERLINK</w:instrText>
      </w:r>
      <w:r w:rsidR="00F8135B" w:rsidRPr="00B87E1C">
        <w:rPr>
          <w:lang w:val="ru-RU"/>
        </w:rPr>
        <w:instrText xml:space="preserve"> "</w:instrText>
      </w:r>
      <w:r w:rsidR="00F8135B">
        <w:instrText>https</w:instrText>
      </w:r>
      <w:r w:rsidR="00F8135B" w:rsidRPr="00B87E1C">
        <w:rPr>
          <w:lang w:val="ru-RU"/>
        </w:rPr>
        <w:instrText>://</w:instrText>
      </w:r>
      <w:r w:rsidR="00F8135B">
        <w:instrText>www</w:instrText>
      </w:r>
      <w:r w:rsidR="00F8135B" w:rsidRPr="00B87E1C">
        <w:rPr>
          <w:lang w:val="ru-RU"/>
        </w:rPr>
        <w:instrText>.</w:instrText>
      </w:r>
      <w:r w:rsidR="00F8135B">
        <w:instrText>itu</w:instrText>
      </w:r>
      <w:r w:rsidR="00F8135B" w:rsidRPr="00B87E1C">
        <w:rPr>
          <w:lang w:val="ru-RU"/>
        </w:rPr>
        <w:instrText>.</w:instrText>
      </w:r>
      <w:r w:rsidR="00F8135B">
        <w:instrText>int</w:instrText>
      </w:r>
      <w:r w:rsidR="00F8135B" w:rsidRPr="00B87E1C">
        <w:rPr>
          <w:lang w:val="ru-RU"/>
        </w:rPr>
        <w:instrText>/</w:instrText>
      </w:r>
      <w:r w:rsidR="00F8135B">
        <w:instrText>md</w:instrText>
      </w:r>
      <w:r w:rsidR="00F8135B" w:rsidRPr="00B87E1C">
        <w:rPr>
          <w:lang w:val="ru-RU"/>
        </w:rPr>
        <w:instrText>/</w:instrText>
      </w:r>
      <w:r w:rsidR="00F8135B">
        <w:instrText>S</w:instrText>
      </w:r>
      <w:r w:rsidR="00F8135B" w:rsidRPr="00B87E1C">
        <w:rPr>
          <w:lang w:val="ru-RU"/>
        </w:rPr>
        <w:instrText>25-</w:instrText>
      </w:r>
      <w:r w:rsidR="00F8135B">
        <w:instrText>CL</w:instrText>
      </w:r>
      <w:r w:rsidR="00F8135B" w:rsidRPr="00B87E1C">
        <w:rPr>
          <w:lang w:val="ru-RU"/>
        </w:rPr>
        <w:instrText>-</w:instrText>
      </w:r>
      <w:r w:rsidR="00F8135B">
        <w:instrText>C</w:instrText>
      </w:r>
      <w:r w:rsidR="00F8135B" w:rsidRPr="00B87E1C">
        <w:rPr>
          <w:lang w:val="ru-RU"/>
        </w:rPr>
        <w:instrText>-0031/</w:instrText>
      </w:r>
      <w:r w:rsidR="00F8135B">
        <w:instrText>en</w:instrText>
      </w:r>
      <w:r w:rsidR="00F8135B" w:rsidRPr="00B87E1C">
        <w:rPr>
          <w:lang w:val="ru-RU"/>
        </w:rPr>
        <w:instrText>"</w:instrText>
      </w:r>
      <w:r w:rsidR="00F8135B">
        <w:fldChar w:fldCharType="separate"/>
      </w:r>
      <w:r w:rsidR="00F8135B" w:rsidRPr="00C37AC5">
        <w:rPr>
          <w:rStyle w:val="Hyperlink"/>
          <w:lang w:val="ru-RU"/>
        </w:rPr>
        <w:t>C25</w:t>
      </w:r>
      <w:proofErr w:type="spellEnd"/>
      <w:r w:rsidR="00F8135B" w:rsidRPr="00C37AC5">
        <w:rPr>
          <w:rStyle w:val="Hyperlink"/>
          <w:lang w:val="ru-RU"/>
        </w:rPr>
        <w:t>/31</w:t>
      </w:r>
      <w:r w:rsidR="00F8135B">
        <w:fldChar w:fldCharType="end"/>
      </w:r>
      <w:r w:rsidRPr="00C37AC5">
        <w:rPr>
          <w:lang w:val="ru-RU"/>
        </w:rPr>
        <w:t>)</w:t>
      </w:r>
      <w:hyperlink r:id="rId15" w:history="1"/>
    </w:p>
    <w:p w14:paraId="5E77FD4D" w14:textId="333EAEBE" w:rsidR="00D67E3C" w:rsidRPr="00C37AC5" w:rsidRDefault="00D67E3C" w:rsidP="00B87E1C">
      <w:pPr>
        <w:jc w:val="both"/>
        <w:rPr>
          <w:lang w:val="ru-RU"/>
        </w:rPr>
      </w:pPr>
      <w:r w:rsidRPr="00C37AC5">
        <w:rPr>
          <w:lang w:val="ru-RU"/>
        </w:rPr>
        <w:t>1.1</w:t>
      </w:r>
      <w:r w:rsidRPr="00C37AC5">
        <w:rPr>
          <w:lang w:val="ru-RU"/>
        </w:rPr>
        <w:tab/>
        <w:t xml:space="preserve">Председатель Рабочей группы Совета по разработке Стратегического и Финансового планов на 2028–2031 годы (РГС-СФП) </w:t>
      </w:r>
      <w:r w:rsidR="00DF7628" w:rsidRPr="00C37AC5">
        <w:rPr>
          <w:lang w:val="ru-RU"/>
        </w:rPr>
        <w:t>представляет</w:t>
      </w:r>
      <w:r w:rsidRPr="00C37AC5">
        <w:rPr>
          <w:lang w:val="ru-RU"/>
        </w:rPr>
        <w:t xml:space="preserve"> Документ C25/31, в котором содержится информация о прогрессе, достигнутом РГС-СФП с 2024 года. Группа провела собрания в октябре 2024 года и феврале 2025 года и способствовала сотрудничеству с Государствами-Членами, тремя консультативными группами Секторов (</w:t>
      </w:r>
      <w:r w:rsidR="00A5700C" w:rsidRPr="00C37AC5">
        <w:rPr>
          <w:lang w:val="ru-RU"/>
        </w:rPr>
        <w:t>которые регулярно получали информацию и приглашения</w:t>
      </w:r>
      <w:r w:rsidRPr="00C37AC5">
        <w:rPr>
          <w:lang w:val="ru-RU"/>
        </w:rPr>
        <w:t xml:space="preserve"> к участию в процессе посредством заявлений о взаимодействии), межсекторальной группой </w:t>
      </w:r>
      <w:r w:rsidR="00A5700C" w:rsidRPr="00C37AC5">
        <w:rPr>
          <w:lang w:val="ru-RU"/>
        </w:rPr>
        <w:t>С</w:t>
      </w:r>
      <w:r w:rsidRPr="00C37AC5">
        <w:rPr>
          <w:lang w:val="ru-RU"/>
        </w:rPr>
        <w:t>екретариата под председательством заместителя Генерального секретаря</w:t>
      </w:r>
      <w:r w:rsidR="00A5700C" w:rsidRPr="00C37AC5">
        <w:rPr>
          <w:lang w:val="ru-RU"/>
        </w:rPr>
        <w:t>;</w:t>
      </w:r>
      <w:r w:rsidRPr="00C37AC5">
        <w:rPr>
          <w:lang w:val="ru-RU"/>
        </w:rPr>
        <w:t xml:space="preserve"> учреждениям системы ООН также было предложено поделиться опытом</w:t>
      </w:r>
      <w:r w:rsidR="00A5700C" w:rsidRPr="00C37AC5">
        <w:rPr>
          <w:lang w:val="ru-RU"/>
        </w:rPr>
        <w:t>, полученным при</w:t>
      </w:r>
      <w:r w:rsidRPr="00C37AC5">
        <w:rPr>
          <w:lang w:val="ru-RU"/>
        </w:rPr>
        <w:t xml:space="preserve"> </w:t>
      </w:r>
      <w:r w:rsidR="00A5700C" w:rsidRPr="00C37AC5">
        <w:rPr>
          <w:lang w:val="ru-RU"/>
        </w:rPr>
        <w:t xml:space="preserve">разработке ими </w:t>
      </w:r>
      <w:r w:rsidRPr="00C37AC5">
        <w:rPr>
          <w:lang w:val="ru-RU"/>
        </w:rPr>
        <w:t xml:space="preserve">стратегических планов. РГС-СФП также тесно сотрудничала с группами Союза по статистическим показателям, специальные знания и опыт </w:t>
      </w:r>
      <w:r w:rsidR="009F601D" w:rsidRPr="00C37AC5">
        <w:rPr>
          <w:lang w:val="ru-RU"/>
        </w:rPr>
        <w:t xml:space="preserve">которых </w:t>
      </w:r>
      <w:r w:rsidRPr="00C37AC5">
        <w:rPr>
          <w:lang w:val="ru-RU"/>
        </w:rPr>
        <w:t xml:space="preserve">сыграли ключевую роль в измерении прогресса и воздействия. Стратегический и </w:t>
      </w:r>
      <w:r w:rsidR="00A5700C" w:rsidRPr="00C37AC5">
        <w:rPr>
          <w:lang w:val="ru-RU"/>
        </w:rPr>
        <w:t>Ф</w:t>
      </w:r>
      <w:r w:rsidRPr="00C37AC5">
        <w:rPr>
          <w:lang w:val="ru-RU"/>
        </w:rPr>
        <w:t xml:space="preserve">инансовый планы являются не только инструментами планирования, но также </w:t>
      </w:r>
      <w:r w:rsidR="00505040" w:rsidRPr="00C37AC5">
        <w:rPr>
          <w:lang w:val="ru-RU"/>
        </w:rPr>
        <w:t>средством</w:t>
      </w:r>
      <w:r w:rsidRPr="00C37AC5">
        <w:rPr>
          <w:lang w:val="ru-RU"/>
        </w:rPr>
        <w:t xml:space="preserve"> отслеживания хода осуществления и </w:t>
      </w:r>
      <w:r w:rsidR="00505040" w:rsidRPr="00C37AC5">
        <w:rPr>
          <w:lang w:val="ru-RU"/>
        </w:rPr>
        <w:t xml:space="preserve">ориентиром для </w:t>
      </w:r>
      <w:r w:rsidRPr="00C37AC5">
        <w:rPr>
          <w:lang w:val="ru-RU"/>
        </w:rPr>
        <w:t>непрерывн</w:t>
      </w:r>
      <w:r w:rsidR="00505040" w:rsidRPr="00C37AC5">
        <w:rPr>
          <w:lang w:val="ru-RU"/>
        </w:rPr>
        <w:t>ого</w:t>
      </w:r>
      <w:r w:rsidRPr="00C37AC5">
        <w:rPr>
          <w:lang w:val="ru-RU"/>
        </w:rPr>
        <w:t xml:space="preserve"> совершенствовани</w:t>
      </w:r>
      <w:r w:rsidR="00505040" w:rsidRPr="00C37AC5">
        <w:rPr>
          <w:lang w:val="ru-RU"/>
        </w:rPr>
        <w:t>я</w:t>
      </w:r>
      <w:r w:rsidRPr="00C37AC5">
        <w:rPr>
          <w:lang w:val="ru-RU"/>
        </w:rPr>
        <w:t>.</w:t>
      </w:r>
    </w:p>
    <w:p w14:paraId="3C3D4CBD" w14:textId="7E6EC17F" w:rsidR="00D67E3C" w:rsidRPr="00C37AC5" w:rsidRDefault="00D67E3C" w:rsidP="00563B45">
      <w:pPr>
        <w:jc w:val="both"/>
        <w:rPr>
          <w:lang w:val="ru-RU"/>
        </w:rPr>
      </w:pPr>
      <w:r w:rsidRPr="00C37AC5">
        <w:rPr>
          <w:lang w:val="ru-RU"/>
        </w:rPr>
        <w:t>1.2</w:t>
      </w:r>
      <w:r w:rsidRPr="00C37AC5">
        <w:rPr>
          <w:lang w:val="ru-RU"/>
        </w:rPr>
        <w:tab/>
        <w:t xml:space="preserve">Советники высоко оценивают прогресс, достигнутый в подготовке проектов Стратегического и Финансового планов, и приветствуют уровень взаимодействия с Государствами-Членами. Один из наблюдателей </w:t>
      </w:r>
      <w:r w:rsidR="00505040" w:rsidRPr="00C37AC5">
        <w:rPr>
          <w:lang w:val="ru-RU"/>
        </w:rPr>
        <w:t>отмечает</w:t>
      </w:r>
      <w:r w:rsidRPr="00C37AC5">
        <w:rPr>
          <w:lang w:val="ru-RU"/>
        </w:rPr>
        <w:t xml:space="preserve">, что содействие использованию </w:t>
      </w:r>
      <w:r w:rsidR="00242810" w:rsidRPr="00C37AC5">
        <w:rPr>
          <w:lang w:val="ru-RU"/>
        </w:rPr>
        <w:t xml:space="preserve">орбитально -частотного </w:t>
      </w:r>
      <w:r w:rsidRPr="00C37AC5">
        <w:rPr>
          <w:lang w:val="ru-RU"/>
        </w:rPr>
        <w:t>ресурс</w:t>
      </w:r>
      <w:r w:rsidR="00242810" w:rsidRPr="00C37AC5">
        <w:rPr>
          <w:lang w:val="ru-RU"/>
        </w:rPr>
        <w:t>а</w:t>
      </w:r>
      <w:r w:rsidRPr="00C37AC5">
        <w:rPr>
          <w:lang w:val="ru-RU"/>
        </w:rPr>
        <w:t>, как это предусмотрено в статье 44 Устава МСЭ, является одним из основных видов деятельности Союза</w:t>
      </w:r>
      <w:r w:rsidR="00505040" w:rsidRPr="00C37AC5">
        <w:rPr>
          <w:lang w:val="ru-RU"/>
        </w:rPr>
        <w:t xml:space="preserve">, который </w:t>
      </w:r>
      <w:r w:rsidRPr="00C37AC5">
        <w:rPr>
          <w:lang w:val="ru-RU"/>
        </w:rPr>
        <w:t xml:space="preserve">не следует классифицировать как "тематический" приоритет, и также </w:t>
      </w:r>
      <w:r w:rsidR="00505040" w:rsidRPr="00C37AC5">
        <w:rPr>
          <w:lang w:val="ru-RU"/>
        </w:rPr>
        <w:t>говорит</w:t>
      </w:r>
      <w:r w:rsidRPr="00C37AC5">
        <w:rPr>
          <w:lang w:val="ru-RU"/>
        </w:rPr>
        <w:t>, что некоторые из показателей конечных результатов</w:t>
      </w:r>
      <w:r w:rsidR="00505040" w:rsidRPr="00C37AC5">
        <w:rPr>
          <w:lang w:val="ru-RU"/>
        </w:rPr>
        <w:t>, установленных для этого вида деятельности,</w:t>
      </w:r>
      <w:r w:rsidRPr="00C37AC5">
        <w:rPr>
          <w:lang w:val="ru-RU"/>
        </w:rPr>
        <w:t xml:space="preserve"> не целесообразны.</w:t>
      </w:r>
    </w:p>
    <w:p w14:paraId="16B5B95E" w14:textId="45EB1F2E" w:rsidR="00D67E3C" w:rsidRPr="00C37AC5" w:rsidRDefault="00D67E3C" w:rsidP="00563B45">
      <w:pPr>
        <w:jc w:val="both"/>
        <w:rPr>
          <w:lang w:val="ru-RU"/>
        </w:rPr>
      </w:pPr>
      <w:r w:rsidRPr="00C37AC5">
        <w:rPr>
          <w:lang w:val="ru-RU"/>
        </w:rPr>
        <w:t>1.3</w:t>
      </w:r>
      <w:r w:rsidRPr="00C37AC5">
        <w:rPr>
          <w:lang w:val="ru-RU"/>
        </w:rPr>
        <w:tab/>
        <w:t xml:space="preserve">Председатель РГС-СФП, отвечая на вопросы и замечания </w:t>
      </w:r>
      <w:r w:rsidR="00505040" w:rsidRPr="00C37AC5">
        <w:rPr>
          <w:lang w:val="ru-RU"/>
        </w:rPr>
        <w:t>С</w:t>
      </w:r>
      <w:r w:rsidRPr="00C37AC5">
        <w:rPr>
          <w:lang w:val="ru-RU"/>
        </w:rPr>
        <w:t xml:space="preserve">оветников, </w:t>
      </w:r>
      <w:r w:rsidR="00D04A88" w:rsidRPr="00C37AC5">
        <w:rPr>
          <w:lang w:val="ru-RU"/>
        </w:rPr>
        <w:t>указывает</w:t>
      </w:r>
      <w:r w:rsidRPr="00C37AC5">
        <w:rPr>
          <w:lang w:val="ru-RU"/>
        </w:rPr>
        <w:t xml:space="preserve">, что результаты онлайновых консультаций были включены в отчеты </w:t>
      </w:r>
      <w:r w:rsidR="006C4E5D">
        <w:rPr>
          <w:lang w:val="ru-RU"/>
        </w:rPr>
        <w:t>г</w:t>
      </w:r>
      <w:r w:rsidRPr="00C37AC5">
        <w:rPr>
          <w:lang w:val="ru-RU"/>
        </w:rPr>
        <w:t xml:space="preserve">руппы. Вклад консультативных групп Секторов будет служить основой для разработки приоритетов Секторов и способов измерения установленных для них показателей. К собранию РГС-СФП в сентябре 2025 года </w:t>
      </w:r>
      <w:r w:rsidR="00D04A88" w:rsidRPr="00C37AC5">
        <w:rPr>
          <w:lang w:val="ru-RU"/>
        </w:rPr>
        <w:t>С</w:t>
      </w:r>
      <w:r w:rsidRPr="00C37AC5">
        <w:rPr>
          <w:lang w:val="ru-RU"/>
        </w:rPr>
        <w:t xml:space="preserve">екретариат подготовит структуру для проектов Стратегического и Финансового планов с четкими увязками между стратегическим, финансовым и оперативным планами. Для консультативных групп Секторов, а также в рамках процессов подготовки к Всемирной конференции по развитию электросвязи и Полномочной конференции (ПК) будут проводиться брифинги. После этого пленарного заседания </w:t>
      </w:r>
      <w:r w:rsidR="00A05D68" w:rsidRPr="00C37AC5">
        <w:rPr>
          <w:lang w:val="ru-RU"/>
        </w:rPr>
        <w:t>проведена</w:t>
      </w:r>
      <w:r w:rsidRPr="00C37AC5">
        <w:rPr>
          <w:lang w:val="ru-RU"/>
        </w:rPr>
        <w:t xml:space="preserve"> информационная сессия для предоставления дополнительной информации о ходе работы и шагах по завершению подготовки проектов Стратегического и Финансового планов перед их представлением на сессии Совета 2026 года.</w:t>
      </w:r>
    </w:p>
    <w:p w14:paraId="5495024B" w14:textId="20D3CD7E" w:rsidR="00D67E3C" w:rsidRPr="00C37AC5" w:rsidRDefault="00D67E3C" w:rsidP="00563B45">
      <w:pPr>
        <w:jc w:val="both"/>
        <w:rPr>
          <w:lang w:val="ru-RU"/>
        </w:rPr>
      </w:pPr>
      <w:r w:rsidRPr="00C37AC5">
        <w:rPr>
          <w:lang w:val="ru-RU"/>
        </w:rPr>
        <w:t>1.4</w:t>
      </w:r>
      <w:r w:rsidRPr="00C37AC5">
        <w:rPr>
          <w:lang w:val="ru-RU"/>
        </w:rPr>
        <w:tab/>
        <w:t xml:space="preserve">Совет </w:t>
      </w:r>
      <w:r w:rsidRPr="00C37AC5">
        <w:rPr>
          <w:b/>
          <w:bCs/>
          <w:lang w:val="ru-RU"/>
        </w:rPr>
        <w:t>принимает к сведению</w:t>
      </w:r>
      <w:r w:rsidRPr="00C37AC5">
        <w:rPr>
          <w:lang w:val="ru-RU"/>
        </w:rPr>
        <w:t xml:space="preserve"> отчет, содержащийся в Документе C25/31.</w:t>
      </w:r>
    </w:p>
    <w:p w14:paraId="7385EB75" w14:textId="405B1A8A" w:rsidR="00D67E3C" w:rsidRPr="00C37AC5" w:rsidRDefault="00D67E3C" w:rsidP="00C37AC5">
      <w:pPr>
        <w:pStyle w:val="Heading1"/>
        <w:rPr>
          <w:lang w:val="ru-RU"/>
        </w:rPr>
      </w:pPr>
      <w:r w:rsidRPr="00C37AC5">
        <w:rPr>
          <w:bCs/>
          <w:lang w:val="ru-RU"/>
        </w:rPr>
        <w:t>2</w:t>
      </w:r>
      <w:r w:rsidRPr="00C37AC5">
        <w:rPr>
          <w:lang w:val="ru-RU"/>
        </w:rPr>
        <w:tab/>
        <w:t xml:space="preserve">Руководящие указания по согласованию Резолюций и Решений Полномочной конференции (Документы </w:t>
      </w:r>
      <w:hyperlink r:id="rId16" w:history="1">
        <w:proofErr w:type="spellStart"/>
        <w:r w:rsidR="00831EBC" w:rsidRPr="00C37AC5">
          <w:rPr>
            <w:rStyle w:val="Hyperlink"/>
            <w:lang w:val="ru-RU"/>
          </w:rPr>
          <w:t>C25</w:t>
        </w:r>
        <w:proofErr w:type="spellEnd"/>
        <w:r w:rsidR="00831EBC" w:rsidRPr="00C37AC5">
          <w:rPr>
            <w:rStyle w:val="Hyperlink"/>
            <w:lang w:val="ru-RU"/>
          </w:rPr>
          <w:t>/29</w:t>
        </w:r>
      </w:hyperlink>
      <w:r w:rsidR="00831EBC" w:rsidRPr="00C37AC5">
        <w:rPr>
          <w:lang w:val="ru-RU"/>
        </w:rPr>
        <w:t xml:space="preserve">, </w:t>
      </w:r>
      <w:hyperlink r:id="rId17" w:history="1">
        <w:proofErr w:type="spellStart"/>
        <w:r w:rsidR="00831EBC" w:rsidRPr="00C37AC5">
          <w:rPr>
            <w:rStyle w:val="Hyperlink"/>
            <w:lang w:val="ru-RU"/>
          </w:rPr>
          <w:t>C25</w:t>
        </w:r>
        <w:proofErr w:type="spellEnd"/>
        <w:r w:rsidR="00831EBC" w:rsidRPr="00C37AC5">
          <w:rPr>
            <w:rStyle w:val="Hyperlink"/>
            <w:lang w:val="ru-RU"/>
          </w:rPr>
          <w:t>/79</w:t>
        </w:r>
      </w:hyperlink>
      <w:r w:rsidR="00831EBC" w:rsidRPr="00C37AC5">
        <w:rPr>
          <w:lang w:val="ru-RU"/>
        </w:rPr>
        <w:t xml:space="preserve">, </w:t>
      </w:r>
      <w:hyperlink r:id="rId18" w:history="1">
        <w:proofErr w:type="spellStart"/>
        <w:r w:rsidR="00831EBC" w:rsidRPr="00C37AC5">
          <w:rPr>
            <w:rStyle w:val="Hyperlink"/>
            <w:lang w:val="ru-RU"/>
          </w:rPr>
          <w:t>C25</w:t>
        </w:r>
        <w:proofErr w:type="spellEnd"/>
        <w:r w:rsidR="00831EBC" w:rsidRPr="00C37AC5">
          <w:rPr>
            <w:rStyle w:val="Hyperlink"/>
            <w:lang w:val="ru-RU"/>
          </w:rPr>
          <w:t>/91</w:t>
        </w:r>
      </w:hyperlink>
      <w:r w:rsidRPr="00C37AC5">
        <w:rPr>
          <w:lang w:val="ru-RU"/>
        </w:rPr>
        <w:t>)</w:t>
      </w:r>
      <w:hyperlink r:id="rId19" w:history="1"/>
      <w:hyperlink r:id="rId20" w:history="1"/>
      <w:hyperlink r:id="rId21" w:history="1"/>
    </w:p>
    <w:p w14:paraId="73A6DD23" w14:textId="1528F85B" w:rsidR="00D67E3C" w:rsidRPr="00B87E1C" w:rsidRDefault="00D67E3C" w:rsidP="00563B45">
      <w:pPr>
        <w:jc w:val="both"/>
        <w:rPr>
          <w:rFonts w:cs="Calibri"/>
          <w:lang w:val="ru-RU"/>
        </w:rPr>
      </w:pPr>
      <w:r w:rsidRPr="00C37AC5">
        <w:rPr>
          <w:lang w:val="ru-RU"/>
        </w:rPr>
        <w:t>2.1</w:t>
      </w:r>
      <w:r w:rsidRPr="00C37AC5">
        <w:rPr>
          <w:lang w:val="ru-RU"/>
        </w:rPr>
        <w:tab/>
        <w:t xml:space="preserve">Представитель Генерального секретариата представляет Документ C25/29, содержащий предлагаемые не имеющие обязательной силы руководящие указания по согласованию </w:t>
      </w:r>
      <w:r w:rsidR="00A05D68" w:rsidRPr="00C37AC5">
        <w:rPr>
          <w:lang w:val="ru-RU"/>
        </w:rPr>
        <w:t>Р</w:t>
      </w:r>
      <w:r w:rsidRPr="00C37AC5">
        <w:rPr>
          <w:lang w:val="ru-RU"/>
        </w:rPr>
        <w:t xml:space="preserve">езолюций и </w:t>
      </w:r>
      <w:r w:rsidR="00A05D68" w:rsidRPr="00C37AC5">
        <w:rPr>
          <w:lang w:val="ru-RU"/>
        </w:rPr>
        <w:t>Р</w:t>
      </w:r>
      <w:r w:rsidRPr="00C37AC5">
        <w:rPr>
          <w:lang w:val="ru-RU"/>
        </w:rPr>
        <w:t>ешений ПК, согласованные РГС-</w:t>
      </w:r>
      <w:proofErr w:type="spellStart"/>
      <w:r w:rsidRPr="00C37AC5">
        <w:rPr>
          <w:lang w:val="ru-RU"/>
        </w:rPr>
        <w:t>СФП</w:t>
      </w:r>
      <w:proofErr w:type="spellEnd"/>
      <w:r w:rsidRPr="00C37AC5">
        <w:rPr>
          <w:lang w:val="ru-RU"/>
        </w:rPr>
        <w:t>.</w:t>
      </w:r>
    </w:p>
    <w:p w14:paraId="637E8EA9" w14:textId="7CCB5C20" w:rsidR="00D67E3C" w:rsidRPr="00B87E1C" w:rsidRDefault="00D67E3C" w:rsidP="00563B45">
      <w:pPr>
        <w:jc w:val="both"/>
        <w:rPr>
          <w:lang w:val="ru-RU"/>
        </w:rPr>
      </w:pPr>
      <w:r w:rsidRPr="00C37AC5">
        <w:rPr>
          <w:lang w:val="ru-RU"/>
        </w:rPr>
        <w:t>2.2</w:t>
      </w:r>
      <w:r w:rsidRPr="00C37AC5">
        <w:rPr>
          <w:lang w:val="ru-RU"/>
        </w:rPr>
        <w:tab/>
        <w:t xml:space="preserve">Советник от Саудовской Аравии </w:t>
      </w:r>
      <w:r w:rsidR="00A05D68" w:rsidRPr="00C37AC5">
        <w:rPr>
          <w:lang w:val="ru-RU"/>
        </w:rPr>
        <w:t>представляет</w:t>
      </w:r>
      <w:r w:rsidRPr="00C37AC5">
        <w:rPr>
          <w:lang w:val="ru-RU"/>
        </w:rPr>
        <w:t xml:space="preserve"> вклад группы стран, содержащийся в Документе C25/91, от имени шести стран. В нем содержится дополнительный вклад в руководящие указания, при этом подчеркивается, что любые усилия по упорядочению существующих Резолюций следует предпринимать с осторожностью. </w:t>
      </w:r>
      <w:r w:rsidR="00A05D68" w:rsidRPr="00C37AC5">
        <w:rPr>
          <w:lang w:val="ru-RU"/>
        </w:rPr>
        <w:t>Предлагается</w:t>
      </w:r>
      <w:r w:rsidRPr="00C37AC5">
        <w:rPr>
          <w:lang w:val="ru-RU"/>
        </w:rPr>
        <w:t>, чтобы РГС</w:t>
      </w:r>
      <w:r w:rsidR="004E3595">
        <w:rPr>
          <w:lang w:val="ru-RU"/>
        </w:rPr>
        <w:noBreakHyphen/>
      </w:r>
      <w:r w:rsidRPr="00C37AC5">
        <w:rPr>
          <w:lang w:val="ru-RU"/>
        </w:rPr>
        <w:t>СФП дополнительно рассмотрела эти руководящие указания в свете данного вклада.</w:t>
      </w:r>
    </w:p>
    <w:p w14:paraId="0933C87B" w14:textId="435FB0EC" w:rsidR="00D67E3C" w:rsidRPr="00B87E1C" w:rsidRDefault="00D67E3C" w:rsidP="00563B45">
      <w:pPr>
        <w:jc w:val="both"/>
        <w:rPr>
          <w:lang w:val="ru-RU"/>
        </w:rPr>
      </w:pPr>
      <w:r w:rsidRPr="00C37AC5">
        <w:rPr>
          <w:lang w:val="ru-RU"/>
        </w:rPr>
        <w:lastRenderedPageBreak/>
        <w:t>2.3</w:t>
      </w:r>
      <w:r w:rsidRPr="00C37AC5">
        <w:rPr>
          <w:lang w:val="ru-RU"/>
        </w:rPr>
        <w:tab/>
        <w:t xml:space="preserve">Наблюдатель от Российской Федерации представляет Документ C25/79, в котором предлагаются дальнейшие меры по упорядочению Резолюций и Решений ПК и Секторов. </w:t>
      </w:r>
      <w:r w:rsidR="00A05D68" w:rsidRPr="00C37AC5">
        <w:rPr>
          <w:lang w:val="ru-RU"/>
        </w:rPr>
        <w:t>Можно было бы опробовать на ограниченном числе Резолюций о</w:t>
      </w:r>
      <w:r w:rsidRPr="00C37AC5">
        <w:rPr>
          <w:lang w:val="ru-RU"/>
        </w:rPr>
        <w:t xml:space="preserve">дин из подходов, который заключается в увеличении объема содержания итоговых документов ПК, </w:t>
      </w:r>
      <w:r w:rsidR="00A05D68" w:rsidRPr="00C37AC5">
        <w:rPr>
          <w:lang w:val="ru-RU"/>
        </w:rPr>
        <w:t>относящегося непосредственно</w:t>
      </w:r>
      <w:r w:rsidRPr="00C37AC5">
        <w:rPr>
          <w:lang w:val="ru-RU"/>
        </w:rPr>
        <w:t xml:space="preserve"> к Секторам, с тем чтобы устранить необходимость в аналогичных итоговых документах Секторов. Создание МСКГ Группы Докладчика могло бы помочь в координации подготовки к ПК-26 </w:t>
      </w:r>
      <w:r w:rsidR="00A05D68" w:rsidRPr="00C37AC5">
        <w:rPr>
          <w:lang w:val="ru-RU"/>
        </w:rPr>
        <w:t>в</w:t>
      </w:r>
      <w:r w:rsidRPr="00C37AC5">
        <w:rPr>
          <w:lang w:val="ru-RU"/>
        </w:rPr>
        <w:t xml:space="preserve"> Секторах.</w:t>
      </w:r>
    </w:p>
    <w:p w14:paraId="229EDD6B" w14:textId="1375FD24" w:rsidR="00D67E3C" w:rsidRPr="006C4E5D" w:rsidRDefault="00D67E3C" w:rsidP="00563B45">
      <w:pPr>
        <w:jc w:val="both"/>
        <w:rPr>
          <w:lang w:val="ru-RU"/>
        </w:rPr>
      </w:pPr>
      <w:r w:rsidRPr="00C37AC5">
        <w:rPr>
          <w:lang w:val="ru-RU"/>
        </w:rPr>
        <w:t>2.4</w:t>
      </w:r>
      <w:r w:rsidRPr="00C37AC5">
        <w:rPr>
          <w:lang w:val="ru-RU"/>
        </w:rPr>
        <w:tab/>
        <w:t xml:space="preserve">Советник от Италии говорит, что МСКГ согласилась с этим принципом и уже назначила докладчика для изучения этого вопроса и представления отчета </w:t>
      </w:r>
      <w:r w:rsidR="006C4E5D">
        <w:rPr>
          <w:lang w:val="ru-RU"/>
        </w:rPr>
        <w:t>г</w:t>
      </w:r>
      <w:r w:rsidRPr="00C37AC5">
        <w:rPr>
          <w:lang w:val="ru-RU"/>
        </w:rPr>
        <w:t>руппе. Кроме того, он подчеркивает, что на веб-сайте МСКГ содержится таблица сопоставления Резолюций и таблица</w:t>
      </w:r>
      <w:r w:rsidR="002C7C75" w:rsidRPr="00C37AC5">
        <w:rPr>
          <w:lang w:val="ru-RU"/>
        </w:rPr>
        <w:t xml:space="preserve">, отражающая взаимосвязь </w:t>
      </w:r>
      <w:r w:rsidRPr="00C37AC5">
        <w:rPr>
          <w:lang w:val="ru-RU"/>
        </w:rPr>
        <w:t xml:space="preserve">Резолюций различных Секторов. Советник также отмечает, что МСКГ одобрила предложения, содержащиеся в Документе C25/91, которые уже были представлены </w:t>
      </w:r>
      <w:r w:rsidR="006C4E5D">
        <w:rPr>
          <w:lang w:val="ru-RU"/>
        </w:rPr>
        <w:t>г</w:t>
      </w:r>
      <w:r w:rsidRPr="00C37AC5">
        <w:rPr>
          <w:lang w:val="ru-RU"/>
        </w:rPr>
        <w:t>руппе.</w:t>
      </w:r>
    </w:p>
    <w:p w14:paraId="43A11754" w14:textId="491319A3" w:rsidR="00D67E3C" w:rsidRPr="00B87E1C" w:rsidRDefault="00D67E3C" w:rsidP="00563B45">
      <w:pPr>
        <w:jc w:val="both"/>
        <w:rPr>
          <w:lang w:val="ru-RU"/>
        </w:rPr>
      </w:pPr>
      <w:r w:rsidRPr="00C37AC5">
        <w:rPr>
          <w:lang w:val="ru-RU"/>
        </w:rPr>
        <w:t>2.5</w:t>
      </w:r>
      <w:r w:rsidRPr="00C37AC5">
        <w:rPr>
          <w:lang w:val="ru-RU"/>
        </w:rPr>
        <w:tab/>
        <w:t xml:space="preserve">Советники и наблюдатели приветствуют руководящие указания, </w:t>
      </w:r>
      <w:proofErr w:type="gramStart"/>
      <w:r w:rsidRPr="00C37AC5">
        <w:rPr>
          <w:lang w:val="ru-RU"/>
        </w:rPr>
        <w:t>при условии что</w:t>
      </w:r>
      <w:proofErr w:type="gramEnd"/>
      <w:r w:rsidRPr="00C37AC5">
        <w:rPr>
          <w:lang w:val="ru-RU"/>
        </w:rPr>
        <w:t xml:space="preserve"> они не будут иметь обязательно</w:t>
      </w:r>
      <w:r w:rsidR="00894264" w:rsidRPr="00C37AC5">
        <w:rPr>
          <w:lang w:val="ru-RU"/>
        </w:rPr>
        <w:t xml:space="preserve">й силы </w:t>
      </w:r>
      <w:r w:rsidRPr="00C37AC5">
        <w:rPr>
          <w:lang w:val="ru-RU"/>
        </w:rPr>
        <w:t xml:space="preserve">и не будут ограничивать возможности Государств-Членов предлагать поправки или новые </w:t>
      </w:r>
      <w:r w:rsidR="002C7C75" w:rsidRPr="00C37AC5">
        <w:rPr>
          <w:lang w:val="ru-RU"/>
        </w:rPr>
        <w:t>Р</w:t>
      </w:r>
      <w:r w:rsidRPr="00C37AC5">
        <w:rPr>
          <w:lang w:val="ru-RU"/>
        </w:rPr>
        <w:t xml:space="preserve">езолюции или </w:t>
      </w:r>
      <w:r w:rsidR="002C7C75" w:rsidRPr="00C37AC5">
        <w:rPr>
          <w:lang w:val="ru-RU"/>
        </w:rPr>
        <w:t>Р</w:t>
      </w:r>
      <w:r w:rsidRPr="00C37AC5">
        <w:rPr>
          <w:lang w:val="ru-RU"/>
        </w:rPr>
        <w:t xml:space="preserve">ешения. Усилия по согласованию и сокращению Резолюций носят </w:t>
      </w:r>
      <w:r w:rsidR="002C7C75" w:rsidRPr="00C37AC5">
        <w:rPr>
          <w:lang w:val="ru-RU"/>
        </w:rPr>
        <w:t>положительный</w:t>
      </w:r>
      <w:r w:rsidRPr="00C37AC5">
        <w:rPr>
          <w:lang w:val="ru-RU"/>
        </w:rPr>
        <w:t xml:space="preserve"> характер, но для этого не подходит общий шаблон; первостепенное внимание следует уделять содержанию и контексту. Несколько </w:t>
      </w:r>
      <w:r w:rsidR="007F1A8A" w:rsidRPr="00C37AC5">
        <w:rPr>
          <w:lang w:val="ru-RU"/>
        </w:rPr>
        <w:t>С</w:t>
      </w:r>
      <w:r w:rsidRPr="00C37AC5">
        <w:rPr>
          <w:lang w:val="ru-RU"/>
        </w:rPr>
        <w:t>оветников соглашаются с тем, что Резолюции не следует исключать только по причине непредставления актуальной отчетности или отсутствия пересмотров. Один из наблюдателей предлагает представлять руководящие указания на региональных вебинарах.</w:t>
      </w:r>
    </w:p>
    <w:p w14:paraId="1608D9F8" w14:textId="681810E8" w:rsidR="00D67E3C" w:rsidRPr="00C37AC5" w:rsidRDefault="00D67E3C" w:rsidP="00563B45">
      <w:pPr>
        <w:jc w:val="both"/>
        <w:rPr>
          <w:lang w:val="ru-RU"/>
        </w:rPr>
      </w:pPr>
      <w:r w:rsidRPr="00C37AC5">
        <w:rPr>
          <w:lang w:val="ru-RU"/>
        </w:rPr>
        <w:t>2.6</w:t>
      </w:r>
      <w:r w:rsidRPr="00C37AC5">
        <w:rPr>
          <w:lang w:val="ru-RU"/>
        </w:rPr>
        <w:tab/>
        <w:t xml:space="preserve">Советники также приветствуют вклад, содержащийся в Документе C25/79, и подчеркивают важность межсекторального сотрудничества для повышения согласованности </w:t>
      </w:r>
      <w:r w:rsidR="007F1A8A" w:rsidRPr="00C37AC5">
        <w:rPr>
          <w:lang w:val="ru-RU"/>
        </w:rPr>
        <w:t>Р</w:t>
      </w:r>
      <w:r w:rsidRPr="00C37AC5">
        <w:rPr>
          <w:lang w:val="ru-RU"/>
        </w:rPr>
        <w:t xml:space="preserve">езолюций. Также могло бы помочь </w:t>
      </w:r>
      <w:r w:rsidR="001F23D7" w:rsidRPr="00C37AC5">
        <w:rPr>
          <w:lang w:val="ru-RU"/>
        </w:rPr>
        <w:t>более раннее вовлечение</w:t>
      </w:r>
      <w:r w:rsidRPr="00C37AC5">
        <w:rPr>
          <w:lang w:val="ru-RU"/>
        </w:rPr>
        <w:t xml:space="preserve"> региональных организаций электросвязи (РОЭ) </w:t>
      </w:r>
      <w:r w:rsidR="001F23D7" w:rsidRPr="00C37AC5">
        <w:rPr>
          <w:lang w:val="ru-RU"/>
        </w:rPr>
        <w:t>в</w:t>
      </w:r>
      <w:r w:rsidRPr="00C37AC5">
        <w:rPr>
          <w:lang w:val="ru-RU"/>
        </w:rPr>
        <w:t xml:space="preserve"> процесс подготовки к ВАСЭ</w:t>
      </w:r>
      <w:r w:rsidR="001F23D7" w:rsidRPr="00C37AC5">
        <w:rPr>
          <w:lang w:val="ru-RU"/>
        </w:rPr>
        <w:t xml:space="preserve">. </w:t>
      </w:r>
      <w:r w:rsidRPr="00C37AC5">
        <w:rPr>
          <w:lang w:val="ru-RU"/>
        </w:rPr>
        <w:t xml:space="preserve">Один из Советников просит </w:t>
      </w:r>
      <w:r w:rsidR="001F23D7" w:rsidRPr="00C37AC5">
        <w:rPr>
          <w:lang w:val="ru-RU"/>
        </w:rPr>
        <w:t>С</w:t>
      </w:r>
      <w:r w:rsidRPr="00C37AC5">
        <w:rPr>
          <w:lang w:val="ru-RU"/>
        </w:rPr>
        <w:t>екретариат составить список тематически связанных Резолюций для содействия в выявлении расхождений и дублирования.</w:t>
      </w:r>
    </w:p>
    <w:p w14:paraId="6C9EBA82" w14:textId="26301C3B" w:rsidR="00D67E3C" w:rsidRPr="00C37AC5" w:rsidRDefault="00D67E3C" w:rsidP="00563B45">
      <w:pPr>
        <w:jc w:val="both"/>
        <w:rPr>
          <w:lang w:val="ru-RU"/>
        </w:rPr>
      </w:pPr>
      <w:r w:rsidRPr="00C37AC5">
        <w:rPr>
          <w:lang w:val="ru-RU"/>
        </w:rPr>
        <w:t>2.7</w:t>
      </w:r>
      <w:r w:rsidRPr="00C37AC5">
        <w:rPr>
          <w:lang w:val="ru-RU"/>
        </w:rPr>
        <w:tab/>
        <w:t xml:space="preserve">Один из </w:t>
      </w:r>
      <w:r w:rsidR="001F23D7" w:rsidRPr="00C37AC5">
        <w:rPr>
          <w:lang w:val="ru-RU"/>
        </w:rPr>
        <w:t>С</w:t>
      </w:r>
      <w:r w:rsidRPr="00C37AC5">
        <w:rPr>
          <w:lang w:val="ru-RU"/>
        </w:rPr>
        <w:t xml:space="preserve">оветников подчеркивает, что для обеспечения эффективности руководящих указаний Государства-Члены должны взять на себя обязательство </w:t>
      </w:r>
      <w:r w:rsidR="007F2DAB" w:rsidRPr="00C37AC5">
        <w:rPr>
          <w:lang w:val="ru-RU"/>
        </w:rPr>
        <w:t xml:space="preserve">по </w:t>
      </w:r>
      <w:r w:rsidR="00894264" w:rsidRPr="00C37AC5">
        <w:rPr>
          <w:lang w:val="ru-RU"/>
        </w:rPr>
        <w:t>их возможно более строго</w:t>
      </w:r>
      <w:r w:rsidR="007F2DAB" w:rsidRPr="00C37AC5">
        <w:rPr>
          <w:lang w:val="ru-RU"/>
        </w:rPr>
        <w:t>му</w:t>
      </w:r>
      <w:r w:rsidR="00894264" w:rsidRPr="00C37AC5">
        <w:rPr>
          <w:lang w:val="ru-RU"/>
        </w:rPr>
        <w:t xml:space="preserve"> соблюдени</w:t>
      </w:r>
      <w:r w:rsidR="007F2DAB" w:rsidRPr="00C37AC5">
        <w:rPr>
          <w:lang w:val="ru-RU"/>
        </w:rPr>
        <w:t>ю</w:t>
      </w:r>
      <w:r w:rsidRPr="00C37AC5">
        <w:rPr>
          <w:lang w:val="ru-RU"/>
        </w:rPr>
        <w:t xml:space="preserve">. </w:t>
      </w:r>
      <w:r w:rsidR="001F23D7" w:rsidRPr="00C37AC5">
        <w:rPr>
          <w:lang w:val="ru-RU"/>
        </w:rPr>
        <w:t>Государствам-Членам</w:t>
      </w:r>
      <w:r w:rsidRPr="00C37AC5">
        <w:rPr>
          <w:lang w:val="ru-RU"/>
        </w:rPr>
        <w:t xml:space="preserve"> также следует тщательно рассмотреть финансовые последствия предложений для конференций МСЭ</w:t>
      </w:r>
      <w:r w:rsidR="001F23D7" w:rsidRPr="00C37AC5">
        <w:rPr>
          <w:lang w:val="ru-RU"/>
        </w:rPr>
        <w:t>.</w:t>
      </w:r>
    </w:p>
    <w:p w14:paraId="20660F01" w14:textId="3EB420F5" w:rsidR="00D67E3C" w:rsidRPr="00C37AC5" w:rsidRDefault="00D67E3C" w:rsidP="00563B45">
      <w:pPr>
        <w:jc w:val="both"/>
        <w:rPr>
          <w:lang w:val="ru-RU"/>
        </w:rPr>
      </w:pPr>
      <w:r w:rsidRPr="00C37AC5">
        <w:rPr>
          <w:lang w:val="ru-RU"/>
        </w:rPr>
        <w:t>2.8</w:t>
      </w:r>
      <w:r w:rsidRPr="00C37AC5">
        <w:rPr>
          <w:lang w:val="ru-RU"/>
        </w:rPr>
        <w:tab/>
        <w:t>Председатель предлагает Совету принять к сведению Документ C25/29, согласовать передачу Документов C25/79 и C25/91 РГС-СФП на рассмотрение и предложить МСКГ представить вклад РГС-СФП.</w:t>
      </w:r>
    </w:p>
    <w:p w14:paraId="065A63EC" w14:textId="77777777" w:rsidR="00D67E3C" w:rsidRPr="00C37AC5" w:rsidRDefault="00D67E3C" w:rsidP="00C37AC5">
      <w:pPr>
        <w:rPr>
          <w:lang w:val="ru-RU"/>
        </w:rPr>
      </w:pPr>
      <w:r w:rsidRPr="00C37AC5">
        <w:rPr>
          <w:lang w:val="ru-RU"/>
        </w:rPr>
        <w:t>2.9</w:t>
      </w:r>
      <w:r w:rsidRPr="00C37AC5">
        <w:rPr>
          <w:lang w:val="ru-RU"/>
        </w:rPr>
        <w:tab/>
        <w:t xml:space="preserve">Предложение </w:t>
      </w:r>
      <w:r w:rsidRPr="00C37AC5">
        <w:rPr>
          <w:b/>
          <w:bCs/>
          <w:lang w:val="ru-RU"/>
        </w:rPr>
        <w:t>принимается</w:t>
      </w:r>
      <w:r w:rsidRPr="00C37AC5">
        <w:rPr>
          <w:lang w:val="ru-RU"/>
        </w:rPr>
        <w:t>.</w:t>
      </w:r>
    </w:p>
    <w:p w14:paraId="54B7FDF2" w14:textId="4625B78E" w:rsidR="00D67E3C" w:rsidRPr="00C37AC5" w:rsidRDefault="00D67E3C" w:rsidP="00C37AC5">
      <w:pPr>
        <w:pStyle w:val="Heading1"/>
        <w:rPr>
          <w:lang w:val="ru-RU"/>
        </w:rPr>
      </w:pPr>
      <w:r w:rsidRPr="00C37AC5">
        <w:rPr>
          <w:bCs/>
          <w:lang w:val="ru-RU"/>
        </w:rPr>
        <w:t>3</w:t>
      </w:r>
      <w:r w:rsidRPr="00C37AC5">
        <w:rPr>
          <w:lang w:val="ru-RU"/>
        </w:rPr>
        <w:tab/>
        <w:t xml:space="preserve">Подготовка к Всемирному форуму по политике в области электросвязи/ИКТ 2026 года (Документ </w:t>
      </w:r>
      <w:hyperlink r:id="rId22" w:history="1">
        <w:proofErr w:type="spellStart"/>
        <w:r w:rsidRPr="00C37AC5">
          <w:rPr>
            <w:rStyle w:val="Hyperlink"/>
            <w:lang w:val="ru-RU"/>
          </w:rPr>
          <w:t>C25</w:t>
        </w:r>
        <w:proofErr w:type="spellEnd"/>
        <w:r w:rsidRPr="00C37AC5">
          <w:rPr>
            <w:rStyle w:val="Hyperlink"/>
            <w:lang w:val="ru-RU"/>
          </w:rPr>
          <w:t>/5(</w:t>
        </w:r>
        <w:proofErr w:type="spellStart"/>
        <w:r w:rsidRPr="00C37AC5">
          <w:rPr>
            <w:rStyle w:val="Hyperlink"/>
            <w:lang w:val="ru-RU"/>
          </w:rPr>
          <w:t>Rev.1</w:t>
        </w:r>
        <w:proofErr w:type="spellEnd"/>
        <w:r w:rsidRPr="00C37AC5">
          <w:rPr>
            <w:rStyle w:val="Hyperlink"/>
            <w:lang w:val="ru-RU"/>
          </w:rPr>
          <w:t>) и Дополнительный документ</w:t>
        </w:r>
        <w:r w:rsidR="00C37AC5" w:rsidRPr="00C37AC5">
          <w:rPr>
            <w:rStyle w:val="Hyperlink"/>
            <w:lang w:val="ru-RU"/>
          </w:rPr>
          <w:t> </w:t>
        </w:r>
        <w:r w:rsidRPr="00C37AC5">
          <w:rPr>
            <w:rStyle w:val="Hyperlink"/>
            <w:lang w:val="ru-RU"/>
          </w:rPr>
          <w:t>1</w:t>
        </w:r>
      </w:hyperlink>
      <w:r w:rsidRPr="00C37AC5">
        <w:rPr>
          <w:lang w:val="ru-RU"/>
        </w:rPr>
        <w:t>)</w:t>
      </w:r>
      <w:hyperlink r:id="rId23" w:history="1"/>
    </w:p>
    <w:p w14:paraId="31960302" w14:textId="79749B9D" w:rsidR="00D67E3C" w:rsidRPr="00C37AC5" w:rsidRDefault="00D67E3C" w:rsidP="00563B45">
      <w:pPr>
        <w:jc w:val="both"/>
        <w:rPr>
          <w:lang w:val="ru-RU"/>
        </w:rPr>
      </w:pPr>
      <w:r w:rsidRPr="00C37AC5">
        <w:rPr>
          <w:lang w:val="ru-RU"/>
        </w:rPr>
        <w:t>3.1</w:t>
      </w:r>
      <w:r w:rsidRPr="00C37AC5">
        <w:rPr>
          <w:lang w:val="ru-RU"/>
        </w:rPr>
        <w:tab/>
        <w:t>Представитель Генерального секретариата представляет Документ C25/5(Rev.1) и Дополнительный документ 1, в которых описывается ход работы и пересмотренный график процесса подготовки к Всемирному форуму по политике в области электросвязи/информационно-коммуникационных технологий (ИКТ) 2026 года (ВФПЭ-26)</w:t>
      </w:r>
      <w:r w:rsidR="00D964FA" w:rsidRPr="00C37AC5">
        <w:rPr>
          <w:lang w:val="ru-RU"/>
        </w:rPr>
        <w:t>, а</w:t>
      </w:r>
      <w:r w:rsidRPr="00C37AC5">
        <w:rPr>
          <w:lang w:val="ru-RU"/>
        </w:rPr>
        <w:t xml:space="preserve"> в Приложении содержится проект решения о созыве ВФПЭ-26. В Дополнительном документе</w:t>
      </w:r>
      <w:r w:rsidR="004E3595">
        <w:rPr>
          <w:lang w:val="ru-RU"/>
        </w:rPr>
        <w:t> </w:t>
      </w:r>
      <w:r w:rsidRPr="00C37AC5">
        <w:rPr>
          <w:lang w:val="ru-RU"/>
        </w:rPr>
        <w:t>1 к</w:t>
      </w:r>
      <w:r w:rsidR="004E3595">
        <w:rPr>
          <w:lang w:val="ru-RU"/>
        </w:rPr>
        <w:t> </w:t>
      </w:r>
      <w:r w:rsidRPr="00C37AC5">
        <w:rPr>
          <w:lang w:val="ru-RU"/>
        </w:rPr>
        <w:t>отчету содержится предложение Багамских Островов принять у себя ВФПЭ-26.</w:t>
      </w:r>
    </w:p>
    <w:p w14:paraId="62FE3240" w14:textId="342ABF10" w:rsidR="00D67E3C" w:rsidRPr="00C37AC5" w:rsidRDefault="00D67E3C" w:rsidP="00563B45">
      <w:pPr>
        <w:jc w:val="both"/>
        <w:rPr>
          <w:lang w:val="ru-RU"/>
        </w:rPr>
      </w:pPr>
      <w:r w:rsidRPr="00C37AC5">
        <w:rPr>
          <w:lang w:val="ru-RU"/>
        </w:rPr>
        <w:t>3.2</w:t>
      </w:r>
      <w:r w:rsidRPr="00C37AC5">
        <w:rPr>
          <w:lang w:val="ru-RU"/>
        </w:rPr>
        <w:tab/>
        <w:t xml:space="preserve">Председатель </w:t>
      </w:r>
      <w:r w:rsidR="00D964FA" w:rsidRPr="00C37AC5">
        <w:rPr>
          <w:lang w:val="ru-RU"/>
        </w:rPr>
        <w:t>н</w:t>
      </w:r>
      <w:r w:rsidRPr="00C37AC5">
        <w:rPr>
          <w:lang w:val="ru-RU"/>
        </w:rPr>
        <w:t>еофициальной группы экспертов (НГЭ) сообщает, что с марта 2025</w:t>
      </w:r>
      <w:r w:rsidR="004E3595">
        <w:rPr>
          <w:lang w:val="ru-RU"/>
        </w:rPr>
        <w:t> </w:t>
      </w:r>
      <w:r w:rsidRPr="00C37AC5">
        <w:rPr>
          <w:lang w:val="ru-RU"/>
        </w:rPr>
        <w:t xml:space="preserve">года виртуальные рабочие группы </w:t>
      </w:r>
      <w:r w:rsidR="00D964FA" w:rsidRPr="00C37AC5">
        <w:rPr>
          <w:lang w:val="ru-RU"/>
        </w:rPr>
        <w:t>провели</w:t>
      </w:r>
      <w:r w:rsidRPr="00C37AC5">
        <w:rPr>
          <w:lang w:val="ru-RU"/>
        </w:rPr>
        <w:t xml:space="preserve"> собрания по пяти тематическим областям ВФПЭ-26, </w:t>
      </w:r>
      <w:r w:rsidRPr="00C37AC5">
        <w:rPr>
          <w:lang w:val="ru-RU"/>
        </w:rPr>
        <w:lastRenderedPageBreak/>
        <w:t xml:space="preserve">работая над проектами базовых текстов для </w:t>
      </w:r>
      <w:r w:rsidR="00894264" w:rsidRPr="00C37AC5">
        <w:rPr>
          <w:lang w:val="ru-RU"/>
        </w:rPr>
        <w:t xml:space="preserve">мнений </w:t>
      </w:r>
      <w:r w:rsidRPr="00C37AC5">
        <w:rPr>
          <w:lang w:val="ru-RU"/>
        </w:rPr>
        <w:t xml:space="preserve">ВФПЭ-26, основанных на принципе консенсуса, и был подготовлен третий проект отчета Генерального секретаря для ВФПЭ-26. </w:t>
      </w:r>
      <w:r w:rsidR="00D964FA" w:rsidRPr="00C37AC5">
        <w:rPr>
          <w:lang w:val="ru-RU"/>
        </w:rPr>
        <w:t>Б</w:t>
      </w:r>
      <w:r w:rsidRPr="00C37AC5">
        <w:rPr>
          <w:lang w:val="ru-RU"/>
        </w:rPr>
        <w:t xml:space="preserve">ыло предложено представить замечания по базовому тексту </w:t>
      </w:r>
      <w:r w:rsidR="00D964FA" w:rsidRPr="00C37AC5">
        <w:rPr>
          <w:lang w:val="ru-RU"/>
        </w:rPr>
        <w:t xml:space="preserve">к 7 августа 2025 года </w:t>
      </w:r>
      <w:r w:rsidRPr="00C37AC5">
        <w:rPr>
          <w:lang w:val="ru-RU"/>
        </w:rPr>
        <w:t>для рассмотрения на следующем собрании НГЭ в сентябре 2025 года.</w:t>
      </w:r>
    </w:p>
    <w:p w14:paraId="4CDAA8E0" w14:textId="66F08EDF" w:rsidR="00D67E3C" w:rsidRPr="00C37AC5" w:rsidRDefault="00D67E3C" w:rsidP="00563B45">
      <w:pPr>
        <w:jc w:val="both"/>
        <w:rPr>
          <w:lang w:val="ru-RU"/>
        </w:rPr>
      </w:pPr>
      <w:r w:rsidRPr="00C37AC5">
        <w:rPr>
          <w:lang w:val="ru-RU"/>
        </w:rPr>
        <w:t>3.3</w:t>
      </w:r>
      <w:r w:rsidRPr="00C37AC5">
        <w:rPr>
          <w:lang w:val="ru-RU"/>
        </w:rPr>
        <w:tab/>
        <w:t xml:space="preserve">Советник от Багамских Островов говорит, что имеет честь передать от имени правительства своей страны официальное приглашение </w:t>
      </w:r>
      <w:r w:rsidR="00D964FA" w:rsidRPr="00C37AC5">
        <w:rPr>
          <w:lang w:val="ru-RU"/>
        </w:rPr>
        <w:t>принять</w:t>
      </w:r>
      <w:r w:rsidRPr="00C37AC5">
        <w:rPr>
          <w:lang w:val="ru-RU"/>
        </w:rPr>
        <w:t xml:space="preserve"> ВФПЭ-26. Как малое островное развивающееся государство, Багамские Острова представили уникальный взгляд на темы ВФП</w:t>
      </w:r>
      <w:r w:rsidR="00D964FA" w:rsidRPr="00C37AC5">
        <w:rPr>
          <w:lang w:val="ru-RU"/>
        </w:rPr>
        <w:t>Э</w:t>
      </w:r>
      <w:r w:rsidRPr="00C37AC5">
        <w:rPr>
          <w:lang w:val="ru-RU"/>
        </w:rPr>
        <w:t xml:space="preserve">-26, в частности на устойчивую цифровую инфраструктуру, космическую связь и открытую для всех цифровую трансформацию. Багамские Острова предприняли целенаправленные политические шаги в поддержку универсального доступа, готовности </w:t>
      </w:r>
      <w:r w:rsidR="007C62D7" w:rsidRPr="00C37AC5">
        <w:rPr>
          <w:lang w:val="ru-RU"/>
        </w:rPr>
        <w:t xml:space="preserve">к использованию </w:t>
      </w:r>
      <w:r w:rsidRPr="00C37AC5">
        <w:rPr>
          <w:lang w:val="ru-RU"/>
        </w:rPr>
        <w:t>спутников</w:t>
      </w:r>
      <w:r w:rsidR="007C62D7" w:rsidRPr="00C37AC5">
        <w:rPr>
          <w:lang w:val="ru-RU"/>
        </w:rPr>
        <w:t>ых технологий</w:t>
      </w:r>
      <w:r w:rsidRPr="00C37AC5">
        <w:rPr>
          <w:lang w:val="ru-RU"/>
        </w:rPr>
        <w:t>, кибербезопасности и "зелен</w:t>
      </w:r>
      <w:r w:rsidR="007C62D7" w:rsidRPr="00C37AC5">
        <w:rPr>
          <w:lang w:val="ru-RU"/>
        </w:rPr>
        <w:t>ой</w:t>
      </w:r>
      <w:r w:rsidRPr="00C37AC5">
        <w:rPr>
          <w:lang w:val="ru-RU"/>
        </w:rPr>
        <w:t xml:space="preserve">" </w:t>
      </w:r>
      <w:r w:rsidR="006215D3" w:rsidRPr="00C37AC5">
        <w:rPr>
          <w:lang w:val="ru-RU"/>
        </w:rPr>
        <w:t xml:space="preserve">цифровой </w:t>
      </w:r>
      <w:r w:rsidR="007C62D7" w:rsidRPr="00C37AC5">
        <w:rPr>
          <w:lang w:val="ru-RU"/>
        </w:rPr>
        <w:t>трансформации</w:t>
      </w:r>
      <w:r w:rsidRPr="00C37AC5">
        <w:rPr>
          <w:lang w:val="ru-RU"/>
        </w:rPr>
        <w:t>, что позволит обогатить и активизировать диалог на форуме. В рамках своего председательства в НГЭ Багамские Острова приняли участие в подготовительном процессе к</w:t>
      </w:r>
      <w:r w:rsidR="004E3595">
        <w:rPr>
          <w:lang w:val="ru-RU"/>
        </w:rPr>
        <w:t> </w:t>
      </w:r>
      <w:r w:rsidRPr="00C37AC5">
        <w:rPr>
          <w:lang w:val="ru-RU"/>
        </w:rPr>
        <w:t>ВФПЭ-26 и обеспечат успешное проведение открытого для всех ВФПЭ-26.</w:t>
      </w:r>
    </w:p>
    <w:p w14:paraId="7B8D7B3A" w14:textId="0168A92C" w:rsidR="00D67E3C" w:rsidRPr="00C37AC5" w:rsidRDefault="00D67E3C" w:rsidP="00563B45">
      <w:pPr>
        <w:jc w:val="both"/>
        <w:rPr>
          <w:lang w:val="ru-RU"/>
        </w:rPr>
      </w:pPr>
      <w:r w:rsidRPr="00C37AC5">
        <w:rPr>
          <w:lang w:val="ru-RU"/>
        </w:rPr>
        <w:t>3.4</w:t>
      </w:r>
      <w:r w:rsidRPr="00C37AC5">
        <w:rPr>
          <w:lang w:val="ru-RU"/>
        </w:rPr>
        <w:tab/>
        <w:t xml:space="preserve">Советники дают высокую оценку прекрасному руководству, </w:t>
      </w:r>
      <w:r w:rsidR="00B7642F" w:rsidRPr="00C37AC5">
        <w:rPr>
          <w:lang w:val="ru-RU"/>
        </w:rPr>
        <w:t>обеспеченному</w:t>
      </w:r>
      <w:r w:rsidRPr="00C37AC5">
        <w:rPr>
          <w:lang w:val="ru-RU"/>
        </w:rPr>
        <w:t xml:space="preserve"> Председателем НГЭ, и работе, проделанной в ходе подготовительного процесса, включая определение темы и пяти </w:t>
      </w:r>
      <w:r w:rsidR="00B7642F" w:rsidRPr="00C37AC5">
        <w:rPr>
          <w:lang w:val="ru-RU"/>
        </w:rPr>
        <w:t>тематических вопросов для</w:t>
      </w:r>
      <w:r w:rsidRPr="00C37AC5">
        <w:rPr>
          <w:lang w:val="ru-RU"/>
        </w:rPr>
        <w:t xml:space="preserve"> ВФПЭ-26. Они приветствуют предложение Багамских Островов </w:t>
      </w:r>
      <w:r w:rsidR="00B7642F" w:rsidRPr="00C37AC5">
        <w:rPr>
          <w:lang w:val="ru-RU"/>
        </w:rPr>
        <w:t>принять</w:t>
      </w:r>
      <w:r w:rsidRPr="00C37AC5">
        <w:rPr>
          <w:lang w:val="ru-RU"/>
        </w:rPr>
        <w:t xml:space="preserve"> ВФПЭ-26.</w:t>
      </w:r>
    </w:p>
    <w:p w14:paraId="7DBD68D0" w14:textId="7E4D9561" w:rsidR="00D67E3C" w:rsidRPr="00C37AC5" w:rsidRDefault="00D67E3C" w:rsidP="00563B45">
      <w:pPr>
        <w:jc w:val="both"/>
        <w:rPr>
          <w:lang w:val="ru-RU"/>
        </w:rPr>
      </w:pPr>
      <w:r w:rsidRPr="00C37AC5">
        <w:rPr>
          <w:lang w:val="ru-RU"/>
        </w:rPr>
        <w:t>3.5</w:t>
      </w:r>
      <w:r w:rsidRPr="00C37AC5">
        <w:rPr>
          <w:lang w:val="ru-RU"/>
        </w:rPr>
        <w:tab/>
        <w:t>Генеральный секретарь выражает признательность правительству Багамских Островов за его предложение принять у себя это мероприятие.</w:t>
      </w:r>
    </w:p>
    <w:p w14:paraId="666AE06E" w14:textId="129AFB23" w:rsidR="00D67E3C" w:rsidRPr="00C37AC5" w:rsidRDefault="00D67E3C" w:rsidP="00563B45">
      <w:pPr>
        <w:jc w:val="both"/>
        <w:rPr>
          <w:lang w:val="ru-RU"/>
        </w:rPr>
      </w:pPr>
      <w:r w:rsidRPr="00C37AC5">
        <w:rPr>
          <w:lang w:val="ru-RU"/>
        </w:rPr>
        <w:t>3.6</w:t>
      </w:r>
      <w:r w:rsidRPr="00C37AC5">
        <w:rPr>
          <w:lang w:val="ru-RU"/>
        </w:rPr>
        <w:tab/>
        <w:t>Председатель предлагает Совету принять к сведению подготовительный процесс к</w:t>
      </w:r>
      <w:r w:rsidR="004E3595">
        <w:rPr>
          <w:lang w:val="ru-RU"/>
        </w:rPr>
        <w:t> </w:t>
      </w:r>
      <w:r w:rsidRPr="00C37AC5">
        <w:rPr>
          <w:lang w:val="ru-RU"/>
        </w:rPr>
        <w:t>ВФПЭ-26 и утвердить проект решения, содержащийся в Документе C25/5(Rev.1).</w:t>
      </w:r>
    </w:p>
    <w:p w14:paraId="2D30D951" w14:textId="77777777" w:rsidR="00D67E3C" w:rsidRPr="00C37AC5" w:rsidRDefault="00D67E3C" w:rsidP="00563B45">
      <w:pPr>
        <w:jc w:val="both"/>
        <w:rPr>
          <w:lang w:val="ru-RU"/>
        </w:rPr>
      </w:pPr>
      <w:r w:rsidRPr="00C37AC5">
        <w:rPr>
          <w:lang w:val="ru-RU"/>
        </w:rPr>
        <w:t>3.7</w:t>
      </w:r>
      <w:r w:rsidRPr="00C37AC5">
        <w:rPr>
          <w:lang w:val="ru-RU"/>
        </w:rPr>
        <w:tab/>
        <w:t xml:space="preserve">Предложение </w:t>
      </w:r>
      <w:r w:rsidRPr="00C37AC5">
        <w:rPr>
          <w:b/>
          <w:bCs/>
          <w:lang w:val="ru-RU"/>
        </w:rPr>
        <w:t>принимается</w:t>
      </w:r>
      <w:r w:rsidRPr="00C37AC5">
        <w:rPr>
          <w:lang w:val="ru-RU"/>
        </w:rPr>
        <w:t>.</w:t>
      </w:r>
    </w:p>
    <w:p w14:paraId="460DCDD8" w14:textId="69A472C8" w:rsidR="00D67E3C" w:rsidRPr="00C37AC5" w:rsidRDefault="00D67E3C" w:rsidP="00C37AC5">
      <w:pPr>
        <w:pStyle w:val="Heading1"/>
        <w:rPr>
          <w:lang w:val="ru-RU"/>
        </w:rPr>
      </w:pPr>
      <w:r w:rsidRPr="00C37AC5">
        <w:rPr>
          <w:bCs/>
          <w:lang w:val="ru-RU"/>
        </w:rPr>
        <w:t>4</w:t>
      </w:r>
      <w:r w:rsidRPr="00C37AC5">
        <w:rPr>
          <w:lang w:val="ru-RU"/>
        </w:rPr>
        <w:tab/>
        <w:t xml:space="preserve">Обзор ВВУИО+20 − призыв МСЭ представлять вклады: краткий обзор полученных представлений (Документ </w:t>
      </w:r>
      <w:hyperlink r:id="rId24" w:history="1">
        <w:proofErr w:type="spellStart"/>
        <w:r w:rsidR="00831EBC" w:rsidRPr="00C37AC5">
          <w:rPr>
            <w:rStyle w:val="Hyperlink"/>
            <w:lang w:val="ru-RU"/>
          </w:rPr>
          <w:t>C25</w:t>
        </w:r>
        <w:proofErr w:type="spellEnd"/>
        <w:r w:rsidR="00831EBC" w:rsidRPr="00C37AC5">
          <w:rPr>
            <w:rStyle w:val="Hyperlink"/>
            <w:lang w:val="ru-RU"/>
          </w:rPr>
          <w:t>/53</w:t>
        </w:r>
      </w:hyperlink>
      <w:r w:rsidRPr="00C37AC5">
        <w:rPr>
          <w:lang w:val="ru-RU"/>
        </w:rPr>
        <w:t>)</w:t>
      </w:r>
      <w:hyperlink r:id="rId25" w:history="1"/>
    </w:p>
    <w:p w14:paraId="1A9EB402" w14:textId="437F8433" w:rsidR="00D67E3C" w:rsidRPr="00C37AC5" w:rsidRDefault="00D67E3C" w:rsidP="00563B45">
      <w:pPr>
        <w:jc w:val="both"/>
        <w:rPr>
          <w:lang w:val="ru-RU"/>
        </w:rPr>
      </w:pPr>
      <w:r w:rsidRPr="00C37AC5">
        <w:rPr>
          <w:lang w:val="ru-RU"/>
        </w:rPr>
        <w:t>4.1</w:t>
      </w:r>
      <w:r w:rsidRPr="00C37AC5">
        <w:rPr>
          <w:lang w:val="ru-RU"/>
        </w:rPr>
        <w:tab/>
        <w:t xml:space="preserve">Представитель Генерального секретариата представляет Документ C25/53, в котором содержится </w:t>
      </w:r>
      <w:r w:rsidR="00B7642F" w:rsidRPr="00C37AC5">
        <w:rPr>
          <w:lang w:val="ru-RU"/>
        </w:rPr>
        <w:t>краткий обзор</w:t>
      </w:r>
      <w:r w:rsidRPr="00C37AC5">
        <w:rPr>
          <w:lang w:val="ru-RU"/>
        </w:rPr>
        <w:t xml:space="preserve"> представлений, полученных в ответ на призыв МСЭ представить мнения о работе МСЭ в рамках Всемирной встречи на высшем уровне по вопросам информационного общества (ВВУИО)</w:t>
      </w:r>
      <w:r w:rsidR="00B7642F" w:rsidRPr="00C37AC5">
        <w:rPr>
          <w:lang w:val="ru-RU"/>
        </w:rPr>
        <w:t>:</w:t>
      </w:r>
      <w:r w:rsidRPr="00C37AC5">
        <w:rPr>
          <w:lang w:val="ru-RU"/>
        </w:rPr>
        <w:t xml:space="preserve"> 20-летний обзор (ВВУИО+20). В ответах </w:t>
      </w:r>
      <w:r w:rsidR="00421C6B" w:rsidRPr="00C37AC5">
        <w:rPr>
          <w:lang w:val="ru-RU"/>
        </w:rPr>
        <w:t>подчеркивается</w:t>
      </w:r>
      <w:r w:rsidRPr="00C37AC5">
        <w:rPr>
          <w:lang w:val="ru-RU"/>
        </w:rPr>
        <w:t>, что за прошедшие 20 лет в рамках процесса ВВУИО был достигнут значительный прогресс, обеспечено сокращение цифрового разрыва и содействие всеобъемлющей цифровой трансформации. МСЭ играет важную роль в процессе ВВУИО, выполняя множество функций. Документ C25/53 будет представлен на рассмотрение Генеральной Ассамблеи Организации Объединенных Наций (ГА ООН) в рамках обзора ВВУИО+20.</w:t>
      </w:r>
    </w:p>
    <w:p w14:paraId="556C70B7" w14:textId="272EA513" w:rsidR="00D67E3C" w:rsidRPr="00C37AC5" w:rsidRDefault="00D67E3C" w:rsidP="00563B45">
      <w:pPr>
        <w:jc w:val="both"/>
        <w:rPr>
          <w:lang w:val="ru-RU"/>
        </w:rPr>
      </w:pPr>
      <w:r w:rsidRPr="00C37AC5">
        <w:rPr>
          <w:lang w:val="ru-RU"/>
        </w:rPr>
        <w:t>4.2</w:t>
      </w:r>
      <w:r w:rsidRPr="00C37AC5">
        <w:rPr>
          <w:lang w:val="ru-RU"/>
        </w:rPr>
        <w:tab/>
        <w:t>Председатель Рабочей групп</w:t>
      </w:r>
      <w:r w:rsidR="00421C6B" w:rsidRPr="00C37AC5">
        <w:rPr>
          <w:lang w:val="ru-RU"/>
        </w:rPr>
        <w:t xml:space="preserve">ы </w:t>
      </w:r>
      <w:r w:rsidRPr="00C37AC5">
        <w:rPr>
          <w:lang w:val="ru-RU"/>
        </w:rPr>
        <w:t xml:space="preserve">Совета по ВВУИО и </w:t>
      </w:r>
      <w:r w:rsidR="00421C6B" w:rsidRPr="00C37AC5">
        <w:rPr>
          <w:lang w:val="ru-RU"/>
        </w:rPr>
        <w:t>ц</w:t>
      </w:r>
      <w:r w:rsidRPr="00C37AC5">
        <w:rPr>
          <w:lang w:val="ru-RU"/>
        </w:rPr>
        <w:t xml:space="preserve">елям в области устойчивого развития (РГС-ВВУИО&amp;ЦУР) говорит, что в кратком обзоре детально отражены точки зрения членов МСЭ и заинтересованных сторон, освещены </w:t>
      </w:r>
      <w:r w:rsidR="00421C6B" w:rsidRPr="00C37AC5">
        <w:rPr>
          <w:lang w:val="ru-RU"/>
        </w:rPr>
        <w:t xml:space="preserve">текущие </w:t>
      </w:r>
      <w:r w:rsidRPr="00C37AC5">
        <w:rPr>
          <w:lang w:val="ru-RU"/>
        </w:rPr>
        <w:t xml:space="preserve">достижения и проблемы и определены возможные пути </w:t>
      </w:r>
      <w:r w:rsidR="00421C6B" w:rsidRPr="00C37AC5">
        <w:rPr>
          <w:lang w:val="ru-RU"/>
        </w:rPr>
        <w:t>развития</w:t>
      </w:r>
      <w:r w:rsidRPr="00C37AC5">
        <w:rPr>
          <w:lang w:val="ru-RU"/>
        </w:rPr>
        <w:t xml:space="preserve"> ВВУИО и роль МСЭ в ней после 2025 года.</w:t>
      </w:r>
    </w:p>
    <w:p w14:paraId="3C2CFAF7" w14:textId="1C046DE2" w:rsidR="00D67E3C" w:rsidRPr="00C37AC5" w:rsidRDefault="00D67E3C" w:rsidP="00563B45">
      <w:pPr>
        <w:jc w:val="both"/>
        <w:rPr>
          <w:rFonts w:cs="Calibri"/>
          <w:szCs w:val="24"/>
          <w:lang w:val="ru-RU"/>
        </w:rPr>
      </w:pPr>
      <w:r w:rsidRPr="00C37AC5">
        <w:rPr>
          <w:lang w:val="ru-RU"/>
        </w:rPr>
        <w:t>4.3</w:t>
      </w:r>
      <w:r w:rsidRPr="00C37AC5">
        <w:rPr>
          <w:lang w:val="ru-RU"/>
        </w:rPr>
        <w:tab/>
        <w:t xml:space="preserve">Признавая, что ВВУИО является ключевой платформой для поддержки возможности установления соединений и охвата цифровыми технологиями, в частности в развивающихся странах, а также важную многогранную роль МСЭ в процессе ВВУИО, </w:t>
      </w:r>
      <w:r w:rsidR="00421C6B" w:rsidRPr="00C37AC5">
        <w:rPr>
          <w:lang w:val="ru-RU"/>
        </w:rPr>
        <w:t>С</w:t>
      </w:r>
      <w:r w:rsidRPr="00C37AC5">
        <w:rPr>
          <w:lang w:val="ru-RU"/>
        </w:rPr>
        <w:t xml:space="preserve">оветники выражают решительную поддержку представлению краткого обзора </w:t>
      </w:r>
      <w:r w:rsidR="00421C6B" w:rsidRPr="00C37AC5">
        <w:rPr>
          <w:lang w:val="ru-RU"/>
        </w:rPr>
        <w:t xml:space="preserve">в рамках </w:t>
      </w:r>
      <w:r w:rsidRPr="00C37AC5">
        <w:rPr>
          <w:lang w:val="ru-RU"/>
        </w:rPr>
        <w:t xml:space="preserve">ВВУИО+20 ГА ООН. Вместе с тем несколько </w:t>
      </w:r>
      <w:r w:rsidR="00421C6B" w:rsidRPr="00C37AC5">
        <w:rPr>
          <w:lang w:val="ru-RU"/>
        </w:rPr>
        <w:t>С</w:t>
      </w:r>
      <w:r w:rsidRPr="00C37AC5">
        <w:rPr>
          <w:lang w:val="ru-RU"/>
        </w:rPr>
        <w:t xml:space="preserve">оветников подчеркивают необходимость отразить в отчете все точки зрения, </w:t>
      </w:r>
      <w:r w:rsidR="00421C6B" w:rsidRPr="00C37AC5">
        <w:rPr>
          <w:lang w:val="ru-RU"/>
        </w:rPr>
        <w:t>что сложно обеспечить</w:t>
      </w:r>
      <w:r w:rsidRPr="00C37AC5">
        <w:rPr>
          <w:lang w:val="ru-RU"/>
        </w:rPr>
        <w:t xml:space="preserve"> в рамках такого краткого </w:t>
      </w:r>
      <w:r w:rsidR="00421C6B" w:rsidRPr="00C37AC5">
        <w:rPr>
          <w:lang w:val="ru-RU"/>
        </w:rPr>
        <w:t>обзора, учитывая количество вкладов,</w:t>
      </w:r>
      <w:r w:rsidRPr="00C37AC5">
        <w:rPr>
          <w:lang w:val="ru-RU"/>
        </w:rPr>
        <w:t xml:space="preserve"> поэтому </w:t>
      </w:r>
      <w:r w:rsidR="001D24B9" w:rsidRPr="00C37AC5">
        <w:rPr>
          <w:lang w:val="ru-RU"/>
        </w:rPr>
        <w:t>предлагается приложить</w:t>
      </w:r>
      <w:r w:rsidRPr="00C37AC5">
        <w:rPr>
          <w:lang w:val="ru-RU"/>
        </w:rPr>
        <w:t xml:space="preserve"> к нему все отдельные представления.</w:t>
      </w:r>
    </w:p>
    <w:p w14:paraId="24A4B172" w14:textId="0DFF63A5" w:rsidR="00D67E3C" w:rsidRPr="00C37AC5" w:rsidRDefault="00D67E3C" w:rsidP="00563B45">
      <w:pPr>
        <w:jc w:val="both"/>
        <w:rPr>
          <w:lang w:val="ru-RU"/>
        </w:rPr>
      </w:pPr>
      <w:r w:rsidRPr="00C37AC5">
        <w:rPr>
          <w:lang w:val="ru-RU"/>
        </w:rPr>
        <w:lastRenderedPageBreak/>
        <w:t>4.4</w:t>
      </w:r>
      <w:r w:rsidRPr="00C37AC5">
        <w:rPr>
          <w:lang w:val="ru-RU"/>
        </w:rPr>
        <w:tab/>
        <w:t xml:space="preserve">Один из </w:t>
      </w:r>
      <w:r w:rsidR="001D24B9" w:rsidRPr="00C37AC5">
        <w:rPr>
          <w:lang w:val="ru-RU"/>
        </w:rPr>
        <w:t>С</w:t>
      </w:r>
      <w:r w:rsidRPr="00C37AC5">
        <w:rPr>
          <w:lang w:val="ru-RU"/>
        </w:rPr>
        <w:t xml:space="preserve">оветников подчеркивает необходимость сохранения ВВУИО своего уникального мандата и подтверждения принципов и обязательств, сформулированных в Глобальном цифровом договоре (ГЦД), – оба эти процесса должны реализовываться по отдельности, но при этом дополнять друг друга. По его мнению, </w:t>
      </w:r>
      <w:r w:rsidR="00B31152" w:rsidRPr="00C37AC5">
        <w:rPr>
          <w:lang w:val="ru-RU"/>
        </w:rPr>
        <w:t>Н</w:t>
      </w:r>
      <w:r w:rsidRPr="00C37AC5">
        <w:rPr>
          <w:lang w:val="ru-RU"/>
        </w:rPr>
        <w:t>аправления деятельности ВВУИО сохраняют свою актуальность, и Форум по вопросам управления использованием интернета, доказавший свою актуальность за 20 лет, должен иметь постоянный мандат.</w:t>
      </w:r>
    </w:p>
    <w:p w14:paraId="5D38227A" w14:textId="199E7B46" w:rsidR="00D67E3C" w:rsidRPr="00C37AC5" w:rsidRDefault="00D67E3C" w:rsidP="00563B45">
      <w:pPr>
        <w:jc w:val="both"/>
        <w:rPr>
          <w:lang w:val="ru-RU"/>
        </w:rPr>
      </w:pPr>
      <w:r w:rsidRPr="00C37AC5">
        <w:rPr>
          <w:lang w:val="ru-RU"/>
        </w:rPr>
        <w:t>4.5</w:t>
      </w:r>
      <w:r w:rsidRPr="00C37AC5">
        <w:rPr>
          <w:lang w:val="ru-RU"/>
        </w:rPr>
        <w:tab/>
        <w:t xml:space="preserve">Несколько </w:t>
      </w:r>
      <w:r w:rsidR="001D24B9" w:rsidRPr="00C37AC5">
        <w:rPr>
          <w:lang w:val="ru-RU"/>
        </w:rPr>
        <w:t>С</w:t>
      </w:r>
      <w:r w:rsidRPr="00C37AC5">
        <w:rPr>
          <w:lang w:val="ru-RU"/>
        </w:rPr>
        <w:t>оветников подчеркивают, что МСЭ должен продолжать играть ключевую, признанную роль в процессе ВВУИО в сотрудничестве с другими учреждениями системы Организации Объединенных Наций, избегая при этом дублирования.</w:t>
      </w:r>
    </w:p>
    <w:p w14:paraId="4D8F87C6" w14:textId="2BEA5A26" w:rsidR="00D67E3C" w:rsidRPr="00C37AC5" w:rsidRDefault="00D67E3C" w:rsidP="00563B45">
      <w:pPr>
        <w:jc w:val="both"/>
        <w:rPr>
          <w:lang w:val="ru-RU"/>
        </w:rPr>
      </w:pPr>
      <w:r w:rsidRPr="00C37AC5">
        <w:rPr>
          <w:lang w:val="ru-RU"/>
        </w:rPr>
        <w:t>4.6</w:t>
      </w:r>
      <w:r w:rsidRPr="00C37AC5">
        <w:rPr>
          <w:lang w:val="ru-RU"/>
        </w:rPr>
        <w:tab/>
        <w:t xml:space="preserve">Председатель предлагает Совету принять к сведению отчет, содержащийся в Документе C25/53, и представить отчет </w:t>
      </w:r>
      <w:r w:rsidR="0092710A" w:rsidRPr="00C37AC5">
        <w:rPr>
          <w:lang w:val="ru-RU"/>
        </w:rPr>
        <w:t>ГА</w:t>
      </w:r>
      <w:r w:rsidRPr="00C37AC5">
        <w:rPr>
          <w:lang w:val="ru-RU"/>
        </w:rPr>
        <w:t xml:space="preserve"> ООН с подборкой всех отдельных полученных представлений в приложении к нему.</w:t>
      </w:r>
    </w:p>
    <w:p w14:paraId="16588E86" w14:textId="77777777" w:rsidR="00D67E3C" w:rsidRPr="00C37AC5" w:rsidRDefault="00D67E3C" w:rsidP="00563B45">
      <w:pPr>
        <w:jc w:val="both"/>
        <w:rPr>
          <w:lang w:val="ru-RU"/>
        </w:rPr>
      </w:pPr>
      <w:r w:rsidRPr="00C37AC5">
        <w:rPr>
          <w:lang w:val="ru-RU"/>
        </w:rPr>
        <w:t>4.7</w:t>
      </w:r>
      <w:r w:rsidRPr="00C37AC5">
        <w:rPr>
          <w:lang w:val="ru-RU"/>
        </w:rPr>
        <w:tab/>
        <w:t xml:space="preserve">Предложение </w:t>
      </w:r>
      <w:r w:rsidRPr="00C37AC5">
        <w:rPr>
          <w:b/>
          <w:bCs/>
          <w:lang w:val="ru-RU"/>
        </w:rPr>
        <w:t>принимается</w:t>
      </w:r>
      <w:r w:rsidRPr="00C37AC5">
        <w:rPr>
          <w:lang w:val="ru-RU"/>
        </w:rPr>
        <w:t>.</w:t>
      </w:r>
    </w:p>
    <w:p w14:paraId="5E606B1E" w14:textId="71671618" w:rsidR="00D67E3C" w:rsidRPr="00C37AC5" w:rsidRDefault="00D67E3C" w:rsidP="00921391">
      <w:pPr>
        <w:pStyle w:val="Heading1"/>
        <w:rPr>
          <w:lang w:val="ru-RU"/>
        </w:rPr>
      </w:pPr>
      <w:r w:rsidRPr="00C37AC5">
        <w:rPr>
          <w:bCs/>
          <w:lang w:val="ru-RU"/>
        </w:rPr>
        <w:t>5</w:t>
      </w:r>
      <w:r w:rsidRPr="00C37AC5">
        <w:rPr>
          <w:lang w:val="ru-RU"/>
        </w:rPr>
        <w:tab/>
        <w:t xml:space="preserve">Обновленная информация о Плане действий МСЭ по осуществлению Глобального цифрового договора (Документ </w:t>
      </w:r>
      <w:hyperlink r:id="rId26" w:history="1">
        <w:proofErr w:type="spellStart"/>
        <w:r w:rsidR="00831EBC" w:rsidRPr="00C37AC5">
          <w:rPr>
            <w:rStyle w:val="Hyperlink"/>
            <w:lang w:val="ru-RU"/>
          </w:rPr>
          <w:t>C25</w:t>
        </w:r>
        <w:proofErr w:type="spellEnd"/>
        <w:r w:rsidR="00831EBC" w:rsidRPr="00C37AC5">
          <w:rPr>
            <w:rStyle w:val="Hyperlink"/>
            <w:lang w:val="ru-RU"/>
          </w:rPr>
          <w:t>/52</w:t>
        </w:r>
      </w:hyperlink>
      <w:r w:rsidRPr="00C37AC5">
        <w:rPr>
          <w:lang w:val="ru-RU"/>
        </w:rPr>
        <w:t>)</w:t>
      </w:r>
      <w:hyperlink r:id="rId27" w:history="1"/>
    </w:p>
    <w:p w14:paraId="33FA3FD5" w14:textId="1C46E437" w:rsidR="00D67E3C" w:rsidRPr="00C37AC5" w:rsidRDefault="00D67E3C" w:rsidP="00563B45">
      <w:pPr>
        <w:jc w:val="both"/>
        <w:rPr>
          <w:lang w:val="ru-RU"/>
        </w:rPr>
      </w:pPr>
      <w:r w:rsidRPr="00C37AC5">
        <w:rPr>
          <w:lang w:val="ru-RU"/>
        </w:rPr>
        <w:t>5.1</w:t>
      </w:r>
      <w:r w:rsidRPr="00C37AC5">
        <w:rPr>
          <w:lang w:val="ru-RU"/>
        </w:rPr>
        <w:tab/>
        <w:t xml:space="preserve">Руководитель Департамента по стратегическому планированию и связям с членами (SPM) представляет Документ C25/52, в котором содержится обновленная информация о </w:t>
      </w:r>
      <w:r w:rsidR="0092710A" w:rsidRPr="00C37AC5">
        <w:rPr>
          <w:lang w:val="ru-RU"/>
        </w:rPr>
        <w:t>П</w:t>
      </w:r>
      <w:r w:rsidRPr="00C37AC5">
        <w:rPr>
          <w:lang w:val="ru-RU"/>
        </w:rPr>
        <w:t>лане действий МСЭ по ГЦД и подробно описаны совместные усилия с различными структурами в рамках системы Организации Объединенных Наций, в том числе в качестве сопредседателя Рабочей группы Организации Объединенных Наций по цифровым технологиям (</w:t>
      </w:r>
      <w:r w:rsidR="00BB5202" w:rsidRPr="00C37AC5">
        <w:rPr>
          <w:lang w:val="ru-RU"/>
        </w:rPr>
        <w:t>РГЦТ</w:t>
      </w:r>
      <w:r w:rsidRPr="00C37AC5">
        <w:rPr>
          <w:lang w:val="ru-RU"/>
        </w:rPr>
        <w:t xml:space="preserve">). В работе МСЭ по </w:t>
      </w:r>
      <w:r w:rsidR="000D5358" w:rsidRPr="00C37AC5">
        <w:rPr>
          <w:lang w:val="ru-RU"/>
        </w:rPr>
        <w:t>осуществлению</w:t>
      </w:r>
      <w:r w:rsidRPr="00C37AC5">
        <w:rPr>
          <w:lang w:val="ru-RU"/>
        </w:rPr>
        <w:t xml:space="preserve"> ГЦД обеспечивается использование существующих механизмов для избежания дублирования и повышения эффективности. </w:t>
      </w:r>
    </w:p>
    <w:p w14:paraId="226F915E" w14:textId="081C2753" w:rsidR="00D67E3C" w:rsidRPr="00C37AC5" w:rsidRDefault="00D67E3C" w:rsidP="00563B45">
      <w:pPr>
        <w:jc w:val="both"/>
        <w:rPr>
          <w:lang w:val="ru-RU"/>
        </w:rPr>
      </w:pPr>
      <w:r w:rsidRPr="00C37AC5">
        <w:rPr>
          <w:lang w:val="ru-RU"/>
        </w:rPr>
        <w:t>5.2</w:t>
      </w:r>
      <w:r w:rsidRPr="00C37AC5">
        <w:rPr>
          <w:lang w:val="ru-RU"/>
        </w:rPr>
        <w:tab/>
        <w:t xml:space="preserve">Советники приветствуют активную руководящую роль МСЭ в осуществлении ГЦД и согласование деятельности и задач ГЦД с существующими мандатами и механизмами. Высокую оценку </w:t>
      </w:r>
      <w:r w:rsidR="000D5358" w:rsidRPr="00C37AC5">
        <w:rPr>
          <w:lang w:val="ru-RU"/>
        </w:rPr>
        <w:t>получают</w:t>
      </w:r>
      <w:r w:rsidRPr="00C37AC5">
        <w:rPr>
          <w:lang w:val="ru-RU"/>
        </w:rPr>
        <w:t xml:space="preserve"> усилия по содействию обеспечению универсальной и реальной возможности установления соединений, ответственному управлению на основе искусственного интеллекта (ИИ) и охвату цифровыми технологиями, а также согласование с Пактом во имя будущего. Советники призывают МСЭ и впредь играть ведущую роль. Благодаря своим техническим специальным знаниям он играет важную роль в создании потенциала и расширении охвата молодежи и женщин в целях преодоления цифрового разрыва. Вместе с тем один из </w:t>
      </w:r>
      <w:r w:rsidR="000D5358" w:rsidRPr="00C37AC5">
        <w:rPr>
          <w:lang w:val="ru-RU"/>
        </w:rPr>
        <w:t>С</w:t>
      </w:r>
      <w:r w:rsidRPr="00C37AC5">
        <w:rPr>
          <w:lang w:val="ru-RU"/>
        </w:rPr>
        <w:t xml:space="preserve">оветников подчеркивает необходимость равноправного участия развивающихся стран в процессе </w:t>
      </w:r>
      <w:r w:rsidR="000D5358" w:rsidRPr="00C37AC5">
        <w:rPr>
          <w:lang w:val="ru-RU"/>
        </w:rPr>
        <w:t>осуществления</w:t>
      </w:r>
      <w:r w:rsidRPr="00C37AC5">
        <w:rPr>
          <w:lang w:val="ru-RU"/>
        </w:rPr>
        <w:t xml:space="preserve"> ГЦД. Важно также, чтобы процессы международной стандартизации были прозрачными и отражали различные потребности развивающихся стран.</w:t>
      </w:r>
    </w:p>
    <w:p w14:paraId="2D288576" w14:textId="3F6583EE" w:rsidR="00D67E3C" w:rsidRPr="00C37AC5" w:rsidRDefault="00D67E3C" w:rsidP="00563B45">
      <w:pPr>
        <w:jc w:val="both"/>
        <w:rPr>
          <w:lang w:val="ru-RU"/>
        </w:rPr>
      </w:pPr>
      <w:r w:rsidRPr="00C37AC5">
        <w:rPr>
          <w:lang w:val="ru-RU"/>
        </w:rPr>
        <w:t>5.3</w:t>
      </w:r>
      <w:r w:rsidRPr="00C37AC5">
        <w:rPr>
          <w:lang w:val="ru-RU"/>
        </w:rPr>
        <w:tab/>
        <w:t xml:space="preserve">Советники также приветствуют ориентированность на сотрудничество в рамках системы Организации Объединенных Наций и отмечают, что ряд совместных инициатив под руководством МСЭ, таких как инициатива Giga, "ИИ во благо" и Глобальное партнерство "РАВНЫЕ", играют важную роль в претворении обязательств в действия. Процесс ВВУИО также имеет в этом отношении ключевое значение, при этом несколько Советников подчеркивают необходимость согласования ГЦД с процессом и </w:t>
      </w:r>
      <w:r w:rsidR="00B31152" w:rsidRPr="00C37AC5">
        <w:rPr>
          <w:lang w:val="ru-RU"/>
        </w:rPr>
        <w:t>Н</w:t>
      </w:r>
      <w:r w:rsidRPr="00C37AC5">
        <w:rPr>
          <w:lang w:val="ru-RU"/>
        </w:rPr>
        <w:t xml:space="preserve">аправлениями деятельности ВВУИО, а также необходимость избегать дублирования, в частности в контексте инициативы </w:t>
      </w:r>
      <w:r w:rsidR="000524E8" w:rsidRPr="00C37AC5">
        <w:rPr>
          <w:lang w:val="ru-RU"/>
        </w:rPr>
        <w:t>"ООН-80"</w:t>
      </w:r>
      <w:r w:rsidRPr="00C37AC5">
        <w:rPr>
          <w:lang w:val="ru-RU"/>
        </w:rPr>
        <w:t xml:space="preserve">. Вместе с тем один </w:t>
      </w:r>
      <w:r w:rsidR="000D5358" w:rsidRPr="00C37AC5">
        <w:rPr>
          <w:lang w:val="ru-RU"/>
        </w:rPr>
        <w:t xml:space="preserve">из </w:t>
      </w:r>
      <w:r w:rsidRPr="00C37AC5">
        <w:rPr>
          <w:lang w:val="ru-RU"/>
        </w:rPr>
        <w:t>наблюдател</w:t>
      </w:r>
      <w:r w:rsidR="000D5358" w:rsidRPr="00C37AC5">
        <w:rPr>
          <w:lang w:val="ru-RU"/>
        </w:rPr>
        <w:t>ей</w:t>
      </w:r>
      <w:r w:rsidRPr="00C37AC5">
        <w:rPr>
          <w:lang w:val="ru-RU"/>
        </w:rPr>
        <w:t xml:space="preserve"> подчеркивает необходимость четкого разграничения между ГЦД и процессом ВВУИО, а другой наблюдатель, напоминая, что ГЦД не был принят на основе консенсуса и не имеет обязательной силы, говорит, что слишком большое внимание уделяется </w:t>
      </w:r>
      <w:r w:rsidR="000524E8" w:rsidRPr="00C37AC5">
        <w:rPr>
          <w:lang w:val="ru-RU"/>
        </w:rPr>
        <w:t>осуществлению</w:t>
      </w:r>
      <w:r w:rsidRPr="00C37AC5">
        <w:rPr>
          <w:lang w:val="ru-RU"/>
        </w:rPr>
        <w:t xml:space="preserve"> ГЦД в ущерб результатам ВВУИО, которым следует уделять приоритетное внимание при достижении ЦУР.</w:t>
      </w:r>
    </w:p>
    <w:p w14:paraId="0694D032" w14:textId="77777777" w:rsidR="00D67E3C" w:rsidRPr="00C37AC5" w:rsidRDefault="00D67E3C" w:rsidP="00563B45">
      <w:pPr>
        <w:jc w:val="both"/>
        <w:rPr>
          <w:lang w:val="ru-RU"/>
        </w:rPr>
      </w:pPr>
      <w:r w:rsidRPr="00C37AC5">
        <w:rPr>
          <w:lang w:val="ru-RU"/>
        </w:rPr>
        <w:t>5.4</w:t>
      </w:r>
      <w:r w:rsidRPr="00C37AC5">
        <w:rPr>
          <w:lang w:val="ru-RU"/>
        </w:rPr>
        <w:tab/>
        <w:t xml:space="preserve">Один из Советников отмечает актуальность деятельности МСЭ для задачи 5 ГЦД, в частности в рамках инициативы "ИИ во благо", но призывает провести исследования в рамках </w:t>
      </w:r>
      <w:r w:rsidRPr="00C37AC5">
        <w:rPr>
          <w:lang w:val="ru-RU"/>
        </w:rPr>
        <w:lastRenderedPageBreak/>
        <w:t>исследовательских комиссий трех Секторов для обеспечения полной реализации этой задачи. Другой Советник подчеркивает значение работы по стандартизации, в частности проводимой в рамках Консультативной группы по стандартизации электросвязи (КГСЭ), для выполнения Задачи 3 ГЦД.</w:t>
      </w:r>
    </w:p>
    <w:p w14:paraId="1603B6DA" w14:textId="43709305" w:rsidR="00D67E3C" w:rsidRPr="00C37AC5" w:rsidRDefault="00D67E3C" w:rsidP="00563B45">
      <w:pPr>
        <w:jc w:val="both"/>
        <w:rPr>
          <w:lang w:val="ru-RU"/>
        </w:rPr>
      </w:pPr>
      <w:r w:rsidRPr="00C37AC5">
        <w:rPr>
          <w:lang w:val="ru-RU"/>
        </w:rPr>
        <w:t>5.5</w:t>
      </w:r>
      <w:r w:rsidRPr="00C37AC5">
        <w:rPr>
          <w:lang w:val="ru-RU"/>
        </w:rPr>
        <w:tab/>
        <w:t xml:space="preserve">Руководитель SPM говорит, что интеграция ГЦД в процесс ВВУИО будет обсуждаться в РГЦТ. Группа Организации Объединенных Наций по вопросам информационного общества </w:t>
      </w:r>
      <w:r w:rsidR="000F0326" w:rsidRPr="00C37AC5">
        <w:rPr>
          <w:lang w:val="ru-RU"/>
        </w:rPr>
        <w:t>провела сопоставление</w:t>
      </w:r>
      <w:r w:rsidRPr="00C37AC5">
        <w:rPr>
          <w:lang w:val="ru-RU"/>
        </w:rPr>
        <w:t xml:space="preserve"> </w:t>
      </w:r>
      <w:r w:rsidR="000F0326" w:rsidRPr="00C37AC5">
        <w:rPr>
          <w:lang w:val="ru-RU"/>
        </w:rPr>
        <w:t>Н</w:t>
      </w:r>
      <w:r w:rsidRPr="00C37AC5">
        <w:rPr>
          <w:lang w:val="ru-RU"/>
        </w:rPr>
        <w:t xml:space="preserve">аправлений деятельности ВВУИО и задач ГЦД и разместила результаты на своем веб-сайте. В отчете </w:t>
      </w:r>
      <w:r w:rsidR="000F0326" w:rsidRPr="00C37AC5">
        <w:rPr>
          <w:lang w:val="ru-RU"/>
        </w:rPr>
        <w:t>продемонстрировано</w:t>
      </w:r>
      <w:r w:rsidRPr="00C37AC5">
        <w:rPr>
          <w:lang w:val="ru-RU"/>
        </w:rPr>
        <w:t xml:space="preserve">, как инициативы согласуются с </w:t>
      </w:r>
      <w:r w:rsidR="000F0326" w:rsidRPr="00C37AC5">
        <w:rPr>
          <w:lang w:val="ru-RU"/>
        </w:rPr>
        <w:t>этим сопоставлением</w:t>
      </w:r>
      <w:r w:rsidRPr="00C37AC5">
        <w:rPr>
          <w:lang w:val="ru-RU"/>
        </w:rPr>
        <w:t xml:space="preserve">. Вся работа, связанная с ГЦД, подпадает под мандат МСЭ. Используются существующие программы и прилагаются усилия по исключению дублирования, в том числе в рамках процесса ВВУИО. Несмотря на увеличение объема работы соответствующих групп, дополнительные ресурсы не выделялись. Планируется запросить у Секретариата Организации Объединенных Наций разрешение на предоставление доступа к кругу ведения РГЦТ, так как это документ для внутреннего пользования. </w:t>
      </w:r>
    </w:p>
    <w:p w14:paraId="278A94E0" w14:textId="6C63FA90" w:rsidR="00D67E3C" w:rsidRPr="00C37AC5" w:rsidRDefault="00D67E3C" w:rsidP="00563B45">
      <w:pPr>
        <w:jc w:val="both"/>
        <w:rPr>
          <w:lang w:val="ru-RU"/>
        </w:rPr>
      </w:pPr>
      <w:r w:rsidRPr="00C37AC5">
        <w:rPr>
          <w:lang w:val="ru-RU"/>
        </w:rPr>
        <w:t>5.6</w:t>
      </w:r>
      <w:r w:rsidRPr="00C37AC5">
        <w:rPr>
          <w:lang w:val="ru-RU"/>
        </w:rPr>
        <w:tab/>
        <w:t xml:space="preserve">Совет </w:t>
      </w:r>
      <w:r w:rsidRPr="00C37AC5">
        <w:rPr>
          <w:b/>
          <w:bCs/>
          <w:lang w:val="ru-RU"/>
        </w:rPr>
        <w:t>принимает к сведению</w:t>
      </w:r>
      <w:r w:rsidRPr="00C37AC5">
        <w:rPr>
          <w:lang w:val="ru-RU"/>
        </w:rPr>
        <w:t xml:space="preserve"> отчет, содержащийся в Документе C25/52.</w:t>
      </w:r>
    </w:p>
    <w:p w14:paraId="0A7E1A63" w14:textId="5EA1228A" w:rsidR="00D67E3C" w:rsidRPr="00C37AC5" w:rsidRDefault="00D67E3C" w:rsidP="00C37AC5">
      <w:pPr>
        <w:pStyle w:val="Heading1"/>
        <w:rPr>
          <w:lang w:val="ru-RU"/>
        </w:rPr>
      </w:pPr>
      <w:r w:rsidRPr="00C37AC5">
        <w:rPr>
          <w:bCs/>
          <w:lang w:val="ru-RU"/>
        </w:rPr>
        <w:t>6</w:t>
      </w:r>
      <w:r w:rsidRPr="00C37AC5">
        <w:rPr>
          <w:lang w:val="ru-RU"/>
        </w:rPr>
        <w:tab/>
        <w:t xml:space="preserve">Укрепление регионального присутствия МСЭ (Документ </w:t>
      </w:r>
      <w:hyperlink r:id="rId28" w:history="1">
        <w:proofErr w:type="spellStart"/>
        <w:r w:rsidR="00831EBC" w:rsidRPr="00C37AC5">
          <w:rPr>
            <w:rStyle w:val="Hyperlink"/>
            <w:lang w:val="ru-RU"/>
          </w:rPr>
          <w:t>C25</w:t>
        </w:r>
        <w:proofErr w:type="spellEnd"/>
        <w:r w:rsidR="00831EBC" w:rsidRPr="00C37AC5">
          <w:rPr>
            <w:rStyle w:val="Hyperlink"/>
            <w:lang w:val="ru-RU"/>
          </w:rPr>
          <w:t>/25(</w:t>
        </w:r>
        <w:proofErr w:type="spellStart"/>
        <w:r w:rsidR="00831EBC" w:rsidRPr="00C37AC5">
          <w:rPr>
            <w:rStyle w:val="Hyperlink"/>
            <w:lang w:val="ru-RU"/>
          </w:rPr>
          <w:t>Rev.1</w:t>
        </w:r>
        <w:proofErr w:type="spellEnd"/>
        <w:r w:rsidR="00831EBC" w:rsidRPr="00C37AC5">
          <w:rPr>
            <w:rStyle w:val="Hyperlink"/>
            <w:lang w:val="ru-RU"/>
          </w:rPr>
          <w:t>)</w:t>
        </w:r>
      </w:hyperlink>
      <w:r w:rsidRPr="00C37AC5">
        <w:rPr>
          <w:lang w:val="ru-RU"/>
        </w:rPr>
        <w:t>)</w:t>
      </w:r>
      <w:hyperlink r:id="rId29" w:history="1"/>
    </w:p>
    <w:p w14:paraId="22C7069B" w14:textId="137EBD59" w:rsidR="00D67E3C" w:rsidRPr="00C37AC5" w:rsidRDefault="00D67E3C" w:rsidP="00563B45">
      <w:pPr>
        <w:jc w:val="both"/>
        <w:rPr>
          <w:lang w:val="ru-RU"/>
        </w:rPr>
      </w:pPr>
      <w:r w:rsidRPr="00C37AC5">
        <w:rPr>
          <w:lang w:val="ru-RU"/>
        </w:rPr>
        <w:t>6.1</w:t>
      </w:r>
      <w:r w:rsidRPr="00C37AC5">
        <w:rPr>
          <w:lang w:val="ru-RU"/>
        </w:rPr>
        <w:tab/>
        <w:t xml:space="preserve">Заместитель Директора Бюро развития электросвязи (БРЭ) представляет Документ C25/25(Rev.1), в котором содержится отчет о вкладе регионального присутствия МСЭ в выполнение мандата Союза и о региональной работе по </w:t>
      </w:r>
      <w:r w:rsidR="00C75D7A" w:rsidRPr="00C37AC5">
        <w:rPr>
          <w:lang w:val="ru-RU"/>
        </w:rPr>
        <w:t>осуществлению</w:t>
      </w:r>
      <w:r w:rsidRPr="00C37AC5">
        <w:rPr>
          <w:lang w:val="ru-RU"/>
        </w:rPr>
        <w:t xml:space="preserve"> Стратегического плана МСЭ, Кигалийского плана действий и региональных инициатив. В нем подчеркивается эффект синергии между региональными отделениями МСЭ и БРЭ в области планирования, </w:t>
      </w:r>
      <w:r w:rsidR="00C75D7A" w:rsidRPr="00C37AC5">
        <w:rPr>
          <w:lang w:val="ru-RU"/>
        </w:rPr>
        <w:t>реализации</w:t>
      </w:r>
      <w:r w:rsidRPr="00C37AC5">
        <w:rPr>
          <w:lang w:val="ru-RU"/>
        </w:rPr>
        <w:t xml:space="preserve">, мониторинга и оценки видов деятельности и проектов. Более подробная информация содержится в Документах </w:t>
      </w:r>
      <w:hyperlink r:id="rId30" w:history="1">
        <w:proofErr w:type="spellStart"/>
        <w:r w:rsidR="00831EBC" w:rsidRPr="00C37AC5">
          <w:rPr>
            <w:rStyle w:val="Hyperlink"/>
            <w:lang w:val="ru-RU"/>
          </w:rPr>
          <w:t>TDAG</w:t>
        </w:r>
        <w:proofErr w:type="spellEnd"/>
        <w:r w:rsidR="00831EBC" w:rsidRPr="00C37AC5">
          <w:rPr>
            <w:rStyle w:val="Hyperlink"/>
            <w:lang w:val="ru-RU"/>
          </w:rPr>
          <w:noBreakHyphen/>
          <w:t>25/2</w:t>
        </w:r>
      </w:hyperlink>
      <w:r w:rsidRPr="00C37AC5">
        <w:rPr>
          <w:lang w:val="ru-RU"/>
        </w:rPr>
        <w:t xml:space="preserve"> и </w:t>
      </w:r>
      <w:hyperlink r:id="rId31" w:history="1">
        <w:proofErr w:type="spellStart"/>
        <w:r w:rsidR="00831EBC" w:rsidRPr="00C37AC5">
          <w:rPr>
            <w:rStyle w:val="Hyperlink"/>
            <w:lang w:val="ru-RU"/>
          </w:rPr>
          <w:t>TDAG</w:t>
        </w:r>
        <w:proofErr w:type="spellEnd"/>
        <w:r w:rsidR="00831EBC" w:rsidRPr="00C37AC5">
          <w:rPr>
            <w:rStyle w:val="Hyperlink"/>
            <w:lang w:val="ru-RU"/>
          </w:rPr>
          <w:noBreakHyphen/>
          <w:t>25/24(</w:t>
        </w:r>
        <w:proofErr w:type="spellStart"/>
        <w:r w:rsidR="00831EBC" w:rsidRPr="00C37AC5">
          <w:rPr>
            <w:rStyle w:val="Hyperlink"/>
            <w:lang w:val="ru-RU"/>
          </w:rPr>
          <w:t>Rev.1</w:t>
        </w:r>
        <w:proofErr w:type="spellEnd"/>
        <w:r w:rsidR="00831EBC" w:rsidRPr="00C37AC5">
          <w:rPr>
            <w:rStyle w:val="Hyperlink"/>
            <w:lang w:val="ru-RU"/>
          </w:rPr>
          <w:t>)</w:t>
        </w:r>
      </w:hyperlink>
      <w:r w:rsidRPr="00C37AC5">
        <w:rPr>
          <w:lang w:val="ru-RU"/>
        </w:rPr>
        <w:t xml:space="preserve"> Консультативной группы по развитию электросвязи (КГРЭ). Отчет о региональных инициативах содержится в Документе</w:t>
      </w:r>
      <w:r w:rsidR="004E3595">
        <w:rPr>
          <w:lang w:val="ru-RU"/>
        </w:rPr>
        <w:t> </w:t>
      </w:r>
      <w:proofErr w:type="spellStart"/>
      <w:r w:rsidR="00831EBC">
        <w:fldChar w:fldCharType="begin"/>
      </w:r>
      <w:r w:rsidR="00831EBC">
        <w:instrText>HYPERLINK</w:instrText>
      </w:r>
      <w:r w:rsidR="00831EBC" w:rsidRPr="00B87E1C">
        <w:rPr>
          <w:lang w:val="ru-RU"/>
        </w:rPr>
        <w:instrText xml:space="preserve"> "</w:instrText>
      </w:r>
      <w:r w:rsidR="00831EBC">
        <w:instrText>https</w:instrText>
      </w:r>
      <w:r w:rsidR="00831EBC" w:rsidRPr="00B87E1C">
        <w:rPr>
          <w:lang w:val="ru-RU"/>
        </w:rPr>
        <w:instrText>://</w:instrText>
      </w:r>
      <w:r w:rsidR="00831EBC">
        <w:instrText>www</w:instrText>
      </w:r>
      <w:r w:rsidR="00831EBC" w:rsidRPr="00B87E1C">
        <w:rPr>
          <w:lang w:val="ru-RU"/>
        </w:rPr>
        <w:instrText>.</w:instrText>
      </w:r>
      <w:r w:rsidR="00831EBC">
        <w:instrText>itu</w:instrText>
      </w:r>
      <w:r w:rsidR="00831EBC" w:rsidRPr="00B87E1C">
        <w:rPr>
          <w:lang w:val="ru-RU"/>
        </w:rPr>
        <w:instrText>.</w:instrText>
      </w:r>
      <w:r w:rsidR="00831EBC">
        <w:instrText>int</w:instrText>
      </w:r>
      <w:r w:rsidR="00831EBC" w:rsidRPr="00B87E1C">
        <w:rPr>
          <w:lang w:val="ru-RU"/>
        </w:rPr>
        <w:instrText>/</w:instrText>
      </w:r>
      <w:r w:rsidR="00831EBC">
        <w:instrText>md</w:instrText>
      </w:r>
      <w:r w:rsidR="00831EBC" w:rsidRPr="00B87E1C">
        <w:rPr>
          <w:lang w:val="ru-RU"/>
        </w:rPr>
        <w:instrText>/</w:instrText>
      </w:r>
      <w:r w:rsidR="00831EBC">
        <w:instrText>D</w:instrText>
      </w:r>
      <w:r w:rsidR="00831EBC" w:rsidRPr="00B87E1C">
        <w:rPr>
          <w:lang w:val="ru-RU"/>
        </w:rPr>
        <w:instrText>22-</w:instrText>
      </w:r>
      <w:r w:rsidR="00831EBC">
        <w:instrText>TDAG</w:instrText>
      </w:r>
      <w:r w:rsidR="00831EBC" w:rsidRPr="00B87E1C">
        <w:rPr>
          <w:lang w:val="ru-RU"/>
        </w:rPr>
        <w:instrText>32-</w:instrText>
      </w:r>
      <w:r w:rsidR="00831EBC">
        <w:instrText>INF</w:instrText>
      </w:r>
      <w:r w:rsidR="00831EBC" w:rsidRPr="00B87E1C">
        <w:rPr>
          <w:lang w:val="ru-RU"/>
        </w:rPr>
        <w:instrText>-0004/</w:instrText>
      </w:r>
      <w:r w:rsidR="00831EBC">
        <w:instrText>en</w:instrText>
      </w:r>
      <w:r w:rsidR="00831EBC" w:rsidRPr="00B87E1C">
        <w:rPr>
          <w:lang w:val="ru-RU"/>
        </w:rPr>
        <w:instrText>"</w:instrText>
      </w:r>
      <w:r w:rsidR="00831EBC">
        <w:fldChar w:fldCharType="separate"/>
      </w:r>
      <w:r w:rsidR="00831EBC" w:rsidRPr="00C37AC5">
        <w:rPr>
          <w:rStyle w:val="Hyperlink"/>
          <w:lang w:val="ru-RU"/>
        </w:rPr>
        <w:t>TDAG</w:t>
      </w:r>
      <w:proofErr w:type="spellEnd"/>
      <w:r w:rsidR="00831EBC" w:rsidRPr="00C37AC5">
        <w:rPr>
          <w:rStyle w:val="Hyperlink"/>
          <w:lang w:val="ru-RU"/>
        </w:rPr>
        <w:noBreakHyphen/>
        <w:t>25/</w:t>
      </w:r>
      <w:proofErr w:type="spellStart"/>
      <w:r w:rsidR="00831EBC" w:rsidRPr="00C37AC5">
        <w:rPr>
          <w:rStyle w:val="Hyperlink"/>
          <w:lang w:val="ru-RU"/>
        </w:rPr>
        <w:t>INF</w:t>
      </w:r>
      <w:proofErr w:type="spellEnd"/>
      <w:r w:rsidR="00831EBC" w:rsidRPr="00C37AC5">
        <w:rPr>
          <w:rStyle w:val="Hyperlink"/>
          <w:lang w:val="ru-RU"/>
        </w:rPr>
        <w:t>/4(</w:t>
      </w:r>
      <w:proofErr w:type="spellStart"/>
      <w:r w:rsidR="00831EBC" w:rsidRPr="00C37AC5">
        <w:rPr>
          <w:rStyle w:val="Hyperlink"/>
          <w:lang w:val="ru-RU"/>
        </w:rPr>
        <w:t>Rev.1</w:t>
      </w:r>
      <w:proofErr w:type="spellEnd"/>
      <w:r w:rsidR="00831EBC" w:rsidRPr="00C37AC5">
        <w:rPr>
          <w:rStyle w:val="Hyperlink"/>
          <w:lang w:val="ru-RU"/>
        </w:rPr>
        <w:t>)</w:t>
      </w:r>
      <w:r w:rsidR="00831EBC">
        <w:fldChar w:fldCharType="end"/>
      </w:r>
      <w:r w:rsidRPr="00C37AC5">
        <w:rPr>
          <w:lang w:val="ru-RU"/>
        </w:rPr>
        <w:t>.</w:t>
      </w:r>
      <w:hyperlink r:id="rId32" w:history="1"/>
      <w:hyperlink r:id="rId33" w:history="1"/>
      <w:hyperlink r:id="rId34" w:history="1"/>
    </w:p>
    <w:p w14:paraId="48553C74" w14:textId="1F2A2AF5" w:rsidR="00D67E3C" w:rsidRPr="00C37AC5" w:rsidRDefault="00D67E3C" w:rsidP="00563B45">
      <w:pPr>
        <w:jc w:val="both"/>
        <w:rPr>
          <w:lang w:val="ru-RU"/>
        </w:rPr>
      </w:pPr>
      <w:r w:rsidRPr="00C37AC5">
        <w:rPr>
          <w:lang w:val="ru-RU"/>
        </w:rPr>
        <w:t>6.2</w:t>
      </w:r>
      <w:r w:rsidRPr="00C37AC5">
        <w:rPr>
          <w:lang w:val="ru-RU"/>
        </w:rPr>
        <w:tab/>
        <w:t xml:space="preserve">Советники и наблюдатели отмечают важную работу, проводимую региональными и зональными отделениями в поддержку как региональных инициатив, так и национальных проектов, а также </w:t>
      </w:r>
      <w:r w:rsidR="00C75D7A" w:rsidRPr="00C37AC5">
        <w:rPr>
          <w:lang w:val="ru-RU"/>
        </w:rPr>
        <w:t xml:space="preserve">в рамках </w:t>
      </w:r>
      <w:r w:rsidRPr="00C37AC5">
        <w:rPr>
          <w:lang w:val="ru-RU"/>
        </w:rPr>
        <w:t>подготовки к крупным конференциям и ассамблеям МСЭ. Региональное присутствие играет ключевую роль</w:t>
      </w:r>
      <w:r w:rsidR="00C75D7A" w:rsidRPr="00C37AC5">
        <w:rPr>
          <w:lang w:val="ru-RU"/>
        </w:rPr>
        <w:t xml:space="preserve">, </w:t>
      </w:r>
      <w:r w:rsidRPr="00C37AC5">
        <w:rPr>
          <w:lang w:val="ru-RU"/>
        </w:rPr>
        <w:t xml:space="preserve">в частности, </w:t>
      </w:r>
      <w:r w:rsidR="00C75D7A" w:rsidRPr="00C37AC5">
        <w:rPr>
          <w:lang w:val="ru-RU"/>
        </w:rPr>
        <w:t xml:space="preserve">в содействии </w:t>
      </w:r>
      <w:r w:rsidRPr="00C37AC5">
        <w:rPr>
          <w:lang w:val="ru-RU"/>
        </w:rPr>
        <w:t>техническо</w:t>
      </w:r>
      <w:r w:rsidR="00C75D7A" w:rsidRPr="00C37AC5">
        <w:rPr>
          <w:lang w:val="ru-RU"/>
        </w:rPr>
        <w:t>му</w:t>
      </w:r>
      <w:r w:rsidRPr="00C37AC5">
        <w:rPr>
          <w:lang w:val="ru-RU"/>
        </w:rPr>
        <w:t xml:space="preserve"> сотрудничеств</w:t>
      </w:r>
      <w:r w:rsidR="00C75D7A" w:rsidRPr="00C37AC5">
        <w:rPr>
          <w:lang w:val="ru-RU"/>
        </w:rPr>
        <w:t>у</w:t>
      </w:r>
      <w:r w:rsidRPr="00C37AC5">
        <w:rPr>
          <w:lang w:val="ru-RU"/>
        </w:rPr>
        <w:t>, создани</w:t>
      </w:r>
      <w:r w:rsidR="00C75D7A" w:rsidRPr="00C37AC5">
        <w:rPr>
          <w:lang w:val="ru-RU"/>
        </w:rPr>
        <w:t>ю</w:t>
      </w:r>
      <w:r w:rsidRPr="00C37AC5">
        <w:rPr>
          <w:lang w:val="ru-RU"/>
        </w:rPr>
        <w:t xml:space="preserve"> потенциала, развити</w:t>
      </w:r>
      <w:r w:rsidR="00C75D7A" w:rsidRPr="00C37AC5">
        <w:rPr>
          <w:lang w:val="ru-RU"/>
        </w:rPr>
        <w:t>ю</w:t>
      </w:r>
      <w:r w:rsidRPr="00C37AC5">
        <w:rPr>
          <w:lang w:val="ru-RU"/>
        </w:rPr>
        <w:t xml:space="preserve"> цифровых навыков, укреплени</w:t>
      </w:r>
      <w:r w:rsidR="00C75D7A" w:rsidRPr="00C37AC5">
        <w:rPr>
          <w:lang w:val="ru-RU"/>
        </w:rPr>
        <w:t>ю</w:t>
      </w:r>
      <w:r w:rsidRPr="00C37AC5">
        <w:rPr>
          <w:lang w:val="ru-RU"/>
        </w:rPr>
        <w:t xml:space="preserve"> инфраструктуры ИКТ, снижени</w:t>
      </w:r>
      <w:r w:rsidR="00C75D7A" w:rsidRPr="00C37AC5">
        <w:rPr>
          <w:lang w:val="ru-RU"/>
        </w:rPr>
        <w:t>ю</w:t>
      </w:r>
      <w:r w:rsidRPr="00C37AC5">
        <w:rPr>
          <w:lang w:val="ru-RU"/>
        </w:rPr>
        <w:t xml:space="preserve"> риска бедствий и реагировани</w:t>
      </w:r>
      <w:r w:rsidR="00C75D7A" w:rsidRPr="00C37AC5">
        <w:rPr>
          <w:lang w:val="ru-RU"/>
        </w:rPr>
        <w:t>ю</w:t>
      </w:r>
      <w:r w:rsidRPr="00C37AC5">
        <w:rPr>
          <w:lang w:val="ru-RU"/>
        </w:rPr>
        <w:t xml:space="preserve"> на них, обеспечени</w:t>
      </w:r>
      <w:r w:rsidR="00C75D7A" w:rsidRPr="00C37AC5">
        <w:rPr>
          <w:lang w:val="ru-RU"/>
        </w:rPr>
        <w:t>ю</w:t>
      </w:r>
      <w:r w:rsidRPr="00C37AC5">
        <w:rPr>
          <w:lang w:val="ru-RU"/>
        </w:rPr>
        <w:t xml:space="preserve"> универсальной и реальной возможности установления соединений, </w:t>
      </w:r>
      <w:r w:rsidR="00C75D7A" w:rsidRPr="00C37AC5">
        <w:rPr>
          <w:lang w:val="ru-RU"/>
        </w:rPr>
        <w:t xml:space="preserve">обеспечению </w:t>
      </w:r>
      <w:r w:rsidRPr="00C37AC5">
        <w:rPr>
          <w:lang w:val="ru-RU"/>
        </w:rPr>
        <w:t>кибербезопасности и составлени</w:t>
      </w:r>
      <w:r w:rsidR="00C75D7A" w:rsidRPr="00C37AC5">
        <w:rPr>
          <w:lang w:val="ru-RU"/>
        </w:rPr>
        <w:t>ю</w:t>
      </w:r>
      <w:r w:rsidRPr="00C37AC5">
        <w:rPr>
          <w:lang w:val="ru-RU"/>
        </w:rPr>
        <w:t xml:space="preserve"> карты широкополосной связи. Несколько Советников и наблюдателей призывают к дальнейшему укреплению потенциала региональных и зональных отделений и усилению координации с Бюро и между ними, при этом один из Советников подчеркивает, что физическ</w:t>
      </w:r>
      <w:r w:rsidR="009401E5" w:rsidRPr="00C37AC5">
        <w:rPr>
          <w:lang w:val="ru-RU"/>
        </w:rPr>
        <w:t xml:space="preserve">ое присутствие </w:t>
      </w:r>
      <w:r w:rsidRPr="00C37AC5">
        <w:rPr>
          <w:lang w:val="ru-RU"/>
        </w:rPr>
        <w:t>оказывает большее влияние, а один из наблюдателей призывает уделять больше внимания потребностям развивающихся стран. Один из Советников просит проанализировать любые пробелы и препятствия, встречающиеся при выполнении проектов, и сформулировать предложения по ним. Еще один Советник призывает к расширению присутствия в интересах островных государств Тихоокеанского региона.</w:t>
      </w:r>
    </w:p>
    <w:p w14:paraId="08FD074F" w14:textId="37FD4108" w:rsidR="00D67E3C" w:rsidRPr="00C37AC5" w:rsidRDefault="00D67E3C" w:rsidP="00563B45">
      <w:pPr>
        <w:jc w:val="both"/>
        <w:rPr>
          <w:lang w:val="ru-RU"/>
        </w:rPr>
      </w:pPr>
      <w:r w:rsidRPr="00C37AC5">
        <w:rPr>
          <w:lang w:val="ru-RU"/>
        </w:rPr>
        <w:t>6.3</w:t>
      </w:r>
      <w:r w:rsidRPr="00C37AC5">
        <w:rPr>
          <w:lang w:val="ru-RU"/>
        </w:rPr>
        <w:tab/>
        <w:t xml:space="preserve">Вместе с тем некоторые Советники </w:t>
      </w:r>
      <w:r w:rsidR="00AB763B" w:rsidRPr="00C37AC5">
        <w:rPr>
          <w:lang w:val="ru-RU"/>
        </w:rPr>
        <w:t>обращают внимание на, по-видимому,</w:t>
      </w:r>
      <w:r w:rsidRPr="00C37AC5">
        <w:rPr>
          <w:lang w:val="ru-RU"/>
        </w:rPr>
        <w:t xml:space="preserve"> неравн</w:t>
      </w:r>
      <w:r w:rsidR="00AB763B" w:rsidRPr="00C37AC5">
        <w:rPr>
          <w:lang w:val="ru-RU"/>
        </w:rPr>
        <w:t>ое</w:t>
      </w:r>
      <w:r w:rsidRPr="00C37AC5">
        <w:rPr>
          <w:lang w:val="ru-RU"/>
        </w:rPr>
        <w:t xml:space="preserve"> географическ</w:t>
      </w:r>
      <w:r w:rsidR="00AB763B" w:rsidRPr="00C37AC5">
        <w:rPr>
          <w:lang w:val="ru-RU"/>
        </w:rPr>
        <w:t>ое</w:t>
      </w:r>
      <w:r w:rsidRPr="00C37AC5">
        <w:rPr>
          <w:lang w:val="ru-RU"/>
        </w:rPr>
        <w:t xml:space="preserve"> распределение видов деятельности и </w:t>
      </w:r>
      <w:r w:rsidR="009401E5" w:rsidRPr="00C37AC5">
        <w:rPr>
          <w:lang w:val="ru-RU"/>
        </w:rPr>
        <w:t>сотрудников</w:t>
      </w:r>
      <w:r w:rsidRPr="00C37AC5">
        <w:rPr>
          <w:lang w:val="ru-RU"/>
        </w:rPr>
        <w:t xml:space="preserve"> Секторов. </w:t>
      </w:r>
      <w:r w:rsidR="009401E5" w:rsidRPr="00C37AC5">
        <w:rPr>
          <w:lang w:val="ru-RU"/>
        </w:rPr>
        <w:t>Сотрудники</w:t>
      </w:r>
      <w:r w:rsidRPr="00C37AC5">
        <w:rPr>
          <w:lang w:val="ru-RU"/>
        </w:rPr>
        <w:t xml:space="preserve"> Бюро стандартизации электросвязи (БСЭ) был</w:t>
      </w:r>
      <w:r w:rsidR="009401E5" w:rsidRPr="00C37AC5">
        <w:rPr>
          <w:lang w:val="ru-RU"/>
        </w:rPr>
        <w:t>и</w:t>
      </w:r>
      <w:r w:rsidRPr="00C37AC5">
        <w:rPr>
          <w:lang w:val="ru-RU"/>
        </w:rPr>
        <w:t xml:space="preserve"> откомандирован</w:t>
      </w:r>
      <w:r w:rsidR="009401E5" w:rsidRPr="00C37AC5">
        <w:rPr>
          <w:lang w:val="ru-RU"/>
        </w:rPr>
        <w:t>ы</w:t>
      </w:r>
      <w:r w:rsidRPr="00C37AC5">
        <w:rPr>
          <w:lang w:val="ru-RU"/>
        </w:rPr>
        <w:t xml:space="preserve"> в другие отделения, </w:t>
      </w:r>
      <w:r w:rsidR="009401E5" w:rsidRPr="00C37AC5">
        <w:rPr>
          <w:lang w:val="ru-RU"/>
        </w:rPr>
        <w:t xml:space="preserve">при этом </w:t>
      </w:r>
      <w:r w:rsidRPr="00C37AC5">
        <w:rPr>
          <w:lang w:val="ru-RU"/>
        </w:rPr>
        <w:t xml:space="preserve">Бюро радиосвязи (БР) </w:t>
      </w:r>
      <w:r w:rsidR="009401E5" w:rsidRPr="00C37AC5">
        <w:rPr>
          <w:lang w:val="ru-RU"/>
        </w:rPr>
        <w:t>не представлено в региональных и зональных отделениях</w:t>
      </w:r>
      <w:r w:rsidRPr="00C37AC5">
        <w:rPr>
          <w:lang w:val="ru-RU"/>
        </w:rPr>
        <w:t xml:space="preserve">. Один из Советников интересуется, свидетельствует ли это о </w:t>
      </w:r>
      <w:r w:rsidR="009401E5" w:rsidRPr="00C37AC5">
        <w:rPr>
          <w:lang w:val="ru-RU"/>
        </w:rPr>
        <w:t xml:space="preserve">соответствующем </w:t>
      </w:r>
      <w:r w:rsidR="00AC656B" w:rsidRPr="00C37AC5">
        <w:rPr>
          <w:lang w:val="ru-RU"/>
        </w:rPr>
        <w:t>определении приоритетов</w:t>
      </w:r>
      <w:r w:rsidRPr="00C37AC5">
        <w:rPr>
          <w:lang w:val="ru-RU"/>
        </w:rPr>
        <w:t xml:space="preserve"> или о нехватке ресурсов. Несколько Советников отмечают, что распределение финансовых ресурсов, персонала и видов деятельности должно быть одинаковым по регионам, в то время как один из Советников призывает к стратегическому распределению, основанному на региональных </w:t>
      </w:r>
      <w:r w:rsidRPr="00C37AC5">
        <w:rPr>
          <w:lang w:val="ru-RU"/>
        </w:rPr>
        <w:lastRenderedPageBreak/>
        <w:t>приоритетах, и эффективному использованию людских ресурсов. Еще один Советник просит предоставить полную информацию о штатном расписании региональных и зональных отделений в соответствии с Резолюцией 25 (Пересм. Бухарест, 2022</w:t>
      </w:r>
      <w:r w:rsidR="004E3595">
        <w:rPr>
          <w:lang w:val="ru-RU"/>
        </w:rPr>
        <w:t> </w:t>
      </w:r>
      <w:r w:rsidRPr="00C37AC5">
        <w:rPr>
          <w:lang w:val="ru-RU"/>
        </w:rPr>
        <w:t xml:space="preserve">г.) ПК. Включение такой информации в отчет облегчило бы </w:t>
      </w:r>
      <w:r w:rsidR="00C2731C" w:rsidRPr="00C37AC5">
        <w:rPr>
          <w:lang w:val="ru-RU"/>
        </w:rPr>
        <w:t>отслеживание соответствия кадрового состава</w:t>
      </w:r>
      <w:r w:rsidRPr="00C37AC5">
        <w:rPr>
          <w:lang w:val="ru-RU"/>
        </w:rPr>
        <w:t xml:space="preserve"> региональных отделений изменяющимся приоритетам стран. Еще один Советник просит представить полностью дезагрегированные данные по программе стипендий, чтобы обеспечить справедливое, равноправное и всеохватное распределение </w:t>
      </w:r>
      <w:r w:rsidR="00C2731C" w:rsidRPr="00C37AC5">
        <w:rPr>
          <w:lang w:val="ru-RU"/>
        </w:rPr>
        <w:t>по трем</w:t>
      </w:r>
      <w:r w:rsidRPr="00C37AC5">
        <w:rPr>
          <w:lang w:val="ru-RU"/>
        </w:rPr>
        <w:t xml:space="preserve"> Секторам.</w:t>
      </w:r>
    </w:p>
    <w:p w14:paraId="6E0E1B04" w14:textId="71840C0B" w:rsidR="00D67E3C" w:rsidRPr="00C37AC5" w:rsidRDefault="00D67E3C" w:rsidP="00563B45">
      <w:pPr>
        <w:jc w:val="both"/>
        <w:rPr>
          <w:lang w:val="ru-RU"/>
        </w:rPr>
      </w:pPr>
      <w:r w:rsidRPr="00C37AC5">
        <w:rPr>
          <w:lang w:val="ru-RU"/>
        </w:rPr>
        <w:t>6.4</w:t>
      </w:r>
      <w:r w:rsidRPr="00C37AC5">
        <w:rPr>
          <w:lang w:val="ru-RU"/>
        </w:rPr>
        <w:tab/>
        <w:t>Одн</w:t>
      </w:r>
      <w:r w:rsidR="00AB763B" w:rsidRPr="00C37AC5">
        <w:rPr>
          <w:lang w:val="ru-RU"/>
        </w:rPr>
        <w:t>а</w:t>
      </w:r>
      <w:r w:rsidRPr="00C37AC5">
        <w:rPr>
          <w:lang w:val="ru-RU"/>
        </w:rPr>
        <w:t xml:space="preserve"> из Советников говорит, что необходимо принять дополнительные меры для обеспечения того, чтобы все Государства-Члены могли на равной основе участвовать в работе исследовательских комиссий Секторов, в частности речь идет о развивающихся странах, </w:t>
      </w:r>
      <w:r w:rsidR="00457930" w:rsidRPr="00C37AC5">
        <w:rPr>
          <w:lang w:val="ru-RU"/>
        </w:rPr>
        <w:t>которым сложно обеспечить</w:t>
      </w:r>
      <w:r w:rsidRPr="00C37AC5">
        <w:rPr>
          <w:lang w:val="ru-RU"/>
        </w:rPr>
        <w:t xml:space="preserve"> поездк</w:t>
      </w:r>
      <w:r w:rsidR="00457930" w:rsidRPr="00C37AC5">
        <w:rPr>
          <w:lang w:val="ru-RU"/>
        </w:rPr>
        <w:t>у</w:t>
      </w:r>
      <w:r w:rsidRPr="00C37AC5">
        <w:rPr>
          <w:lang w:val="ru-RU"/>
        </w:rPr>
        <w:t xml:space="preserve"> в Женеву </w:t>
      </w:r>
      <w:r w:rsidR="00457930" w:rsidRPr="00C37AC5">
        <w:rPr>
          <w:lang w:val="ru-RU"/>
        </w:rPr>
        <w:t>для своих представителей</w:t>
      </w:r>
      <w:r w:rsidRPr="00C37AC5">
        <w:rPr>
          <w:lang w:val="ru-RU"/>
        </w:rPr>
        <w:t xml:space="preserve">. Кроме того, она </w:t>
      </w:r>
      <w:r w:rsidR="00457930" w:rsidRPr="00C37AC5">
        <w:rPr>
          <w:lang w:val="ru-RU"/>
        </w:rPr>
        <w:t>призывает</w:t>
      </w:r>
      <w:r w:rsidRPr="00C37AC5">
        <w:rPr>
          <w:lang w:val="ru-RU"/>
        </w:rPr>
        <w:t xml:space="preserve"> Региональное отделение для Северной и Южной Америки продолжать работу по подготовке к конференции и организовать межрегиональные мероприятия для содействия согласованию усилий по подготовке к крупным конференциям.</w:t>
      </w:r>
    </w:p>
    <w:p w14:paraId="2E2F66EF" w14:textId="62C3D253" w:rsidR="00D67E3C" w:rsidRPr="00C37AC5" w:rsidRDefault="00D67E3C" w:rsidP="00563B45">
      <w:pPr>
        <w:jc w:val="both"/>
        <w:rPr>
          <w:lang w:val="ru-RU"/>
        </w:rPr>
      </w:pPr>
      <w:r w:rsidRPr="00C37AC5">
        <w:rPr>
          <w:lang w:val="ru-RU"/>
        </w:rPr>
        <w:t>6.5</w:t>
      </w:r>
      <w:r w:rsidRPr="00C37AC5">
        <w:rPr>
          <w:lang w:val="ru-RU"/>
        </w:rPr>
        <w:tab/>
        <w:t xml:space="preserve">Несколько Советников особо отмечают вклад, который их страны вносят в </w:t>
      </w:r>
      <w:r w:rsidR="00457930" w:rsidRPr="00C37AC5">
        <w:rPr>
          <w:lang w:val="ru-RU"/>
        </w:rPr>
        <w:t xml:space="preserve">развитие </w:t>
      </w:r>
      <w:r w:rsidRPr="00C37AC5">
        <w:rPr>
          <w:lang w:val="ru-RU"/>
        </w:rPr>
        <w:t>регионально</w:t>
      </w:r>
      <w:r w:rsidR="00457930" w:rsidRPr="00C37AC5">
        <w:rPr>
          <w:lang w:val="ru-RU"/>
        </w:rPr>
        <w:t>го</w:t>
      </w:r>
      <w:r w:rsidRPr="00C37AC5">
        <w:rPr>
          <w:lang w:val="ru-RU"/>
        </w:rPr>
        <w:t xml:space="preserve"> присутстви</w:t>
      </w:r>
      <w:r w:rsidR="00457930" w:rsidRPr="00C37AC5">
        <w:rPr>
          <w:lang w:val="ru-RU"/>
        </w:rPr>
        <w:t>я</w:t>
      </w:r>
      <w:r w:rsidRPr="00C37AC5">
        <w:rPr>
          <w:lang w:val="ru-RU"/>
        </w:rPr>
        <w:t xml:space="preserve"> МСЭ. Наряду с региональными форумами по вопросам развития и подготовительными собраниями, которые </w:t>
      </w:r>
      <w:r w:rsidR="00457930" w:rsidRPr="00C37AC5">
        <w:rPr>
          <w:lang w:val="ru-RU"/>
        </w:rPr>
        <w:t>прошли</w:t>
      </w:r>
      <w:r w:rsidRPr="00C37AC5">
        <w:rPr>
          <w:lang w:val="ru-RU"/>
        </w:rPr>
        <w:t xml:space="preserve"> в Венгрии, Иордании, Кении, Кыргызстане, Парагвае и Таиланде, Китай провел тематические семинары-практикумы, в том числе по национальному распределению частот, а Япония планирует провести региональный семинар-практикум по снижению риска бедствий и продвигает инициативу по </w:t>
      </w:r>
      <w:r w:rsidR="00457930" w:rsidRPr="00C37AC5">
        <w:rPr>
          <w:lang w:val="ru-RU"/>
        </w:rPr>
        <w:t>"зеленым"</w:t>
      </w:r>
      <w:r w:rsidRPr="00C37AC5">
        <w:rPr>
          <w:lang w:val="ru-RU"/>
        </w:rPr>
        <w:t xml:space="preserve"> ИКТ, в том числе семинары-практикумы в нескольких регионах. Кроме того, Филиппины выступили принимающей стороной для </w:t>
      </w:r>
      <w:r w:rsidR="00457930" w:rsidRPr="00C37AC5">
        <w:rPr>
          <w:lang w:val="ru-RU"/>
        </w:rPr>
        <w:t xml:space="preserve">мероприятий </w:t>
      </w:r>
      <w:r w:rsidRPr="00C37AC5">
        <w:rPr>
          <w:lang w:val="ru-RU"/>
        </w:rPr>
        <w:t xml:space="preserve">Дня "Девушки в ИКТ", а Индия </w:t>
      </w:r>
      <w:r w:rsidR="006B31CA" w:rsidRPr="00C37AC5">
        <w:rPr>
          <w:lang w:val="ru-RU"/>
        </w:rPr>
        <w:t xml:space="preserve">выражает </w:t>
      </w:r>
      <w:r w:rsidR="00AB763B" w:rsidRPr="00C37AC5">
        <w:rPr>
          <w:lang w:val="ru-RU"/>
        </w:rPr>
        <w:t>готов</w:t>
      </w:r>
      <w:r w:rsidR="006B31CA" w:rsidRPr="00C37AC5">
        <w:rPr>
          <w:lang w:val="ru-RU"/>
        </w:rPr>
        <w:t>ность</w:t>
      </w:r>
      <w:r w:rsidR="00AB763B" w:rsidRPr="00C37AC5">
        <w:rPr>
          <w:lang w:val="ru-RU"/>
        </w:rPr>
        <w:t xml:space="preserve"> </w:t>
      </w:r>
      <w:r w:rsidRPr="00C37AC5">
        <w:rPr>
          <w:lang w:val="ru-RU"/>
        </w:rPr>
        <w:t>укреп</w:t>
      </w:r>
      <w:r w:rsidR="00AB763B" w:rsidRPr="00C37AC5">
        <w:rPr>
          <w:lang w:val="ru-RU"/>
        </w:rPr>
        <w:t xml:space="preserve">ить </w:t>
      </w:r>
      <w:r w:rsidRPr="00C37AC5">
        <w:rPr>
          <w:lang w:val="ru-RU"/>
        </w:rPr>
        <w:t>присутстви</w:t>
      </w:r>
      <w:r w:rsidR="00AB763B" w:rsidRPr="00C37AC5">
        <w:rPr>
          <w:lang w:val="ru-RU"/>
        </w:rPr>
        <w:t>е</w:t>
      </w:r>
      <w:r w:rsidRPr="00C37AC5">
        <w:rPr>
          <w:lang w:val="ru-RU"/>
        </w:rPr>
        <w:t xml:space="preserve"> Зонального отделения в Дели. </w:t>
      </w:r>
      <w:r w:rsidR="00715F60" w:rsidRPr="00C37AC5">
        <w:rPr>
          <w:lang w:val="ru-RU"/>
        </w:rPr>
        <w:t xml:space="preserve">Рекомендуется обеспечить в данном отчете отражение вклада </w:t>
      </w:r>
      <w:r w:rsidRPr="00C37AC5">
        <w:rPr>
          <w:lang w:val="ru-RU"/>
        </w:rPr>
        <w:t>Государств-Членов в работу региональных отделений.</w:t>
      </w:r>
    </w:p>
    <w:p w14:paraId="6B8CA9AD" w14:textId="1F4F59C8" w:rsidR="00D67E3C" w:rsidRPr="00C37AC5" w:rsidRDefault="00D67E3C" w:rsidP="00563B45">
      <w:pPr>
        <w:jc w:val="both"/>
        <w:rPr>
          <w:lang w:val="ru-RU"/>
        </w:rPr>
      </w:pPr>
      <w:r w:rsidRPr="00C37AC5">
        <w:rPr>
          <w:lang w:val="ru-RU"/>
        </w:rPr>
        <w:t>6.6</w:t>
      </w:r>
      <w:r w:rsidRPr="00C37AC5">
        <w:rPr>
          <w:lang w:val="ru-RU"/>
        </w:rPr>
        <w:tab/>
        <w:t>Директор БРЭ благодарит различные Государства-Члены за их сотрудничество и совместную работу в рамках региональных мероприятий и видов деятельности, а также выражает признательность партнерам за их вклад в усилия по сотрудничеству и мобилизации ресурсов. Он объясн</w:t>
      </w:r>
      <w:r w:rsidR="00715F60" w:rsidRPr="00C37AC5">
        <w:rPr>
          <w:lang w:val="ru-RU"/>
        </w:rPr>
        <w:t>яет</w:t>
      </w:r>
      <w:r w:rsidRPr="00C37AC5">
        <w:rPr>
          <w:lang w:val="ru-RU"/>
        </w:rPr>
        <w:t xml:space="preserve"> отмечаемую несбалансированность деятельности Секторов по регионам более активным включением в отчет вкладов КГРЭ. Аналогичные действия в отношении отчетов КГСЭ и Консультативной группы по радиосвязи, вероятно, продемонстрируют б</w:t>
      </w:r>
      <w:r w:rsidR="00715F60" w:rsidRPr="00C37AC5">
        <w:rPr>
          <w:lang w:val="ru-RU"/>
        </w:rPr>
        <w:t>ó</w:t>
      </w:r>
      <w:r w:rsidRPr="00C37AC5">
        <w:rPr>
          <w:lang w:val="ru-RU"/>
        </w:rPr>
        <w:t xml:space="preserve">льшую сбалансированность. Он говорит, что </w:t>
      </w:r>
      <w:r w:rsidR="00715F60" w:rsidRPr="00C37AC5">
        <w:rPr>
          <w:lang w:val="ru-RU"/>
        </w:rPr>
        <w:t>С</w:t>
      </w:r>
      <w:r w:rsidRPr="00C37AC5">
        <w:rPr>
          <w:lang w:val="ru-RU"/>
        </w:rPr>
        <w:t xml:space="preserve">екретариат мог бы представить дезагрегированную информацию о стипендиях. </w:t>
      </w:r>
      <w:r w:rsidR="00715F60" w:rsidRPr="00C37AC5">
        <w:rPr>
          <w:lang w:val="ru-RU"/>
        </w:rPr>
        <w:t>В</w:t>
      </w:r>
      <w:r w:rsidRPr="00C37AC5">
        <w:rPr>
          <w:lang w:val="ru-RU"/>
        </w:rPr>
        <w:t xml:space="preserve"> </w:t>
      </w:r>
      <w:r w:rsidR="00715F60" w:rsidRPr="00C37AC5">
        <w:rPr>
          <w:lang w:val="ru-RU"/>
        </w:rPr>
        <w:t>недавнем</w:t>
      </w:r>
      <w:r w:rsidRPr="00C37AC5">
        <w:rPr>
          <w:lang w:val="ru-RU"/>
        </w:rPr>
        <w:t xml:space="preserve"> тренировочном занятии по кибербезопасности, организованном в партнерстве с Объединенными Арабскими Эмиратами, приняли участие 136 стран. Он напоминает, что КГРЭ подготовила таблицу, увязывающую виды деятельности и региональные инициативы.</w:t>
      </w:r>
      <w:bookmarkStart w:id="8" w:name="_Hlk202371330"/>
    </w:p>
    <w:p w14:paraId="0E563D4C" w14:textId="36DB19A3" w:rsidR="00D67E3C" w:rsidRPr="00C37AC5" w:rsidRDefault="00D67E3C" w:rsidP="00563B45">
      <w:pPr>
        <w:jc w:val="both"/>
        <w:rPr>
          <w:lang w:val="ru-RU"/>
        </w:rPr>
      </w:pPr>
      <w:r w:rsidRPr="00C37AC5">
        <w:rPr>
          <w:lang w:val="ru-RU"/>
        </w:rPr>
        <w:t>6.7</w:t>
      </w:r>
      <w:r w:rsidRPr="00C37AC5">
        <w:rPr>
          <w:lang w:val="ru-RU"/>
        </w:rPr>
        <w:tab/>
      </w:r>
      <w:r w:rsidR="00EF201A" w:rsidRPr="00C37AC5">
        <w:rPr>
          <w:lang w:val="ru-RU"/>
        </w:rPr>
        <w:t>Выступающий</w:t>
      </w:r>
      <w:r w:rsidRPr="00C37AC5">
        <w:rPr>
          <w:lang w:val="ru-RU"/>
        </w:rPr>
        <w:t xml:space="preserve"> приветствует призывы к укреплению потенциала региональных и зональных отделений, но отмечает финансовые ограничения. Региональные и зональные отделения оказывают поддержку работе всех трех Бюро. Региональное присутствие БСЭ в Африке и Азиатско-Тихоокеанском регионе было частью пилотной программы, предусматривающей откомандирование персонала БСЭ и набор местного персонала для поддержки собраний и других мероприятий. Ожидается, что программа будет распространена на другие регионы. Программа прикомандирования представляет собой не предполагающее значительных затрат нововведение, реализованное по инициативе БСЭ, которое также может быть рассмотрено БР, однако бюджет этой программы ограничен. Кроме того, время от времени </w:t>
      </w:r>
      <w:r w:rsidR="00715F60" w:rsidRPr="00C37AC5">
        <w:rPr>
          <w:lang w:val="ru-RU"/>
        </w:rPr>
        <w:t>привлекаются</w:t>
      </w:r>
      <w:r w:rsidRPr="00C37AC5">
        <w:rPr>
          <w:lang w:val="ru-RU"/>
        </w:rPr>
        <w:t xml:space="preserve"> эксперты и консультанты для оказания поддержки региональным отделениям. С информацией о штатном расписании можно ознакомиться в документе Департамента управления людскими ресурсами (</w:t>
      </w:r>
      <w:proofErr w:type="spellStart"/>
      <w:r w:rsidR="00831EBC">
        <w:fldChar w:fldCharType="begin"/>
      </w:r>
      <w:r w:rsidR="00831EBC">
        <w:instrText>HYPERLINK</w:instrText>
      </w:r>
      <w:r w:rsidR="00831EBC" w:rsidRPr="00B87E1C">
        <w:rPr>
          <w:lang w:val="ru-RU"/>
        </w:rPr>
        <w:instrText xml:space="preserve"> "</w:instrText>
      </w:r>
      <w:r w:rsidR="00831EBC">
        <w:instrText>https</w:instrText>
      </w:r>
      <w:r w:rsidR="00831EBC" w:rsidRPr="00B87E1C">
        <w:rPr>
          <w:lang w:val="ru-RU"/>
        </w:rPr>
        <w:instrText>://</w:instrText>
      </w:r>
      <w:r w:rsidR="00831EBC">
        <w:instrText>www</w:instrText>
      </w:r>
      <w:r w:rsidR="00831EBC" w:rsidRPr="00B87E1C">
        <w:rPr>
          <w:lang w:val="ru-RU"/>
        </w:rPr>
        <w:instrText>.</w:instrText>
      </w:r>
      <w:r w:rsidR="00831EBC">
        <w:instrText>itu</w:instrText>
      </w:r>
      <w:r w:rsidR="00831EBC" w:rsidRPr="00B87E1C">
        <w:rPr>
          <w:lang w:val="ru-RU"/>
        </w:rPr>
        <w:instrText>.</w:instrText>
      </w:r>
      <w:r w:rsidR="00831EBC">
        <w:instrText>int</w:instrText>
      </w:r>
      <w:r w:rsidR="00831EBC" w:rsidRPr="00B87E1C">
        <w:rPr>
          <w:lang w:val="ru-RU"/>
        </w:rPr>
        <w:instrText>/</w:instrText>
      </w:r>
      <w:r w:rsidR="00831EBC">
        <w:instrText>md</w:instrText>
      </w:r>
      <w:r w:rsidR="00831EBC" w:rsidRPr="00B87E1C">
        <w:rPr>
          <w:lang w:val="ru-RU"/>
        </w:rPr>
        <w:instrText>/</w:instrText>
      </w:r>
      <w:r w:rsidR="00831EBC">
        <w:instrText>S</w:instrText>
      </w:r>
      <w:r w:rsidR="00831EBC" w:rsidRPr="00B87E1C">
        <w:rPr>
          <w:lang w:val="ru-RU"/>
        </w:rPr>
        <w:instrText>25-</w:instrText>
      </w:r>
      <w:r w:rsidR="00831EBC">
        <w:instrText>CL</w:instrText>
      </w:r>
      <w:r w:rsidR="00831EBC" w:rsidRPr="00B87E1C">
        <w:rPr>
          <w:lang w:val="ru-RU"/>
        </w:rPr>
        <w:instrText>-</w:instrText>
      </w:r>
      <w:r w:rsidR="00831EBC">
        <w:instrText>C</w:instrText>
      </w:r>
      <w:r w:rsidR="00831EBC" w:rsidRPr="00B87E1C">
        <w:rPr>
          <w:lang w:val="ru-RU"/>
        </w:rPr>
        <w:instrText>-0066/</w:instrText>
      </w:r>
      <w:r w:rsidR="00831EBC">
        <w:instrText>en</w:instrText>
      </w:r>
      <w:r w:rsidR="00831EBC" w:rsidRPr="00B87E1C">
        <w:rPr>
          <w:lang w:val="ru-RU"/>
        </w:rPr>
        <w:instrText>"</w:instrText>
      </w:r>
      <w:r w:rsidR="00831EBC">
        <w:fldChar w:fldCharType="separate"/>
      </w:r>
      <w:r w:rsidR="00831EBC" w:rsidRPr="00C37AC5">
        <w:rPr>
          <w:rStyle w:val="Hyperlink"/>
          <w:lang w:val="ru-RU"/>
        </w:rPr>
        <w:t>C25</w:t>
      </w:r>
      <w:proofErr w:type="spellEnd"/>
      <w:r w:rsidR="00831EBC" w:rsidRPr="00C37AC5">
        <w:rPr>
          <w:rStyle w:val="Hyperlink"/>
          <w:lang w:val="ru-RU"/>
        </w:rPr>
        <w:t>/66</w:t>
      </w:r>
      <w:r w:rsidR="00831EBC">
        <w:fldChar w:fldCharType="end"/>
      </w:r>
      <w:r w:rsidRPr="00C37AC5">
        <w:rPr>
          <w:lang w:val="ru-RU"/>
        </w:rPr>
        <w:t xml:space="preserve">), </w:t>
      </w:r>
      <w:r w:rsidR="00715F60" w:rsidRPr="00C37AC5">
        <w:rPr>
          <w:lang w:val="ru-RU"/>
        </w:rPr>
        <w:t>представленном Совету</w:t>
      </w:r>
      <w:r w:rsidRPr="00C37AC5">
        <w:rPr>
          <w:lang w:val="ru-RU"/>
        </w:rPr>
        <w:t>.</w:t>
      </w:r>
      <w:hyperlink r:id="rId35" w:history="1"/>
    </w:p>
    <w:p w14:paraId="1D7A5238" w14:textId="5193E505" w:rsidR="00D67E3C" w:rsidRPr="00C37AC5" w:rsidRDefault="00D67E3C" w:rsidP="00563B45">
      <w:pPr>
        <w:jc w:val="both"/>
        <w:rPr>
          <w:lang w:val="ru-RU"/>
        </w:rPr>
      </w:pPr>
      <w:r w:rsidRPr="00C37AC5">
        <w:rPr>
          <w:lang w:val="ru-RU"/>
        </w:rPr>
        <w:t>6.8</w:t>
      </w:r>
      <w:r w:rsidRPr="00C37AC5">
        <w:rPr>
          <w:lang w:val="ru-RU"/>
        </w:rPr>
        <w:tab/>
        <w:t xml:space="preserve">Он признает необходимость включения в оперативный план оценки рисков и разработки мер по смягчению последствий при содействии членов и консультативных групп. </w:t>
      </w:r>
      <w:r w:rsidRPr="00C37AC5">
        <w:rPr>
          <w:lang w:val="ru-RU"/>
        </w:rPr>
        <w:lastRenderedPageBreak/>
        <w:t xml:space="preserve">Управление проектами также имеет важное значение; в связи с этим были проведены анализ несоответствий и оценка по завершении реализации. </w:t>
      </w:r>
      <w:r w:rsidR="00715F60" w:rsidRPr="00C37AC5">
        <w:rPr>
          <w:lang w:val="ru-RU"/>
        </w:rPr>
        <w:t>Может быть предоставлена соответствующая информация</w:t>
      </w:r>
      <w:r w:rsidRPr="00C37AC5">
        <w:rPr>
          <w:lang w:val="ru-RU"/>
        </w:rPr>
        <w:t>. Несмотря на то что некоторые вопросы не входят в сферу его контроля, Секретариат стреми</w:t>
      </w:r>
      <w:r w:rsidR="00B31152" w:rsidRPr="00C37AC5">
        <w:rPr>
          <w:lang w:val="ru-RU"/>
        </w:rPr>
        <w:t>т</w:t>
      </w:r>
      <w:r w:rsidRPr="00C37AC5">
        <w:rPr>
          <w:lang w:val="ru-RU"/>
        </w:rPr>
        <w:t>ся к максимальной эффективности и результативности, в том числе за счет использования гибридных систем.</w:t>
      </w:r>
    </w:p>
    <w:bookmarkEnd w:id="8"/>
    <w:p w14:paraId="78B0FE5D" w14:textId="1B491941" w:rsidR="00D67E3C" w:rsidRPr="00C37AC5" w:rsidRDefault="00D67E3C" w:rsidP="00563B45">
      <w:pPr>
        <w:jc w:val="both"/>
        <w:rPr>
          <w:lang w:val="ru-RU"/>
        </w:rPr>
      </w:pPr>
      <w:r w:rsidRPr="00C37AC5">
        <w:rPr>
          <w:lang w:val="ru-RU"/>
        </w:rPr>
        <w:t>6.9</w:t>
      </w:r>
      <w:r w:rsidRPr="00C37AC5">
        <w:rPr>
          <w:lang w:val="ru-RU"/>
        </w:rPr>
        <w:tab/>
        <w:t>Директор БР говорит, что Б</w:t>
      </w:r>
      <w:r w:rsidR="0072678B" w:rsidRPr="00C37AC5">
        <w:rPr>
          <w:lang w:val="ru-RU"/>
        </w:rPr>
        <w:t>юро</w:t>
      </w:r>
      <w:r w:rsidRPr="00C37AC5">
        <w:rPr>
          <w:lang w:val="ru-RU"/>
        </w:rPr>
        <w:t xml:space="preserve"> тесно сотрудничает со всеми региональными отделениями через своих сотрудников в штаб-квартире, чтобы оказывать влияние на вопросы радиосвязи, например путем проведения региональных семинаров по радиосвязи и других мероприятий, в том числе субрегиональных, </w:t>
      </w:r>
      <w:r w:rsidR="00B31152" w:rsidRPr="00C37AC5">
        <w:rPr>
          <w:lang w:val="ru-RU"/>
        </w:rPr>
        <w:t>учитывающих</w:t>
      </w:r>
      <w:r w:rsidRPr="00C37AC5">
        <w:rPr>
          <w:lang w:val="ru-RU"/>
        </w:rPr>
        <w:t xml:space="preserve"> конкретные потребности, и тематических семинаров-практикумов, например по таблицам распределения частот. При условии наличия бюджетных средств, БР готово рассмотреть вопрос об увеличении своего регионального присутствия, если инициатива по откомандированию сотрудников БСЭ и найму местного персонала окажется успешной.</w:t>
      </w:r>
    </w:p>
    <w:p w14:paraId="391B35B0" w14:textId="638AA51D" w:rsidR="00D67E3C" w:rsidRPr="00C37AC5" w:rsidRDefault="00D67E3C" w:rsidP="00563B45">
      <w:pPr>
        <w:jc w:val="both"/>
        <w:rPr>
          <w:lang w:val="ru-RU"/>
        </w:rPr>
      </w:pPr>
      <w:r w:rsidRPr="00C37AC5">
        <w:rPr>
          <w:lang w:val="ru-RU"/>
        </w:rPr>
        <w:t>6.10</w:t>
      </w:r>
      <w:r w:rsidRPr="00C37AC5">
        <w:rPr>
          <w:lang w:val="ru-RU"/>
        </w:rPr>
        <w:tab/>
        <w:t xml:space="preserve">Директор БСЭ говорит, что командирование сотрудников БСЭ в региональные отделения на сегодняшний день дает положительные результаты. </w:t>
      </w:r>
      <w:r w:rsidR="0072678B" w:rsidRPr="00C37AC5">
        <w:rPr>
          <w:lang w:val="ru-RU"/>
        </w:rPr>
        <w:t xml:space="preserve">Эту </w:t>
      </w:r>
      <w:r w:rsidRPr="00C37AC5">
        <w:rPr>
          <w:lang w:val="ru-RU"/>
        </w:rPr>
        <w:t>инициативу</w:t>
      </w:r>
      <w:r w:rsidR="0072678B" w:rsidRPr="00C37AC5">
        <w:rPr>
          <w:lang w:val="ru-RU"/>
        </w:rPr>
        <w:t xml:space="preserve"> планируется продолжить</w:t>
      </w:r>
      <w:r w:rsidRPr="00C37AC5">
        <w:rPr>
          <w:lang w:val="ru-RU"/>
        </w:rPr>
        <w:t>.</w:t>
      </w:r>
    </w:p>
    <w:p w14:paraId="63E77D2C" w14:textId="1114FE83" w:rsidR="00D67E3C" w:rsidRPr="00C37AC5" w:rsidRDefault="00D67E3C" w:rsidP="00563B45">
      <w:pPr>
        <w:jc w:val="both"/>
        <w:rPr>
          <w:lang w:val="ru-RU"/>
        </w:rPr>
      </w:pPr>
      <w:r w:rsidRPr="00C37AC5">
        <w:rPr>
          <w:lang w:val="ru-RU"/>
        </w:rPr>
        <w:t>6.11</w:t>
      </w:r>
      <w:r w:rsidRPr="00C37AC5">
        <w:rPr>
          <w:lang w:val="ru-RU"/>
        </w:rPr>
        <w:tab/>
        <w:t>Заместитель Директора БСЭ говорит, что в рамках экспериментальной инициативы предусматривается набор сотрудников категории общего обслуживания на местно</w:t>
      </w:r>
      <w:r w:rsidR="00B31152" w:rsidRPr="00C37AC5">
        <w:rPr>
          <w:lang w:val="ru-RU"/>
        </w:rPr>
        <w:t xml:space="preserve">м уровне </w:t>
      </w:r>
      <w:r w:rsidRPr="00C37AC5">
        <w:rPr>
          <w:lang w:val="ru-RU"/>
        </w:rPr>
        <w:t xml:space="preserve">для оказания поддержки региональным и зональным отделениям, в основном </w:t>
      </w:r>
      <w:r w:rsidR="00B31152" w:rsidRPr="00C37AC5">
        <w:rPr>
          <w:lang w:val="ru-RU"/>
        </w:rPr>
        <w:t>в целях</w:t>
      </w:r>
      <w:r w:rsidRPr="00C37AC5">
        <w:rPr>
          <w:lang w:val="ru-RU"/>
        </w:rPr>
        <w:t xml:space="preserve"> проведения собраний и мероприятий. Эта мера показала свою особую эффективность во время Всемирной ассамблеи по стандартизации электросвязи 2024 года и продолжает приносить пользу. Для достижения максимального эффекта при отборе региональных отделений для получения дополнительных ресурсов учитывались часовые пояса. Сотрудники категории специалистов в Аддис-Абебе уделяют особое внимание оказанию поддержки в преодолении разрыва в стандартизации при осуществлении инициатив по охвату финансовыми услугами, пользующи</w:t>
      </w:r>
      <w:r w:rsidR="00B31152" w:rsidRPr="00C37AC5">
        <w:rPr>
          <w:lang w:val="ru-RU"/>
        </w:rPr>
        <w:t>ми</w:t>
      </w:r>
      <w:r w:rsidRPr="00C37AC5">
        <w:rPr>
          <w:lang w:val="ru-RU"/>
        </w:rPr>
        <w:t>ся большим спросом в Африке. Они оказыва</w:t>
      </w:r>
      <w:r w:rsidR="00B31152" w:rsidRPr="00C37AC5">
        <w:rPr>
          <w:lang w:val="ru-RU"/>
        </w:rPr>
        <w:t>ют</w:t>
      </w:r>
      <w:r w:rsidRPr="00C37AC5">
        <w:rPr>
          <w:lang w:val="ru-RU"/>
        </w:rPr>
        <w:t xml:space="preserve"> поддержку</w:t>
      </w:r>
      <w:r w:rsidR="00B31152" w:rsidRPr="00C37AC5">
        <w:rPr>
          <w:lang w:val="ru-RU"/>
        </w:rPr>
        <w:t xml:space="preserve"> Л</w:t>
      </w:r>
      <w:r w:rsidRPr="00C37AC5">
        <w:rPr>
          <w:lang w:val="ru-RU"/>
        </w:rPr>
        <w:t>аборатории безопасности цифровых финансовых услуг и выполнению решений Глобальной инициативы по охвату финансовыми услугами, а также других стандартов и рекомендаций.</w:t>
      </w:r>
    </w:p>
    <w:p w14:paraId="42B9F1D4" w14:textId="679EAF9B" w:rsidR="00D67E3C" w:rsidRPr="00C37AC5" w:rsidRDefault="00D67E3C" w:rsidP="00563B45">
      <w:pPr>
        <w:jc w:val="both"/>
        <w:rPr>
          <w:lang w:val="ru-RU"/>
        </w:rPr>
      </w:pPr>
      <w:r w:rsidRPr="00C37AC5">
        <w:rPr>
          <w:lang w:val="ru-RU"/>
        </w:rPr>
        <w:t>6.12</w:t>
      </w:r>
      <w:r w:rsidRPr="00C37AC5">
        <w:rPr>
          <w:lang w:val="ru-RU"/>
        </w:rPr>
        <w:tab/>
        <w:t xml:space="preserve">Совет </w:t>
      </w:r>
      <w:r w:rsidRPr="00C37AC5">
        <w:rPr>
          <w:b/>
          <w:bCs/>
          <w:lang w:val="ru-RU"/>
        </w:rPr>
        <w:t>принимает к сведению</w:t>
      </w:r>
      <w:r w:rsidRPr="00C37AC5">
        <w:rPr>
          <w:lang w:val="ru-RU"/>
        </w:rPr>
        <w:t xml:space="preserve"> отчет, содержащийся в Документе </w:t>
      </w:r>
      <w:r w:rsidR="00B31152" w:rsidRPr="00C37AC5">
        <w:rPr>
          <w:lang w:val="ru-RU"/>
        </w:rPr>
        <w:t>C25/25(Rev.1)</w:t>
      </w:r>
      <w:r w:rsidRPr="00C37AC5">
        <w:rPr>
          <w:lang w:val="ru-RU"/>
        </w:rPr>
        <w:t>.</w:t>
      </w:r>
    </w:p>
    <w:p w14:paraId="00D554F5" w14:textId="77777777" w:rsidR="00921391" w:rsidRPr="002B21A1" w:rsidRDefault="00921391" w:rsidP="00F81A11">
      <w:pPr>
        <w:tabs>
          <w:tab w:val="clear" w:pos="794"/>
          <w:tab w:val="clear" w:pos="1191"/>
          <w:tab w:val="clear" w:pos="1588"/>
          <w:tab w:val="clear" w:pos="1985"/>
          <w:tab w:val="left" w:pos="5387"/>
        </w:tabs>
        <w:spacing w:before="1080"/>
        <w:jc w:val="both"/>
        <w:rPr>
          <w:szCs w:val="24"/>
          <w:lang w:val="ru-RU"/>
        </w:rPr>
      </w:pPr>
      <w:r w:rsidRPr="002B21A1">
        <w:rPr>
          <w:lang w:val="ru-RU"/>
        </w:rPr>
        <w:t>Генеральный секретарь:</w:t>
      </w:r>
      <w:r w:rsidRPr="002B21A1">
        <w:rPr>
          <w:lang w:val="ru-RU"/>
        </w:rPr>
        <w:tab/>
        <w:t>Председатель:</w:t>
      </w:r>
    </w:p>
    <w:p w14:paraId="112D1FFB" w14:textId="42D76D13" w:rsidR="00D67E3C" w:rsidRDefault="00921391" w:rsidP="00921391">
      <w:pPr>
        <w:tabs>
          <w:tab w:val="clear" w:pos="794"/>
          <w:tab w:val="clear" w:pos="1191"/>
          <w:tab w:val="clear" w:pos="1588"/>
          <w:tab w:val="clear" w:pos="1985"/>
          <w:tab w:val="left" w:pos="5387"/>
        </w:tabs>
        <w:spacing w:before="0" w:after="120"/>
        <w:jc w:val="both"/>
        <w:rPr>
          <w:lang w:val="es-ES"/>
        </w:rPr>
      </w:pPr>
      <w:r w:rsidRPr="002B21A1">
        <w:rPr>
          <w:lang w:val="ru-RU"/>
        </w:rPr>
        <w:t>Д. БОГДАН-МАРТИН</w:t>
      </w:r>
      <w:r w:rsidRPr="002B21A1">
        <w:rPr>
          <w:lang w:val="ru-RU"/>
        </w:rPr>
        <w:tab/>
        <w:t xml:space="preserve">К. </w:t>
      </w:r>
      <w:proofErr w:type="spellStart"/>
      <w:r w:rsidRPr="002B21A1">
        <w:rPr>
          <w:lang w:val="ru-RU"/>
        </w:rPr>
        <w:t>ФЛУТУР</w:t>
      </w:r>
      <w:proofErr w:type="spellEnd"/>
    </w:p>
    <w:p w14:paraId="1FDB1A99" w14:textId="2B6530F8" w:rsidR="00B87E1C" w:rsidRPr="00B87E1C" w:rsidRDefault="00B87E1C" w:rsidP="00B87E1C">
      <w:pPr>
        <w:tabs>
          <w:tab w:val="left" w:pos="567"/>
          <w:tab w:val="left" w:pos="1134"/>
          <w:tab w:val="left" w:pos="1701"/>
          <w:tab w:val="left" w:pos="2268"/>
          <w:tab w:val="left" w:pos="2835"/>
        </w:tabs>
        <w:spacing w:before="720"/>
        <w:jc w:val="center"/>
      </w:pPr>
      <w:r>
        <w:t>______________</w:t>
      </w:r>
    </w:p>
    <w:sectPr w:rsidR="00B87E1C" w:rsidRPr="00B87E1C" w:rsidSect="00796BD3">
      <w:footerReference w:type="default" r:id="rId36"/>
      <w:headerReference w:type="first" r:id="rId37"/>
      <w:footerReference w:type="first" r:id="rId3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E7F0" w14:textId="77777777" w:rsidR="00575DF6" w:rsidRDefault="00575DF6">
      <w:r>
        <w:separator/>
      </w:r>
    </w:p>
  </w:endnote>
  <w:endnote w:type="continuationSeparator" w:id="0">
    <w:p w14:paraId="2CFD559D" w14:textId="77777777" w:rsidR="00575DF6" w:rsidRDefault="0057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87E1C" w:rsidRPr="00784011" w14:paraId="4DB84A56" w14:textId="77777777" w:rsidTr="008B7CA7">
      <w:trPr>
        <w:jc w:val="center"/>
      </w:trPr>
      <w:tc>
        <w:tcPr>
          <w:tcW w:w="1803" w:type="dxa"/>
          <w:vAlign w:val="center"/>
        </w:tcPr>
        <w:p w14:paraId="67014A55" w14:textId="1191E5DF" w:rsidR="00B87E1C" w:rsidRDefault="00B87E1C" w:rsidP="00B87E1C">
          <w:pPr>
            <w:pStyle w:val="Header"/>
            <w:jc w:val="left"/>
            <w:rPr>
              <w:noProof/>
            </w:rPr>
          </w:pPr>
        </w:p>
      </w:tc>
      <w:tc>
        <w:tcPr>
          <w:tcW w:w="8261" w:type="dxa"/>
        </w:tcPr>
        <w:p w14:paraId="378D95CA" w14:textId="77777777" w:rsidR="00B87E1C" w:rsidRPr="00E06FD5" w:rsidRDefault="00B87E1C" w:rsidP="00B87E1C">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25</w:t>
          </w:r>
          <w:proofErr w:type="spellEnd"/>
          <w:r w:rsidRPr="00623AE3">
            <w:rPr>
              <w:bCs/>
            </w:rPr>
            <w:t>/</w:t>
          </w:r>
          <w:r>
            <w:rPr>
              <w:bCs/>
              <w:lang w:val="ru-RU"/>
            </w:rPr>
            <w:t>110</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1055ABF3" w14:textId="77777777" w:rsidR="000E568E" w:rsidRPr="00B87E1C" w:rsidRDefault="000E568E" w:rsidP="00B8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40F0F9D7" w14:textId="77777777" w:rsidTr="00E31DCE">
      <w:trPr>
        <w:jc w:val="center"/>
      </w:trPr>
      <w:tc>
        <w:tcPr>
          <w:tcW w:w="1803" w:type="dxa"/>
          <w:vAlign w:val="center"/>
        </w:tcPr>
        <w:p w14:paraId="5C06F642" w14:textId="77777777" w:rsidR="00672F8A" w:rsidRDefault="00D631AA" w:rsidP="00672F8A">
          <w:pPr>
            <w:pStyle w:val="Header"/>
            <w:jc w:val="left"/>
            <w:rPr>
              <w:noProof/>
            </w:rPr>
          </w:pPr>
          <w:proofErr w:type="spellStart"/>
          <w:r w:rsidRPr="00D631AA">
            <w:rPr>
              <w:color w:val="0563C1"/>
              <w:szCs w:val="14"/>
            </w:rPr>
            <w:t>council.itu.int</w:t>
          </w:r>
          <w:proofErr w:type="spellEnd"/>
          <w:r w:rsidRPr="00D631AA">
            <w:rPr>
              <w:color w:val="0563C1"/>
              <w:szCs w:val="14"/>
            </w:rPr>
            <w:t>/2025</w:t>
          </w:r>
        </w:p>
      </w:tc>
      <w:tc>
        <w:tcPr>
          <w:tcW w:w="8261" w:type="dxa"/>
        </w:tcPr>
        <w:p w14:paraId="1222179F" w14:textId="60D84D32"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345D2A">
            <w:rPr>
              <w:bCs/>
            </w:rPr>
            <w:t>5</w:t>
          </w:r>
          <w:proofErr w:type="spellEnd"/>
          <w:r w:rsidRPr="00623AE3">
            <w:rPr>
              <w:bCs/>
            </w:rPr>
            <w:t>/</w:t>
          </w:r>
          <w:r w:rsidR="00C37AC5">
            <w:rPr>
              <w:bCs/>
              <w:lang w:val="ru-RU"/>
            </w:rPr>
            <w:t>110</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77AD8717"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1CA0" w14:textId="77777777" w:rsidR="00575DF6" w:rsidRDefault="00575DF6">
      <w:r>
        <w:t>____________________</w:t>
      </w:r>
    </w:p>
  </w:footnote>
  <w:footnote w:type="continuationSeparator" w:id="0">
    <w:p w14:paraId="504248E2" w14:textId="77777777" w:rsidR="00575DF6" w:rsidRDefault="0057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156890" w:rsidRPr="00784011" w14:paraId="15B40D45" w14:textId="77777777" w:rsidTr="00156890">
      <w:trPr>
        <w:trHeight w:val="1104"/>
        <w:jc w:val="center"/>
      </w:trPr>
      <w:tc>
        <w:tcPr>
          <w:tcW w:w="6359" w:type="dxa"/>
          <w:vAlign w:val="center"/>
        </w:tcPr>
        <w:p w14:paraId="6C9837E1" w14:textId="77777777" w:rsidR="00156890" w:rsidRDefault="00156890"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560C8EBB" wp14:editId="3ACC8702">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26A4A754" w14:textId="77777777" w:rsidR="00156890" w:rsidRDefault="00156890" w:rsidP="00796BD3">
          <w:pPr>
            <w:pStyle w:val="Header"/>
            <w:jc w:val="right"/>
            <w:rPr>
              <w:rFonts w:ascii="Arial" w:hAnsi="Arial" w:cs="Arial"/>
              <w:b/>
              <w:bCs/>
              <w:color w:val="009CD6"/>
              <w:szCs w:val="18"/>
            </w:rPr>
          </w:pPr>
        </w:p>
      </w:tc>
    </w:tr>
  </w:tbl>
  <w:p w14:paraId="376DDC0B" w14:textId="77777777" w:rsidR="0014229E" w:rsidRDefault="00796BD3"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36420DB" wp14:editId="434D5630">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46FCB"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3C"/>
    <w:rsid w:val="00005BE0"/>
    <w:rsid w:val="0002183E"/>
    <w:rsid w:val="00021AC0"/>
    <w:rsid w:val="00026A9A"/>
    <w:rsid w:val="000524E8"/>
    <w:rsid w:val="000569B4"/>
    <w:rsid w:val="0006007D"/>
    <w:rsid w:val="00080E82"/>
    <w:rsid w:val="000B2DE7"/>
    <w:rsid w:val="000D5358"/>
    <w:rsid w:val="000E568E"/>
    <w:rsid w:val="000F0326"/>
    <w:rsid w:val="0014229E"/>
    <w:rsid w:val="0014734F"/>
    <w:rsid w:val="00156890"/>
    <w:rsid w:val="0015710D"/>
    <w:rsid w:val="00163A32"/>
    <w:rsid w:val="00165D06"/>
    <w:rsid w:val="00192B41"/>
    <w:rsid w:val="001B7B09"/>
    <w:rsid w:val="001D24B9"/>
    <w:rsid w:val="001E6719"/>
    <w:rsid w:val="001E7F50"/>
    <w:rsid w:val="001F23D7"/>
    <w:rsid w:val="00225368"/>
    <w:rsid w:val="00227FF0"/>
    <w:rsid w:val="00242810"/>
    <w:rsid w:val="00291EB6"/>
    <w:rsid w:val="002C3F32"/>
    <w:rsid w:val="002C7C75"/>
    <w:rsid w:val="002D2F57"/>
    <w:rsid w:val="002D48C5"/>
    <w:rsid w:val="0033025A"/>
    <w:rsid w:val="00345D2A"/>
    <w:rsid w:val="003D6F72"/>
    <w:rsid w:val="003F099E"/>
    <w:rsid w:val="003F235E"/>
    <w:rsid w:val="00401FD7"/>
    <w:rsid w:val="004023E0"/>
    <w:rsid w:val="00403DD8"/>
    <w:rsid w:val="00421C6B"/>
    <w:rsid w:val="00433189"/>
    <w:rsid w:val="0044156B"/>
    <w:rsid w:val="00442515"/>
    <w:rsid w:val="004432BB"/>
    <w:rsid w:val="0045686C"/>
    <w:rsid w:val="00457930"/>
    <w:rsid w:val="004918C4"/>
    <w:rsid w:val="00497703"/>
    <w:rsid w:val="004A0374"/>
    <w:rsid w:val="004A45B5"/>
    <w:rsid w:val="004D0129"/>
    <w:rsid w:val="004E3595"/>
    <w:rsid w:val="00505040"/>
    <w:rsid w:val="00515795"/>
    <w:rsid w:val="00563B45"/>
    <w:rsid w:val="00567F3E"/>
    <w:rsid w:val="00575DF6"/>
    <w:rsid w:val="005A64D5"/>
    <w:rsid w:val="005B3DEC"/>
    <w:rsid w:val="005F0C1B"/>
    <w:rsid w:val="00601994"/>
    <w:rsid w:val="006215D3"/>
    <w:rsid w:val="00660449"/>
    <w:rsid w:val="00672F8A"/>
    <w:rsid w:val="006B31CA"/>
    <w:rsid w:val="006C4E5D"/>
    <w:rsid w:val="006E2D42"/>
    <w:rsid w:val="00703676"/>
    <w:rsid w:val="00706FE3"/>
    <w:rsid w:val="00707304"/>
    <w:rsid w:val="00715F60"/>
    <w:rsid w:val="0072678B"/>
    <w:rsid w:val="00732269"/>
    <w:rsid w:val="00762555"/>
    <w:rsid w:val="0077110E"/>
    <w:rsid w:val="00785ABD"/>
    <w:rsid w:val="00796BD3"/>
    <w:rsid w:val="007A2DD4"/>
    <w:rsid w:val="007A35CD"/>
    <w:rsid w:val="007C62D7"/>
    <w:rsid w:val="007D38B5"/>
    <w:rsid w:val="007E7EA0"/>
    <w:rsid w:val="007F1A8A"/>
    <w:rsid w:val="007F2DAB"/>
    <w:rsid w:val="00807255"/>
    <w:rsid w:val="0081023E"/>
    <w:rsid w:val="008173AA"/>
    <w:rsid w:val="00831EBC"/>
    <w:rsid w:val="00840A14"/>
    <w:rsid w:val="00871663"/>
    <w:rsid w:val="00894264"/>
    <w:rsid w:val="00895807"/>
    <w:rsid w:val="008B62B4"/>
    <w:rsid w:val="008D2D7B"/>
    <w:rsid w:val="008E0737"/>
    <w:rsid w:val="008F7C2C"/>
    <w:rsid w:val="00921391"/>
    <w:rsid w:val="0092710A"/>
    <w:rsid w:val="009401E5"/>
    <w:rsid w:val="00940E96"/>
    <w:rsid w:val="00950A82"/>
    <w:rsid w:val="009B0BAE"/>
    <w:rsid w:val="009C1C89"/>
    <w:rsid w:val="009E5A57"/>
    <w:rsid w:val="009F3448"/>
    <w:rsid w:val="009F601D"/>
    <w:rsid w:val="00A01CF9"/>
    <w:rsid w:val="00A05D68"/>
    <w:rsid w:val="00A20B63"/>
    <w:rsid w:val="00A5700C"/>
    <w:rsid w:val="00A70B0D"/>
    <w:rsid w:val="00A71773"/>
    <w:rsid w:val="00AB763B"/>
    <w:rsid w:val="00AC656B"/>
    <w:rsid w:val="00AE2C85"/>
    <w:rsid w:val="00B0107F"/>
    <w:rsid w:val="00B1017A"/>
    <w:rsid w:val="00B12A37"/>
    <w:rsid w:val="00B31152"/>
    <w:rsid w:val="00B41837"/>
    <w:rsid w:val="00B52524"/>
    <w:rsid w:val="00B63EF2"/>
    <w:rsid w:val="00B7642F"/>
    <w:rsid w:val="00B87E1C"/>
    <w:rsid w:val="00BA7D89"/>
    <w:rsid w:val="00BB5202"/>
    <w:rsid w:val="00BC0D39"/>
    <w:rsid w:val="00BC7BC0"/>
    <w:rsid w:val="00BD57B7"/>
    <w:rsid w:val="00BE2ED2"/>
    <w:rsid w:val="00BE63E2"/>
    <w:rsid w:val="00C2731C"/>
    <w:rsid w:val="00C37AC5"/>
    <w:rsid w:val="00C462C5"/>
    <w:rsid w:val="00C75D7A"/>
    <w:rsid w:val="00C83C15"/>
    <w:rsid w:val="00CD2009"/>
    <w:rsid w:val="00CF629C"/>
    <w:rsid w:val="00D04A88"/>
    <w:rsid w:val="00D137F9"/>
    <w:rsid w:val="00D631AA"/>
    <w:rsid w:val="00D67E3C"/>
    <w:rsid w:val="00D92EEA"/>
    <w:rsid w:val="00D964FA"/>
    <w:rsid w:val="00DA5D4E"/>
    <w:rsid w:val="00DA770A"/>
    <w:rsid w:val="00DF7628"/>
    <w:rsid w:val="00E05752"/>
    <w:rsid w:val="00E176BA"/>
    <w:rsid w:val="00E423EC"/>
    <w:rsid w:val="00E55121"/>
    <w:rsid w:val="00E72959"/>
    <w:rsid w:val="00EB4FCB"/>
    <w:rsid w:val="00EC6BC5"/>
    <w:rsid w:val="00EF201A"/>
    <w:rsid w:val="00F348D0"/>
    <w:rsid w:val="00F35898"/>
    <w:rsid w:val="00F5225B"/>
    <w:rsid w:val="00F8135B"/>
    <w:rsid w:val="00F81A11"/>
    <w:rsid w:val="00F95D4F"/>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49E38"/>
  <w15:docId w15:val="{07630674-154C-454A-B578-921B0CC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AC5"/>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921391"/>
    <w:pPr>
      <w:keepNext/>
      <w:keepLines/>
      <w:spacing w:before="360"/>
      <w:ind w:left="794" w:hanging="794"/>
      <w:outlineLvl w:val="0"/>
    </w:pPr>
    <w:rPr>
      <w:b/>
      <w:sz w:val="26"/>
    </w:rPr>
  </w:style>
  <w:style w:type="paragraph" w:styleId="Heading2">
    <w:name w:val="heading 2"/>
    <w:basedOn w:val="Heading1"/>
    <w:next w:val="Normal"/>
    <w:qFormat/>
    <w:rsid w:val="00C37AC5"/>
    <w:pPr>
      <w:spacing w:before="320"/>
      <w:outlineLvl w:val="1"/>
    </w:pPr>
    <w:rPr>
      <w:sz w:val="22"/>
    </w:rPr>
  </w:style>
  <w:style w:type="paragraph" w:styleId="Heading3">
    <w:name w:val="heading 3"/>
    <w:basedOn w:val="Heading1"/>
    <w:next w:val="Normal"/>
    <w:qFormat/>
    <w:rsid w:val="00C37AC5"/>
    <w:pPr>
      <w:spacing w:before="200"/>
      <w:ind w:left="0" w:firstLine="0"/>
      <w:outlineLvl w:val="2"/>
    </w:pPr>
    <w:rPr>
      <w:rFonts w:asciiTheme="minorHAnsi" w:hAnsiTheme="minorHAnsi"/>
      <w:sz w:val="22"/>
    </w:rPr>
  </w:style>
  <w:style w:type="paragraph" w:styleId="Heading4">
    <w:name w:val="heading 4"/>
    <w:basedOn w:val="Heading3"/>
    <w:next w:val="Normal"/>
    <w:qFormat/>
    <w:rsid w:val="00C37AC5"/>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C37AC5"/>
    <w:pPr>
      <w:outlineLvl w:val="4"/>
    </w:pPr>
  </w:style>
  <w:style w:type="paragraph" w:styleId="Heading6">
    <w:name w:val="heading 6"/>
    <w:basedOn w:val="Heading4"/>
    <w:next w:val="Normal"/>
    <w:qFormat/>
    <w:rsid w:val="00C37AC5"/>
    <w:pPr>
      <w:outlineLvl w:val="5"/>
    </w:pPr>
  </w:style>
  <w:style w:type="paragraph" w:styleId="Heading7">
    <w:name w:val="heading 7"/>
    <w:basedOn w:val="Heading6"/>
    <w:next w:val="Normal"/>
    <w:qFormat/>
    <w:rsid w:val="00C37AC5"/>
    <w:pPr>
      <w:outlineLvl w:val="6"/>
    </w:pPr>
  </w:style>
  <w:style w:type="paragraph" w:styleId="Heading8">
    <w:name w:val="heading 8"/>
    <w:basedOn w:val="Heading6"/>
    <w:next w:val="Normal"/>
    <w:qFormat/>
    <w:rsid w:val="00C37AC5"/>
    <w:pPr>
      <w:outlineLvl w:val="7"/>
    </w:pPr>
  </w:style>
  <w:style w:type="paragraph" w:styleId="Heading9">
    <w:name w:val="heading 9"/>
    <w:basedOn w:val="Heading6"/>
    <w:next w:val="Normal"/>
    <w:qFormat/>
    <w:rsid w:val="00C37A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C37AC5"/>
  </w:style>
  <w:style w:type="paragraph" w:styleId="TOC4">
    <w:name w:val="toc 4"/>
    <w:basedOn w:val="TOC3"/>
    <w:rsid w:val="00C37AC5"/>
    <w:pPr>
      <w:spacing w:before="80"/>
    </w:pPr>
  </w:style>
  <w:style w:type="paragraph" w:styleId="TOC3">
    <w:name w:val="toc 3"/>
    <w:basedOn w:val="TOC2"/>
    <w:rsid w:val="00C37AC5"/>
  </w:style>
  <w:style w:type="paragraph" w:styleId="TOC2">
    <w:name w:val="toc 2"/>
    <w:basedOn w:val="TOC1"/>
    <w:rsid w:val="00C37AC5"/>
    <w:pPr>
      <w:spacing w:before="160"/>
    </w:pPr>
  </w:style>
  <w:style w:type="paragraph" w:styleId="TOC1">
    <w:name w:val="toc 1"/>
    <w:basedOn w:val="Normal"/>
    <w:rsid w:val="00C37AC5"/>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C37AC5"/>
  </w:style>
  <w:style w:type="paragraph" w:styleId="TOC6">
    <w:name w:val="toc 6"/>
    <w:basedOn w:val="TOC4"/>
    <w:rsid w:val="00C37AC5"/>
  </w:style>
  <w:style w:type="paragraph" w:styleId="TOC5">
    <w:name w:val="toc 5"/>
    <w:basedOn w:val="TOC4"/>
    <w:rsid w:val="00C37AC5"/>
  </w:style>
  <w:style w:type="paragraph" w:styleId="Index7">
    <w:name w:val="index 7"/>
    <w:basedOn w:val="Normal"/>
    <w:next w:val="Normal"/>
    <w:rsid w:val="00C37AC5"/>
    <w:pPr>
      <w:ind w:left="1698"/>
    </w:pPr>
  </w:style>
  <w:style w:type="paragraph" w:styleId="Index6">
    <w:name w:val="index 6"/>
    <w:basedOn w:val="Normal"/>
    <w:next w:val="Normal"/>
    <w:rsid w:val="00C37AC5"/>
    <w:pPr>
      <w:ind w:left="1415"/>
    </w:pPr>
  </w:style>
  <w:style w:type="paragraph" w:styleId="Index5">
    <w:name w:val="index 5"/>
    <w:basedOn w:val="Normal"/>
    <w:next w:val="Normal"/>
    <w:rsid w:val="00C37AC5"/>
    <w:pPr>
      <w:ind w:left="1132"/>
    </w:pPr>
  </w:style>
  <w:style w:type="paragraph" w:styleId="Index4">
    <w:name w:val="index 4"/>
    <w:basedOn w:val="Normal"/>
    <w:next w:val="Normal"/>
    <w:rsid w:val="00C37AC5"/>
    <w:pPr>
      <w:ind w:left="849"/>
    </w:pPr>
  </w:style>
  <w:style w:type="paragraph" w:styleId="Index3">
    <w:name w:val="index 3"/>
    <w:basedOn w:val="Normal"/>
    <w:next w:val="Normal"/>
    <w:rsid w:val="00C37AC5"/>
    <w:pPr>
      <w:ind w:left="566"/>
    </w:pPr>
  </w:style>
  <w:style w:type="paragraph" w:styleId="Index2">
    <w:name w:val="index 2"/>
    <w:basedOn w:val="Normal"/>
    <w:next w:val="Normal"/>
    <w:rsid w:val="00C37AC5"/>
    <w:pPr>
      <w:ind w:left="283"/>
    </w:pPr>
  </w:style>
  <w:style w:type="paragraph" w:styleId="Index1">
    <w:name w:val="index 1"/>
    <w:basedOn w:val="Normal"/>
    <w:next w:val="Normal"/>
    <w:rsid w:val="00C37AC5"/>
  </w:style>
  <w:style w:type="character" w:styleId="LineNumber">
    <w:name w:val="line number"/>
    <w:basedOn w:val="DefaultParagraphFont"/>
    <w:rsid w:val="00C37AC5"/>
  </w:style>
  <w:style w:type="paragraph" w:styleId="IndexHeading">
    <w:name w:val="index heading"/>
    <w:basedOn w:val="Normal"/>
    <w:next w:val="Index1"/>
    <w:rsid w:val="00C37AC5"/>
  </w:style>
  <w:style w:type="paragraph" w:styleId="Footer">
    <w:name w:val="footer"/>
    <w:basedOn w:val="Normal"/>
    <w:rsid w:val="00C37AC5"/>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C37AC5"/>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C37AC5"/>
    <w:rPr>
      <w:position w:val="6"/>
      <w:sz w:val="16"/>
    </w:rPr>
  </w:style>
  <w:style w:type="paragraph" w:styleId="FootnoteText">
    <w:name w:val="footnote text"/>
    <w:basedOn w:val="Normal"/>
    <w:rsid w:val="00C37AC5"/>
    <w:pPr>
      <w:keepLines/>
      <w:tabs>
        <w:tab w:val="left" w:pos="255"/>
      </w:tabs>
      <w:spacing w:before="60"/>
      <w:ind w:left="284" w:hanging="284"/>
    </w:pPr>
    <w:rPr>
      <w:sz w:val="20"/>
    </w:rPr>
  </w:style>
  <w:style w:type="paragraph" w:styleId="NormalIndent">
    <w:name w:val="Normal Indent"/>
    <w:basedOn w:val="Normal"/>
    <w:rsid w:val="00C37AC5"/>
    <w:pPr>
      <w:ind w:left="794"/>
    </w:pPr>
  </w:style>
  <w:style w:type="paragraph" w:customStyle="1" w:styleId="enumlev1">
    <w:name w:val="enumlev1"/>
    <w:basedOn w:val="Normal"/>
    <w:rsid w:val="00C37AC5"/>
    <w:pPr>
      <w:tabs>
        <w:tab w:val="left" w:pos="2608"/>
        <w:tab w:val="left" w:pos="3345"/>
      </w:tabs>
      <w:spacing w:before="80"/>
      <w:ind w:left="794" w:hanging="794"/>
    </w:pPr>
  </w:style>
  <w:style w:type="paragraph" w:customStyle="1" w:styleId="enumlev2">
    <w:name w:val="enumlev2"/>
    <w:basedOn w:val="enumlev1"/>
    <w:rsid w:val="00C37AC5"/>
    <w:pPr>
      <w:ind w:left="1191" w:hanging="397"/>
    </w:pPr>
  </w:style>
  <w:style w:type="paragraph" w:customStyle="1" w:styleId="enumlev3">
    <w:name w:val="enumlev3"/>
    <w:basedOn w:val="enumlev2"/>
    <w:rsid w:val="00C37AC5"/>
    <w:pPr>
      <w:ind w:left="1588"/>
    </w:pPr>
  </w:style>
  <w:style w:type="paragraph" w:customStyle="1" w:styleId="Normalaftertitle">
    <w:name w:val="Normal after title"/>
    <w:basedOn w:val="Normal"/>
    <w:next w:val="Normal"/>
    <w:rsid w:val="00C37AC5"/>
    <w:pPr>
      <w:spacing w:before="320"/>
    </w:pPr>
  </w:style>
  <w:style w:type="paragraph" w:customStyle="1" w:styleId="Equation">
    <w:name w:val="Equation"/>
    <w:basedOn w:val="Normal"/>
    <w:rsid w:val="00C37AC5"/>
    <w:pPr>
      <w:tabs>
        <w:tab w:val="clear" w:pos="1191"/>
        <w:tab w:val="clear" w:pos="1588"/>
        <w:tab w:val="clear" w:pos="1985"/>
        <w:tab w:val="center" w:pos="4820"/>
        <w:tab w:val="right" w:pos="9639"/>
      </w:tabs>
    </w:pPr>
  </w:style>
  <w:style w:type="paragraph" w:customStyle="1" w:styleId="Head">
    <w:name w:val="Head"/>
    <w:basedOn w:val="Normal"/>
    <w:rsid w:val="00C37AC5"/>
    <w:pPr>
      <w:tabs>
        <w:tab w:val="left" w:pos="6663"/>
      </w:tabs>
      <w:overflowPunct/>
      <w:autoSpaceDE/>
      <w:autoSpaceDN/>
      <w:adjustRightInd/>
      <w:spacing w:before="0"/>
      <w:textAlignment w:val="auto"/>
    </w:pPr>
  </w:style>
  <w:style w:type="paragraph" w:customStyle="1" w:styleId="toc0">
    <w:name w:val="toc 0"/>
    <w:basedOn w:val="Normal"/>
    <w:next w:val="TOC1"/>
    <w:rsid w:val="00C37AC5"/>
    <w:pPr>
      <w:tabs>
        <w:tab w:val="clear" w:pos="1191"/>
        <w:tab w:val="clear" w:pos="1588"/>
        <w:tab w:val="clear" w:pos="1985"/>
        <w:tab w:val="center" w:pos="8789"/>
      </w:tabs>
    </w:pPr>
    <w:rPr>
      <w:b/>
    </w:rPr>
  </w:style>
  <w:style w:type="paragraph" w:styleId="List">
    <w:name w:val="List"/>
    <w:basedOn w:val="Normal"/>
    <w:rsid w:val="00C37AC5"/>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C37AC5"/>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C37AC5"/>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C37AC5"/>
    <w:pPr>
      <w:spacing w:before="480"/>
      <w:jc w:val="center"/>
    </w:pPr>
    <w:rPr>
      <w:b/>
      <w:sz w:val="26"/>
    </w:rPr>
  </w:style>
  <w:style w:type="paragraph" w:customStyle="1" w:styleId="meeting">
    <w:name w:val="meeting"/>
    <w:basedOn w:val="Head"/>
    <w:next w:val="Head"/>
    <w:rsid w:val="00C37AC5"/>
    <w:pPr>
      <w:tabs>
        <w:tab w:val="left" w:pos="7371"/>
      </w:tabs>
      <w:spacing w:after="567"/>
    </w:pPr>
  </w:style>
  <w:style w:type="paragraph" w:customStyle="1" w:styleId="Subject">
    <w:name w:val="Subject"/>
    <w:basedOn w:val="Normal"/>
    <w:next w:val="Source"/>
    <w:rsid w:val="00C37AC5"/>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C37AC5"/>
  </w:style>
  <w:style w:type="paragraph" w:customStyle="1" w:styleId="Data">
    <w:name w:val="Data"/>
    <w:basedOn w:val="Subject"/>
    <w:next w:val="Subject"/>
    <w:rsid w:val="00C37AC5"/>
  </w:style>
  <w:style w:type="paragraph" w:customStyle="1" w:styleId="Reasons">
    <w:name w:val="Reasons"/>
    <w:basedOn w:val="Normal"/>
    <w:rsid w:val="00C37AC5"/>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87E1C"/>
    <w:rPr>
      <w:color w:val="0070C0"/>
      <w:u w:val="single"/>
    </w:rPr>
  </w:style>
  <w:style w:type="paragraph" w:customStyle="1" w:styleId="FirstFooter">
    <w:name w:val="FirstFooter"/>
    <w:basedOn w:val="Footer"/>
    <w:rsid w:val="00C37AC5"/>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C37AC5"/>
    <w:pPr>
      <w:tabs>
        <w:tab w:val="clear" w:pos="794"/>
        <w:tab w:val="clear" w:pos="1191"/>
        <w:tab w:val="clear" w:pos="1588"/>
        <w:tab w:val="clear" w:pos="1985"/>
      </w:tabs>
      <w:spacing w:before="80"/>
    </w:pPr>
  </w:style>
  <w:style w:type="paragraph" w:styleId="TOC9">
    <w:name w:val="toc 9"/>
    <w:basedOn w:val="TOC4"/>
    <w:rsid w:val="00C37AC5"/>
  </w:style>
  <w:style w:type="paragraph" w:customStyle="1" w:styleId="Headingb">
    <w:name w:val="Heading_b"/>
    <w:basedOn w:val="Heading3"/>
    <w:next w:val="Normal"/>
    <w:rsid w:val="00C37AC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C37AC5"/>
    <w:rPr>
      <w:color w:val="800080"/>
      <w:u w:val="single"/>
    </w:rPr>
  </w:style>
  <w:style w:type="paragraph" w:customStyle="1" w:styleId="Title1">
    <w:name w:val="Title 1"/>
    <w:basedOn w:val="Source"/>
    <w:next w:val="Title2"/>
    <w:rsid w:val="00C37AC5"/>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C37AC5"/>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C37AC5"/>
    <w:pPr>
      <w:spacing w:before="240"/>
    </w:pPr>
    <w:rPr>
      <w:caps w:val="0"/>
    </w:rPr>
  </w:style>
  <w:style w:type="paragraph" w:customStyle="1" w:styleId="Title4">
    <w:name w:val="Title 4"/>
    <w:basedOn w:val="Title3"/>
    <w:next w:val="Heading1"/>
    <w:rsid w:val="00C37AC5"/>
    <w:rPr>
      <w:b/>
    </w:rPr>
  </w:style>
  <w:style w:type="paragraph" w:customStyle="1" w:styleId="dnum">
    <w:name w:val="dnum"/>
    <w:basedOn w:val="Normal"/>
    <w:rsid w:val="00C37AC5"/>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C37AC5"/>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C37AC5"/>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C37AC5"/>
    <w:pPr>
      <w:keepNext/>
      <w:keepLines/>
      <w:spacing w:before="480" w:after="80"/>
      <w:jc w:val="center"/>
    </w:pPr>
    <w:rPr>
      <w:caps/>
      <w:sz w:val="26"/>
    </w:rPr>
  </w:style>
  <w:style w:type="paragraph" w:customStyle="1" w:styleId="Annextitle">
    <w:name w:val="Annex_title"/>
    <w:basedOn w:val="Normal"/>
    <w:next w:val="Annexref"/>
    <w:rsid w:val="00C37AC5"/>
    <w:pPr>
      <w:keepNext/>
      <w:keepLines/>
      <w:spacing w:before="240" w:after="280"/>
      <w:jc w:val="center"/>
    </w:pPr>
    <w:rPr>
      <w:b/>
      <w:sz w:val="26"/>
    </w:rPr>
  </w:style>
  <w:style w:type="paragraph" w:customStyle="1" w:styleId="Annexref">
    <w:name w:val="Annex_ref"/>
    <w:basedOn w:val="Normal"/>
    <w:next w:val="Normalaftertitle"/>
    <w:rsid w:val="00C37AC5"/>
    <w:pPr>
      <w:keepNext/>
      <w:keepLines/>
      <w:spacing w:after="280"/>
      <w:jc w:val="center"/>
    </w:pPr>
  </w:style>
  <w:style w:type="paragraph" w:customStyle="1" w:styleId="AppendixNo">
    <w:name w:val="Appendix_No"/>
    <w:basedOn w:val="AnnexNo"/>
    <w:next w:val="Appendixtitle"/>
    <w:rsid w:val="00C37AC5"/>
  </w:style>
  <w:style w:type="paragraph" w:customStyle="1" w:styleId="Appendixtitle">
    <w:name w:val="Appendix_title"/>
    <w:basedOn w:val="Annextitle"/>
    <w:next w:val="Appendixref"/>
    <w:rsid w:val="00C37AC5"/>
  </w:style>
  <w:style w:type="paragraph" w:customStyle="1" w:styleId="Appendixref">
    <w:name w:val="Appendix_ref"/>
    <w:basedOn w:val="Annexref"/>
    <w:next w:val="Normalaftertitle"/>
    <w:rsid w:val="00C37AC5"/>
  </w:style>
  <w:style w:type="paragraph" w:customStyle="1" w:styleId="Call">
    <w:name w:val="Call"/>
    <w:basedOn w:val="Normal"/>
    <w:next w:val="Normal"/>
    <w:rsid w:val="00C37AC5"/>
    <w:pPr>
      <w:keepNext/>
      <w:keepLines/>
      <w:spacing w:before="160"/>
      <w:ind w:left="794"/>
    </w:pPr>
    <w:rPr>
      <w:i/>
    </w:rPr>
  </w:style>
  <w:style w:type="character" w:styleId="EndnoteReference">
    <w:name w:val="endnote reference"/>
    <w:basedOn w:val="DefaultParagraphFont"/>
    <w:rsid w:val="00C37AC5"/>
    <w:rPr>
      <w:vertAlign w:val="superscript"/>
    </w:rPr>
  </w:style>
  <w:style w:type="paragraph" w:customStyle="1" w:styleId="Equationlegend">
    <w:name w:val="Equation_legend"/>
    <w:basedOn w:val="Normal"/>
    <w:rsid w:val="00C37AC5"/>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C37AC5"/>
    <w:pPr>
      <w:keepNext/>
      <w:keepLines/>
      <w:spacing w:after="120"/>
      <w:jc w:val="center"/>
    </w:pPr>
  </w:style>
  <w:style w:type="paragraph" w:customStyle="1" w:styleId="Figuretitle">
    <w:name w:val="Figure_title"/>
    <w:basedOn w:val="Tabletitle"/>
    <w:next w:val="Normalaftertitle"/>
    <w:rsid w:val="00C37AC5"/>
    <w:pPr>
      <w:spacing w:before="240" w:after="480"/>
    </w:pPr>
  </w:style>
  <w:style w:type="paragraph" w:customStyle="1" w:styleId="Tabletitle">
    <w:name w:val="Table_title"/>
    <w:basedOn w:val="TableNo"/>
    <w:next w:val="Tabletext"/>
    <w:rsid w:val="00C37AC5"/>
    <w:pPr>
      <w:spacing w:before="0"/>
    </w:pPr>
    <w:rPr>
      <w:b/>
      <w:caps w:val="0"/>
    </w:rPr>
  </w:style>
  <w:style w:type="paragraph" w:customStyle="1" w:styleId="TableNo">
    <w:name w:val="Table_No"/>
    <w:basedOn w:val="Normal"/>
    <w:next w:val="Tabletitle"/>
    <w:rsid w:val="00C37AC5"/>
    <w:pPr>
      <w:keepNext/>
      <w:spacing w:before="360" w:after="120"/>
      <w:jc w:val="center"/>
    </w:pPr>
    <w:rPr>
      <w:caps/>
    </w:rPr>
  </w:style>
  <w:style w:type="paragraph" w:customStyle="1" w:styleId="Tabletext">
    <w:name w:val="Table_text"/>
    <w:basedOn w:val="Normal"/>
    <w:rsid w:val="00C37AC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C37AC5"/>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C37AC5"/>
    <w:pPr>
      <w:keepNext/>
      <w:keepLines/>
      <w:spacing w:before="240" w:after="120"/>
      <w:jc w:val="center"/>
    </w:pPr>
    <w:rPr>
      <w:caps/>
    </w:rPr>
  </w:style>
  <w:style w:type="paragraph" w:customStyle="1" w:styleId="Figurewithouttitle">
    <w:name w:val="Figure_without_title"/>
    <w:basedOn w:val="Figure"/>
    <w:next w:val="Normalaftertitle"/>
    <w:rsid w:val="00C37AC5"/>
    <w:pPr>
      <w:keepNext w:val="0"/>
      <w:spacing w:after="240"/>
    </w:pPr>
  </w:style>
  <w:style w:type="paragraph" w:customStyle="1" w:styleId="Headingi">
    <w:name w:val="Heading_i"/>
    <w:basedOn w:val="Heading3"/>
    <w:next w:val="Normal"/>
    <w:rsid w:val="00C37AC5"/>
    <w:pPr>
      <w:spacing w:before="160"/>
    </w:pPr>
    <w:rPr>
      <w:b w:val="0"/>
      <w:i/>
    </w:rPr>
  </w:style>
  <w:style w:type="character" w:styleId="PageNumber">
    <w:name w:val="page number"/>
    <w:basedOn w:val="DefaultParagraphFont"/>
    <w:rsid w:val="00C37AC5"/>
    <w:rPr>
      <w:rFonts w:ascii="Calibri" w:hAnsi="Calibri"/>
    </w:rPr>
  </w:style>
  <w:style w:type="paragraph" w:customStyle="1" w:styleId="PartNo">
    <w:name w:val="Part_No"/>
    <w:basedOn w:val="AnnexNo"/>
    <w:next w:val="Parttitle"/>
    <w:rsid w:val="00C37AC5"/>
  </w:style>
  <w:style w:type="paragraph" w:customStyle="1" w:styleId="Parttitle">
    <w:name w:val="Part_title"/>
    <w:basedOn w:val="Annextitle"/>
    <w:next w:val="Partref"/>
    <w:rsid w:val="00C37AC5"/>
  </w:style>
  <w:style w:type="paragraph" w:customStyle="1" w:styleId="Partref">
    <w:name w:val="Part_ref"/>
    <w:basedOn w:val="Annexref"/>
    <w:next w:val="Normalaftertitle"/>
    <w:rsid w:val="00C37AC5"/>
  </w:style>
  <w:style w:type="paragraph" w:customStyle="1" w:styleId="RecNo">
    <w:name w:val="Rec_No"/>
    <w:basedOn w:val="Normal"/>
    <w:next w:val="Rectitle"/>
    <w:rsid w:val="00C37AC5"/>
    <w:pPr>
      <w:keepNext/>
      <w:keepLines/>
      <w:spacing w:before="480"/>
      <w:jc w:val="center"/>
    </w:pPr>
    <w:rPr>
      <w:caps/>
      <w:sz w:val="26"/>
    </w:rPr>
  </w:style>
  <w:style w:type="paragraph" w:customStyle="1" w:styleId="Rectitle">
    <w:name w:val="Rec_title"/>
    <w:basedOn w:val="RecNo"/>
    <w:next w:val="Recref"/>
    <w:rsid w:val="00C37AC5"/>
    <w:pPr>
      <w:spacing w:before="240"/>
    </w:pPr>
    <w:rPr>
      <w:b/>
      <w:caps w:val="0"/>
    </w:rPr>
  </w:style>
  <w:style w:type="paragraph" w:customStyle="1" w:styleId="Recref">
    <w:name w:val="Rec_ref"/>
    <w:basedOn w:val="Rectitle"/>
    <w:next w:val="Recdate"/>
    <w:rsid w:val="00C37AC5"/>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C37AC5"/>
    <w:pPr>
      <w:jc w:val="right"/>
    </w:pPr>
    <w:rPr>
      <w:sz w:val="22"/>
    </w:rPr>
  </w:style>
  <w:style w:type="paragraph" w:customStyle="1" w:styleId="Questiondate">
    <w:name w:val="Question_date"/>
    <w:basedOn w:val="Recdate"/>
    <w:next w:val="Normalaftertitle"/>
    <w:rsid w:val="00C37AC5"/>
  </w:style>
  <w:style w:type="paragraph" w:customStyle="1" w:styleId="QuestionNo">
    <w:name w:val="Question_No"/>
    <w:basedOn w:val="RecNo"/>
    <w:next w:val="Questiontitle"/>
    <w:rsid w:val="00C37AC5"/>
  </w:style>
  <w:style w:type="paragraph" w:customStyle="1" w:styleId="Questionref">
    <w:name w:val="Question_ref"/>
    <w:basedOn w:val="Recref"/>
    <w:next w:val="Questiondate"/>
    <w:rsid w:val="00C37AC5"/>
  </w:style>
  <w:style w:type="paragraph" w:customStyle="1" w:styleId="Questiontitle">
    <w:name w:val="Question_title"/>
    <w:basedOn w:val="Rectitle"/>
    <w:next w:val="Questionref"/>
    <w:rsid w:val="00C37AC5"/>
  </w:style>
  <w:style w:type="paragraph" w:customStyle="1" w:styleId="Reftext">
    <w:name w:val="Ref_text"/>
    <w:basedOn w:val="Normal"/>
    <w:rsid w:val="00C37AC5"/>
    <w:pPr>
      <w:ind w:left="794" w:hanging="794"/>
    </w:pPr>
  </w:style>
  <w:style w:type="paragraph" w:customStyle="1" w:styleId="Reftitle">
    <w:name w:val="Ref_title"/>
    <w:basedOn w:val="Normal"/>
    <w:next w:val="Reftext"/>
    <w:rsid w:val="00C37AC5"/>
    <w:pPr>
      <w:spacing w:before="480"/>
      <w:jc w:val="center"/>
    </w:pPr>
    <w:rPr>
      <w:caps/>
    </w:rPr>
  </w:style>
  <w:style w:type="paragraph" w:customStyle="1" w:styleId="Repdate">
    <w:name w:val="Rep_date"/>
    <w:basedOn w:val="Recdate"/>
    <w:next w:val="Normalaftertitle"/>
    <w:rsid w:val="00C37AC5"/>
  </w:style>
  <w:style w:type="paragraph" w:customStyle="1" w:styleId="RepNo">
    <w:name w:val="Rep_No"/>
    <w:basedOn w:val="RecNo"/>
    <w:next w:val="Reptitle"/>
    <w:rsid w:val="00C37AC5"/>
  </w:style>
  <w:style w:type="paragraph" w:customStyle="1" w:styleId="Reptitle">
    <w:name w:val="Rep_title"/>
    <w:basedOn w:val="Rectitle"/>
    <w:next w:val="Repref"/>
    <w:rsid w:val="00C37AC5"/>
  </w:style>
  <w:style w:type="paragraph" w:customStyle="1" w:styleId="Repref">
    <w:name w:val="Rep_ref"/>
    <w:basedOn w:val="Recref"/>
    <w:next w:val="Repdate"/>
    <w:rsid w:val="00C37AC5"/>
  </w:style>
  <w:style w:type="paragraph" w:customStyle="1" w:styleId="Resdate">
    <w:name w:val="Res_date"/>
    <w:basedOn w:val="Recdate"/>
    <w:next w:val="Normalaftertitle"/>
    <w:rsid w:val="00C37AC5"/>
  </w:style>
  <w:style w:type="paragraph" w:customStyle="1" w:styleId="ResNo">
    <w:name w:val="Res_No"/>
    <w:basedOn w:val="RecNo"/>
    <w:next w:val="Restitle"/>
    <w:rsid w:val="00C37AC5"/>
  </w:style>
  <w:style w:type="paragraph" w:customStyle="1" w:styleId="Restitle">
    <w:name w:val="Res_title"/>
    <w:basedOn w:val="Rectitle"/>
    <w:next w:val="Resref"/>
    <w:rsid w:val="00C37AC5"/>
  </w:style>
  <w:style w:type="paragraph" w:customStyle="1" w:styleId="Resref">
    <w:name w:val="Res_ref"/>
    <w:basedOn w:val="Recref"/>
    <w:next w:val="Resdate"/>
    <w:rsid w:val="00C37AC5"/>
  </w:style>
  <w:style w:type="paragraph" w:customStyle="1" w:styleId="SectionNo">
    <w:name w:val="Section_No"/>
    <w:basedOn w:val="AnnexNo"/>
    <w:next w:val="Sectiontitle"/>
    <w:rsid w:val="00C37AC5"/>
  </w:style>
  <w:style w:type="paragraph" w:customStyle="1" w:styleId="Sectiontitle">
    <w:name w:val="Section_title"/>
    <w:basedOn w:val="Normal"/>
    <w:next w:val="Normalaftertitle"/>
    <w:rsid w:val="00C37AC5"/>
    <w:rPr>
      <w:sz w:val="26"/>
    </w:rPr>
  </w:style>
  <w:style w:type="paragraph" w:customStyle="1" w:styleId="SpecialFooter">
    <w:name w:val="Special Footer"/>
    <w:basedOn w:val="Footer"/>
    <w:rsid w:val="00C37AC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C37AC5"/>
    <w:pPr>
      <w:keepNext/>
      <w:spacing w:before="80" w:after="80"/>
      <w:jc w:val="center"/>
    </w:pPr>
    <w:rPr>
      <w:b/>
    </w:rPr>
  </w:style>
  <w:style w:type="paragraph" w:customStyle="1" w:styleId="Tablelegend">
    <w:name w:val="Table_legend"/>
    <w:basedOn w:val="Tabletext"/>
    <w:rsid w:val="00C37AC5"/>
    <w:pPr>
      <w:spacing w:before="120"/>
    </w:pPr>
  </w:style>
  <w:style w:type="paragraph" w:customStyle="1" w:styleId="Tableref">
    <w:name w:val="Table_ref"/>
    <w:basedOn w:val="Normal"/>
    <w:next w:val="Tabletitle"/>
    <w:rsid w:val="00C37AC5"/>
    <w:pPr>
      <w:keepNext/>
      <w:spacing w:before="567"/>
      <w:jc w:val="center"/>
    </w:pPr>
  </w:style>
  <w:style w:type="paragraph" w:customStyle="1" w:styleId="Artheading">
    <w:name w:val="Art_heading"/>
    <w:basedOn w:val="Normal"/>
    <w:next w:val="Normalaftertitle"/>
    <w:rsid w:val="00C37AC5"/>
    <w:pPr>
      <w:spacing w:before="480"/>
      <w:jc w:val="center"/>
    </w:pPr>
    <w:rPr>
      <w:rFonts w:ascii="Times New Roman Bold" w:hAnsi="Times New Roman Bold"/>
      <w:b/>
      <w:sz w:val="26"/>
    </w:rPr>
  </w:style>
  <w:style w:type="paragraph" w:customStyle="1" w:styleId="ArtNo">
    <w:name w:val="Art_No"/>
    <w:basedOn w:val="Normal"/>
    <w:next w:val="Normal"/>
    <w:rsid w:val="00C37AC5"/>
    <w:pPr>
      <w:keepNext/>
      <w:keepLines/>
      <w:spacing w:before="480"/>
      <w:jc w:val="center"/>
    </w:pPr>
    <w:rPr>
      <w:caps/>
      <w:sz w:val="26"/>
    </w:rPr>
  </w:style>
  <w:style w:type="paragraph" w:customStyle="1" w:styleId="Arttitle">
    <w:name w:val="Art_title"/>
    <w:basedOn w:val="Normal"/>
    <w:next w:val="Normalaftertitle"/>
    <w:rsid w:val="00C37AC5"/>
    <w:pPr>
      <w:keepNext/>
      <w:keepLines/>
      <w:spacing w:before="240"/>
      <w:jc w:val="center"/>
    </w:pPr>
    <w:rPr>
      <w:b/>
      <w:sz w:val="26"/>
    </w:rPr>
  </w:style>
  <w:style w:type="paragraph" w:customStyle="1" w:styleId="ChapNo">
    <w:name w:val="Chap_No"/>
    <w:basedOn w:val="ArtNo"/>
    <w:next w:val="Chaptitle"/>
    <w:rsid w:val="00C37AC5"/>
    <w:rPr>
      <w:b/>
    </w:rPr>
  </w:style>
  <w:style w:type="paragraph" w:customStyle="1" w:styleId="Chaptitle">
    <w:name w:val="Chap_title"/>
    <w:basedOn w:val="Arttitle"/>
    <w:next w:val="Normalaftertitle"/>
    <w:rsid w:val="00C37AC5"/>
  </w:style>
  <w:style w:type="character" w:customStyle="1" w:styleId="HeaderChar">
    <w:name w:val="Header Char"/>
    <w:basedOn w:val="DefaultParagraphFont"/>
    <w:link w:val="Header"/>
    <w:uiPriority w:val="99"/>
    <w:rsid w:val="00C37AC5"/>
    <w:rPr>
      <w:rFonts w:ascii="Calibri" w:hAnsi="Calibri"/>
      <w:sz w:val="18"/>
      <w:lang w:val="fr-FR" w:eastAsia="en-US"/>
    </w:rPr>
  </w:style>
  <w:style w:type="table" w:styleId="TableGrid">
    <w:name w:val="Table Grid"/>
    <w:basedOn w:val="TableNormal"/>
    <w:uiPriority w:val="39"/>
    <w:rsid w:val="00C37AC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C37AC5"/>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C37AC5"/>
    <w:rPr>
      <w:color w:val="666666"/>
    </w:rPr>
  </w:style>
  <w:style w:type="character" w:styleId="UnresolvedMention">
    <w:name w:val="Unresolved Mention"/>
    <w:basedOn w:val="DefaultParagraphFont"/>
    <w:uiPriority w:val="99"/>
    <w:semiHidden/>
    <w:unhideWhenUsed/>
    <w:rsid w:val="0083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52/en" TargetMode="External"/><Relationship Id="rId18" Type="http://schemas.openxmlformats.org/officeDocument/2006/relationships/hyperlink" Target="https://www.itu.int/md/S25-CL-C-0091/en" TargetMode="External"/><Relationship Id="rId26" Type="http://schemas.openxmlformats.org/officeDocument/2006/relationships/hyperlink" Target="https://www.itu.int/md/S25-CL-C-0052/en" TargetMode="External"/><Relationship Id="rId39" Type="http://schemas.openxmlformats.org/officeDocument/2006/relationships/fontTable" Target="fontTable.xml"/><Relationship Id="rId21" Type="http://schemas.openxmlformats.org/officeDocument/2006/relationships/hyperlink" Target="https://www.itu.int/md/S25-CL-C-0091/en" TargetMode="External"/><Relationship Id="rId34" Type="http://schemas.openxmlformats.org/officeDocument/2006/relationships/hyperlink" Target="https://www.itu.int/md/D22-TDAG32-INF-0004/en" TargetMode="External"/><Relationship Id="rId7" Type="http://schemas.openxmlformats.org/officeDocument/2006/relationships/hyperlink" Target="https://www.itu.int/md/S25-CL-C-0031/en" TargetMode="External"/><Relationship Id="rId12" Type="http://schemas.openxmlformats.org/officeDocument/2006/relationships/hyperlink" Target="https://www.itu.int/md/S25-CL-C-0053/en" TargetMode="External"/><Relationship Id="rId17" Type="http://schemas.openxmlformats.org/officeDocument/2006/relationships/hyperlink" Target="https://www.itu.int/md/S25-CL-C-0079/en" TargetMode="External"/><Relationship Id="rId25" Type="http://schemas.openxmlformats.org/officeDocument/2006/relationships/hyperlink" Target="https://www.itu.int/md/S25-CL-C-0053/en" TargetMode="External"/><Relationship Id="rId33" Type="http://schemas.openxmlformats.org/officeDocument/2006/relationships/hyperlink" Target="https://www.itu.int/md/D22-TDAG32-C-0024/en"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tu.int/md/S25-CL-C-0029/en" TargetMode="External"/><Relationship Id="rId20" Type="http://schemas.openxmlformats.org/officeDocument/2006/relationships/hyperlink" Target="https://www.itu.int/md/S25-CL-C-0079/en" TargetMode="External"/><Relationship Id="rId29" Type="http://schemas.openxmlformats.org/officeDocument/2006/relationships/hyperlink" Target="https://www.itu.int/md/S25-CL-C-0025/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05/en" TargetMode="External"/><Relationship Id="rId24" Type="http://schemas.openxmlformats.org/officeDocument/2006/relationships/hyperlink" Target="https://www.itu.int/md/S25-CL-C-0053/en" TargetMode="External"/><Relationship Id="rId32" Type="http://schemas.openxmlformats.org/officeDocument/2006/relationships/hyperlink" Target="https://www.itu.int/md/D22-TDAG32-C-000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S25-CL-C-0031/en" TargetMode="External"/><Relationship Id="rId23" Type="http://schemas.openxmlformats.org/officeDocument/2006/relationships/hyperlink" Target="https://www.itu.int/md/S25-CL-C-0005/en" TargetMode="External"/><Relationship Id="rId28" Type="http://schemas.openxmlformats.org/officeDocument/2006/relationships/hyperlink" Target="https://www.itu.int/md/S25-CL-C-0025/en" TargetMode="External"/><Relationship Id="rId36" Type="http://schemas.openxmlformats.org/officeDocument/2006/relationships/footer" Target="footer1.xml"/><Relationship Id="rId10" Type="http://schemas.openxmlformats.org/officeDocument/2006/relationships/hyperlink" Target="https://www.itu.int/md/S25-CL-C-0091/en" TargetMode="External"/><Relationship Id="rId19" Type="http://schemas.openxmlformats.org/officeDocument/2006/relationships/hyperlink" Target="https://www.itu.int/md/S25-CL-C-0029/en" TargetMode="External"/><Relationship Id="rId31" Type="http://schemas.openxmlformats.org/officeDocument/2006/relationships/hyperlink" Target="https://www.itu.int/md/D22-TDAG32-C-0024/en" TargetMode="External"/><Relationship Id="rId4" Type="http://schemas.openxmlformats.org/officeDocument/2006/relationships/webSettings" Target="webSettings.xml"/><Relationship Id="rId9" Type="http://schemas.openxmlformats.org/officeDocument/2006/relationships/hyperlink" Target="https://www.itu.int/md/S25-CL-C-0079/en" TargetMode="External"/><Relationship Id="rId14" Type="http://schemas.openxmlformats.org/officeDocument/2006/relationships/hyperlink" Target="https://www.itu.int/md/S25-CL-C-0025/en" TargetMode="External"/><Relationship Id="rId22" Type="http://schemas.openxmlformats.org/officeDocument/2006/relationships/hyperlink" Target="https://www.itu.int/md/S25-CL-C-0005/en" TargetMode="External"/><Relationship Id="rId27" Type="http://schemas.openxmlformats.org/officeDocument/2006/relationships/hyperlink" Target="https://www.itu.int/md/S25-CL-C-0052/en" TargetMode="External"/><Relationship Id="rId30" Type="http://schemas.openxmlformats.org/officeDocument/2006/relationships/hyperlink" Target="https://www.itu.int/md/D22-TDAG32-C-0002/" TargetMode="External"/><Relationship Id="rId35" Type="http://schemas.openxmlformats.org/officeDocument/2006/relationships/hyperlink" Target="https://www.itu.int/md/S25-CL-C-0066/en" TargetMode="External"/><Relationship Id="rId8" Type="http://schemas.openxmlformats.org/officeDocument/2006/relationships/hyperlink" Target="https://www.itu.int/md/S25-CL-C-0029/en"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3096</Words>
  <Characters>23578</Characters>
  <Application>Microsoft Office Word</Application>
  <DocSecurity>0</DocSecurity>
  <Lines>196</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26621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fourth Plenary meeting</dc:title>
  <dc:subject>ITU Council 2025</dc:subject>
  <cp:keywords>C2025, C25, Council-25</cp:keywords>
  <dc:description/>
  <cp:lastPrinted>2006-03-28T16:12:00Z</cp:lastPrinted>
  <dcterms:created xsi:type="dcterms:W3CDTF">2025-08-15T11:46:00Z</dcterms:created>
  <dcterms:modified xsi:type="dcterms:W3CDTF">2025-08-15T11:46:00Z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