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94141" w14:paraId="0043AC80" w14:textId="77777777" w:rsidTr="00AD3606">
        <w:trPr>
          <w:cantSplit/>
          <w:trHeight w:val="23"/>
        </w:trPr>
        <w:tc>
          <w:tcPr>
            <w:tcW w:w="3969" w:type="dxa"/>
            <w:vMerge w:val="restart"/>
            <w:tcMar>
              <w:left w:w="0" w:type="dxa"/>
            </w:tcMar>
          </w:tcPr>
          <w:p w14:paraId="60A806D3" w14:textId="33A86F31" w:rsidR="00AD3606" w:rsidRPr="00B94141"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3D5B2D7" w:rsidR="00AD3606" w:rsidRPr="00B94141" w:rsidRDefault="00AD3606" w:rsidP="00472BAD">
            <w:pPr>
              <w:tabs>
                <w:tab w:val="left" w:pos="851"/>
              </w:tabs>
              <w:spacing w:before="0" w:line="240" w:lineRule="atLeast"/>
              <w:jc w:val="right"/>
              <w:rPr>
                <w:b/>
              </w:rPr>
            </w:pPr>
            <w:r w:rsidRPr="00B94141">
              <w:rPr>
                <w:b/>
              </w:rPr>
              <w:t>Document C2</w:t>
            </w:r>
            <w:r w:rsidR="000C76A9" w:rsidRPr="00B94141">
              <w:rPr>
                <w:b/>
              </w:rPr>
              <w:t>5</w:t>
            </w:r>
            <w:r w:rsidRPr="00B94141">
              <w:rPr>
                <w:b/>
              </w:rPr>
              <w:t>/</w:t>
            </w:r>
            <w:r w:rsidR="00711DF0">
              <w:rPr>
                <w:b/>
              </w:rPr>
              <w:t>110</w:t>
            </w:r>
            <w:r w:rsidRPr="00B94141">
              <w:rPr>
                <w:b/>
              </w:rPr>
              <w:t>-E</w:t>
            </w:r>
          </w:p>
        </w:tc>
      </w:tr>
      <w:tr w:rsidR="00AD3606" w:rsidRPr="00B94141" w14:paraId="789B45BA" w14:textId="77777777" w:rsidTr="00AD3606">
        <w:trPr>
          <w:cantSplit/>
        </w:trPr>
        <w:tc>
          <w:tcPr>
            <w:tcW w:w="3969" w:type="dxa"/>
            <w:vMerge/>
          </w:tcPr>
          <w:p w14:paraId="3F3D4E17" w14:textId="77777777" w:rsidR="00AD3606" w:rsidRPr="00B94141"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224F5FDC" w:rsidR="00AD3606" w:rsidRPr="00B94141" w:rsidRDefault="00937D36" w:rsidP="00AD3606">
            <w:pPr>
              <w:tabs>
                <w:tab w:val="left" w:pos="851"/>
              </w:tabs>
              <w:spacing w:before="0"/>
              <w:jc w:val="right"/>
              <w:rPr>
                <w:b/>
              </w:rPr>
            </w:pPr>
            <w:r>
              <w:rPr>
                <w:b/>
              </w:rPr>
              <w:t>15</w:t>
            </w:r>
            <w:r w:rsidR="00413B31" w:rsidRPr="00B94141">
              <w:rPr>
                <w:b/>
              </w:rPr>
              <w:t xml:space="preserve"> </w:t>
            </w:r>
            <w:r w:rsidR="00D95648">
              <w:rPr>
                <w:b/>
              </w:rPr>
              <w:t>August</w:t>
            </w:r>
            <w:r w:rsidR="00611253" w:rsidRPr="00B94141">
              <w:rPr>
                <w:b/>
              </w:rPr>
              <w:t xml:space="preserve"> </w:t>
            </w:r>
            <w:r w:rsidR="00AD3606" w:rsidRPr="00B94141">
              <w:rPr>
                <w:b/>
              </w:rPr>
              <w:t>202</w:t>
            </w:r>
            <w:r w:rsidR="000C76A9" w:rsidRPr="00B94141">
              <w:rPr>
                <w:b/>
              </w:rPr>
              <w:t>5</w:t>
            </w:r>
          </w:p>
        </w:tc>
      </w:tr>
      <w:tr w:rsidR="00AD3606" w:rsidRPr="00B94141" w14:paraId="58A84C4A" w14:textId="77777777" w:rsidTr="00AD3606">
        <w:trPr>
          <w:cantSplit/>
          <w:trHeight w:val="23"/>
        </w:trPr>
        <w:tc>
          <w:tcPr>
            <w:tcW w:w="3969" w:type="dxa"/>
            <w:vMerge/>
          </w:tcPr>
          <w:p w14:paraId="77CEDDAA" w14:textId="77777777" w:rsidR="00AD3606" w:rsidRPr="00B94141"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B94141" w:rsidRDefault="00AD3606" w:rsidP="00AD3606">
            <w:pPr>
              <w:tabs>
                <w:tab w:val="left" w:pos="851"/>
              </w:tabs>
              <w:spacing w:before="0" w:line="240" w:lineRule="atLeast"/>
              <w:jc w:val="right"/>
              <w:rPr>
                <w:b/>
              </w:rPr>
            </w:pPr>
            <w:r w:rsidRPr="00B94141">
              <w:rPr>
                <w:b/>
              </w:rPr>
              <w:t>Original: English</w:t>
            </w:r>
          </w:p>
        </w:tc>
      </w:tr>
      <w:tr w:rsidR="00472BAD" w:rsidRPr="00B94141" w14:paraId="12C5EF5F" w14:textId="77777777" w:rsidTr="00AD3606">
        <w:trPr>
          <w:cantSplit/>
          <w:trHeight w:val="23"/>
        </w:trPr>
        <w:tc>
          <w:tcPr>
            <w:tcW w:w="3969" w:type="dxa"/>
          </w:tcPr>
          <w:p w14:paraId="4B839BA2" w14:textId="77777777" w:rsidR="00472BAD" w:rsidRPr="00B94141" w:rsidRDefault="00472BAD" w:rsidP="00AD3606">
            <w:pPr>
              <w:tabs>
                <w:tab w:val="left" w:pos="851"/>
              </w:tabs>
              <w:spacing w:line="240" w:lineRule="atLeast"/>
              <w:rPr>
                <w:b/>
              </w:rPr>
            </w:pPr>
          </w:p>
        </w:tc>
        <w:tc>
          <w:tcPr>
            <w:tcW w:w="5245" w:type="dxa"/>
          </w:tcPr>
          <w:p w14:paraId="12F66D25" w14:textId="77777777" w:rsidR="00472BAD" w:rsidRPr="00B94141" w:rsidRDefault="00472BAD" w:rsidP="00AD3606">
            <w:pPr>
              <w:tabs>
                <w:tab w:val="left" w:pos="851"/>
              </w:tabs>
              <w:spacing w:before="0" w:line="240" w:lineRule="atLeast"/>
              <w:jc w:val="right"/>
              <w:rPr>
                <w:b/>
              </w:rPr>
            </w:pPr>
          </w:p>
        </w:tc>
      </w:tr>
      <w:tr w:rsidR="007244B9" w:rsidRPr="00B94141" w14:paraId="54F40449" w14:textId="77777777" w:rsidTr="003243AE">
        <w:trPr>
          <w:cantSplit/>
          <w:trHeight w:val="23"/>
        </w:trPr>
        <w:tc>
          <w:tcPr>
            <w:tcW w:w="9214" w:type="dxa"/>
            <w:gridSpan w:val="2"/>
          </w:tcPr>
          <w:p w14:paraId="26A57B8C" w14:textId="77777777" w:rsidR="007244B9" w:rsidRPr="00B94141"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B94141">
              <w:rPr>
                <w:b/>
                <w:bCs/>
                <w:sz w:val="34"/>
                <w:szCs w:val="34"/>
              </w:rPr>
              <w:t>SUMMARY RECORD</w:t>
            </w:r>
          </w:p>
          <w:p w14:paraId="35817936" w14:textId="77777777" w:rsidR="007244B9" w:rsidRPr="00B94141"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B94141">
              <w:rPr>
                <w:b/>
                <w:bCs/>
                <w:sz w:val="34"/>
                <w:szCs w:val="34"/>
              </w:rPr>
              <w:t>OF THE</w:t>
            </w:r>
          </w:p>
          <w:p w14:paraId="3C599D4A" w14:textId="18565A3B" w:rsidR="007244B9" w:rsidRPr="00B94141" w:rsidRDefault="004E5849" w:rsidP="0051181E">
            <w:pPr>
              <w:tabs>
                <w:tab w:val="left" w:pos="851"/>
              </w:tabs>
              <w:spacing w:after="240" w:line="240" w:lineRule="atLeast"/>
              <w:jc w:val="center"/>
              <w:rPr>
                <w:b/>
              </w:rPr>
            </w:pPr>
            <w:r w:rsidRPr="00B94141">
              <w:rPr>
                <w:b/>
                <w:bCs/>
                <w:sz w:val="34"/>
                <w:szCs w:val="34"/>
              </w:rPr>
              <w:t>FOURTH</w:t>
            </w:r>
            <w:r w:rsidR="007244B9" w:rsidRPr="00B94141">
              <w:rPr>
                <w:b/>
                <w:bCs/>
                <w:sz w:val="34"/>
                <w:szCs w:val="34"/>
              </w:rPr>
              <w:t xml:space="preserve"> PLENARY MEETING</w:t>
            </w:r>
          </w:p>
        </w:tc>
      </w:tr>
      <w:tr w:rsidR="007244B9" w:rsidRPr="00B94141" w14:paraId="66DF5894" w14:textId="77777777" w:rsidTr="003243AE">
        <w:trPr>
          <w:cantSplit/>
          <w:trHeight w:val="23"/>
        </w:trPr>
        <w:tc>
          <w:tcPr>
            <w:tcW w:w="9214" w:type="dxa"/>
            <w:gridSpan w:val="2"/>
          </w:tcPr>
          <w:p w14:paraId="75F88B8B" w14:textId="32C9E744" w:rsidR="007244B9" w:rsidRPr="00B94141" w:rsidRDefault="004E5849" w:rsidP="007244B9">
            <w:pPr>
              <w:tabs>
                <w:tab w:val="clear" w:pos="567"/>
                <w:tab w:val="clear" w:pos="1134"/>
                <w:tab w:val="clear" w:pos="1701"/>
                <w:tab w:val="clear" w:pos="2268"/>
                <w:tab w:val="clear" w:pos="2835"/>
              </w:tabs>
              <w:overflowPunct/>
              <w:autoSpaceDE/>
              <w:autoSpaceDN/>
              <w:adjustRightInd/>
              <w:spacing w:after="240"/>
              <w:jc w:val="center"/>
              <w:textAlignment w:val="auto"/>
            </w:pPr>
            <w:r w:rsidRPr="00B94141">
              <w:rPr>
                <w:rFonts w:cs="Calibri"/>
                <w:szCs w:val="24"/>
                <w:lang w:eastAsia="en-GB"/>
              </w:rPr>
              <w:t>Monday, 23 June 2025, from 0930 to 1235 hours</w:t>
            </w:r>
          </w:p>
          <w:p w14:paraId="7C47BB0A" w14:textId="79C30711" w:rsidR="007244B9" w:rsidRPr="00B94141" w:rsidRDefault="007244B9" w:rsidP="007244B9">
            <w:pPr>
              <w:tabs>
                <w:tab w:val="left" w:pos="851"/>
              </w:tabs>
              <w:spacing w:after="240" w:line="240" w:lineRule="atLeast"/>
              <w:jc w:val="center"/>
              <w:rPr>
                <w:bCs/>
              </w:rPr>
            </w:pPr>
            <w:r w:rsidRPr="00B94141">
              <w:rPr>
                <w:b/>
                <w:bCs/>
              </w:rPr>
              <w:t>Chair</w:t>
            </w:r>
            <w:r w:rsidRPr="00B94141">
              <w:t xml:space="preserve">: </w:t>
            </w:r>
            <w:r w:rsidR="000C76A9" w:rsidRPr="00B94141">
              <w:rPr>
                <w:rFonts w:cs="Calibri"/>
                <w:szCs w:val="24"/>
                <w:lang w:eastAsia="en-GB"/>
              </w:rPr>
              <w:t>Ms C. Flutur (Romania)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7244B9" w:rsidRPr="00B94141" w14:paraId="14B76029" w14:textId="77777777" w:rsidTr="00644AC8">
        <w:tc>
          <w:tcPr>
            <w:tcW w:w="242" w:type="pct"/>
          </w:tcPr>
          <w:p w14:paraId="7F154504" w14:textId="77777777" w:rsidR="007244B9" w:rsidRPr="00B94141" w:rsidRDefault="007244B9" w:rsidP="007244B9">
            <w:pPr>
              <w:spacing w:before="480"/>
              <w:rPr>
                <w:b/>
                <w:bCs/>
                <w:szCs w:val="24"/>
              </w:rPr>
            </w:pPr>
            <w:bookmarkStart w:id="8" w:name="_Hlk141438382"/>
            <w:bookmarkStart w:id="9" w:name="_Hlk133421428"/>
            <w:bookmarkEnd w:id="2"/>
            <w:bookmarkEnd w:id="7"/>
            <w:r w:rsidRPr="00B94141">
              <w:rPr>
                <w:b/>
                <w:bCs/>
                <w:szCs w:val="24"/>
              </w:rPr>
              <w:br w:type="page"/>
            </w:r>
            <w:r w:rsidRPr="00B94141">
              <w:rPr>
                <w:b/>
                <w:bCs/>
                <w:szCs w:val="24"/>
              </w:rPr>
              <w:br w:type="page"/>
            </w:r>
          </w:p>
        </w:tc>
        <w:tc>
          <w:tcPr>
            <w:tcW w:w="3580" w:type="pct"/>
            <w:hideMark/>
          </w:tcPr>
          <w:p w14:paraId="6E059BF8" w14:textId="77777777" w:rsidR="007244B9" w:rsidRPr="00B94141" w:rsidRDefault="007244B9" w:rsidP="007244B9">
            <w:pPr>
              <w:spacing w:before="480" w:after="120"/>
              <w:rPr>
                <w:b/>
                <w:bCs/>
                <w:szCs w:val="24"/>
              </w:rPr>
            </w:pPr>
            <w:r w:rsidRPr="00B94141">
              <w:rPr>
                <w:b/>
                <w:bCs/>
                <w:szCs w:val="24"/>
              </w:rPr>
              <w:t>Subjects discussed</w:t>
            </w:r>
          </w:p>
        </w:tc>
        <w:tc>
          <w:tcPr>
            <w:tcW w:w="1178" w:type="pct"/>
            <w:hideMark/>
          </w:tcPr>
          <w:p w14:paraId="683D5A20" w14:textId="35ED7D84" w:rsidR="007244B9" w:rsidRPr="00B94141" w:rsidRDefault="007244B9" w:rsidP="005B766E">
            <w:pPr>
              <w:spacing w:before="480"/>
              <w:jc w:val="center"/>
              <w:rPr>
                <w:b/>
                <w:bCs/>
                <w:szCs w:val="24"/>
              </w:rPr>
            </w:pPr>
            <w:r w:rsidRPr="00B94141">
              <w:rPr>
                <w:b/>
                <w:bCs/>
                <w:szCs w:val="24"/>
              </w:rPr>
              <w:t>Documents</w:t>
            </w:r>
          </w:p>
        </w:tc>
      </w:tr>
      <w:tr w:rsidR="004E5849" w:rsidRPr="00B94141" w14:paraId="21752EA8" w14:textId="77777777" w:rsidTr="00644AC8">
        <w:trPr>
          <w:trHeight w:val="20"/>
        </w:trPr>
        <w:tc>
          <w:tcPr>
            <w:tcW w:w="242" w:type="pct"/>
            <w:hideMark/>
          </w:tcPr>
          <w:p w14:paraId="59F0B2E6" w14:textId="77777777" w:rsidR="004E5849" w:rsidRPr="00B94141" w:rsidRDefault="004E5849" w:rsidP="004E5849">
            <w:pPr>
              <w:spacing w:before="80" w:after="80"/>
              <w:rPr>
                <w:sz w:val="22"/>
                <w:szCs w:val="22"/>
              </w:rPr>
            </w:pPr>
            <w:r w:rsidRPr="00B94141">
              <w:rPr>
                <w:sz w:val="22"/>
                <w:szCs w:val="22"/>
              </w:rPr>
              <w:t>1</w:t>
            </w:r>
          </w:p>
        </w:tc>
        <w:tc>
          <w:tcPr>
            <w:tcW w:w="3580" w:type="pct"/>
          </w:tcPr>
          <w:p w14:paraId="020C0FA1" w14:textId="5F3B2A27" w:rsidR="004E5849" w:rsidRPr="00B94141" w:rsidRDefault="004E5849" w:rsidP="004E5849">
            <w:pPr>
              <w:spacing w:before="80" w:after="80"/>
              <w:rPr>
                <w:sz w:val="22"/>
                <w:szCs w:val="22"/>
              </w:rPr>
            </w:pPr>
            <w:r w:rsidRPr="00B94141">
              <w:rPr>
                <w:rFonts w:cs="Calibri"/>
                <w:szCs w:val="24"/>
              </w:rPr>
              <w:t>Report by the Chair of the Council Working Group for the strategic and financial plans 2028-2031</w:t>
            </w:r>
          </w:p>
        </w:tc>
        <w:tc>
          <w:tcPr>
            <w:tcW w:w="1178" w:type="pct"/>
          </w:tcPr>
          <w:p w14:paraId="23C04073" w14:textId="112F66A4" w:rsidR="004E5849" w:rsidRPr="00B94141" w:rsidRDefault="004E5849" w:rsidP="004E5849">
            <w:pPr>
              <w:spacing w:before="80" w:after="80"/>
              <w:jc w:val="center"/>
              <w:rPr>
                <w:sz w:val="22"/>
                <w:szCs w:val="22"/>
              </w:rPr>
            </w:pPr>
            <w:hyperlink r:id="rId11" w:history="1">
              <w:r w:rsidRPr="00B94141">
                <w:rPr>
                  <w:rStyle w:val="Hyperlink"/>
                  <w:rFonts w:cs="Calibri"/>
                  <w:szCs w:val="24"/>
                  <w:lang w:eastAsia="en-GB"/>
                </w:rPr>
                <w:t>C25/31</w:t>
              </w:r>
            </w:hyperlink>
          </w:p>
        </w:tc>
      </w:tr>
      <w:tr w:rsidR="004E5849" w:rsidRPr="00B94141" w14:paraId="6EA0EA1D" w14:textId="77777777" w:rsidTr="00644AC8">
        <w:trPr>
          <w:trHeight w:val="20"/>
        </w:trPr>
        <w:tc>
          <w:tcPr>
            <w:tcW w:w="242" w:type="pct"/>
          </w:tcPr>
          <w:p w14:paraId="771A6319" w14:textId="0113AA58" w:rsidR="004E5849" w:rsidRPr="00B94141" w:rsidRDefault="004E5849" w:rsidP="004E5849">
            <w:pPr>
              <w:spacing w:before="80" w:after="80"/>
              <w:rPr>
                <w:sz w:val="22"/>
                <w:szCs w:val="22"/>
              </w:rPr>
            </w:pPr>
            <w:r w:rsidRPr="00B94141">
              <w:rPr>
                <w:sz w:val="22"/>
                <w:szCs w:val="22"/>
              </w:rPr>
              <w:t>2</w:t>
            </w:r>
          </w:p>
        </w:tc>
        <w:tc>
          <w:tcPr>
            <w:tcW w:w="3580" w:type="pct"/>
          </w:tcPr>
          <w:p w14:paraId="4A58AA98" w14:textId="7D09A62A" w:rsidR="004E5849" w:rsidRPr="00B94141" w:rsidRDefault="004E5849" w:rsidP="00644AC8">
            <w:pPr>
              <w:spacing w:before="80" w:after="80"/>
              <w:rPr>
                <w:rFonts w:asciiTheme="minorHAnsi" w:hAnsiTheme="minorHAnsi" w:cstheme="minorBidi"/>
                <w:color w:val="2F2F2F"/>
                <w:sz w:val="22"/>
                <w:szCs w:val="22"/>
                <w:shd w:val="clear" w:color="auto" w:fill="FFFFFF"/>
              </w:rPr>
            </w:pPr>
            <w:r w:rsidRPr="00B94141">
              <w:rPr>
                <w:rFonts w:cs="Calibri"/>
              </w:rPr>
              <w:t xml:space="preserve">Guidelines for harmonizing </w:t>
            </w:r>
            <w:r w:rsidR="00FE664D" w:rsidRPr="00B94141">
              <w:rPr>
                <w:rFonts w:cs="Calibri"/>
              </w:rPr>
              <w:t>r</w:t>
            </w:r>
            <w:r w:rsidRPr="00B94141">
              <w:rPr>
                <w:rFonts w:cs="Calibri"/>
              </w:rPr>
              <w:t xml:space="preserve">esolutions and </w:t>
            </w:r>
            <w:r w:rsidR="00FE664D" w:rsidRPr="00B94141">
              <w:rPr>
                <w:rFonts w:cs="Calibri"/>
              </w:rPr>
              <w:t>d</w:t>
            </w:r>
            <w:r w:rsidRPr="00B94141">
              <w:rPr>
                <w:rFonts w:cs="Calibri"/>
              </w:rPr>
              <w:t>ecisions</w:t>
            </w:r>
            <w:r w:rsidR="00C41521" w:rsidRPr="00B94141">
              <w:rPr>
                <w:rFonts w:cs="Calibri"/>
              </w:rPr>
              <w:t xml:space="preserve"> of the Plenipotentiary Conference</w:t>
            </w:r>
          </w:p>
        </w:tc>
        <w:tc>
          <w:tcPr>
            <w:tcW w:w="1178" w:type="pct"/>
            <w:vAlign w:val="center"/>
          </w:tcPr>
          <w:p w14:paraId="46957471" w14:textId="123E9D13" w:rsidR="004E5849" w:rsidRPr="00937D36" w:rsidRDefault="004E5849" w:rsidP="004E5849">
            <w:pPr>
              <w:spacing w:before="80" w:after="80"/>
              <w:jc w:val="center"/>
              <w:rPr>
                <w:sz w:val="22"/>
                <w:szCs w:val="22"/>
              </w:rPr>
            </w:pPr>
            <w:hyperlink r:id="rId12" w:history="1">
              <w:r w:rsidRPr="00937D36">
                <w:rPr>
                  <w:rStyle w:val="Hyperlink"/>
                </w:rPr>
                <w:t>C25/29</w:t>
              </w:r>
            </w:hyperlink>
            <w:r w:rsidRPr="00937D36">
              <w:t xml:space="preserve">, </w:t>
            </w:r>
            <w:hyperlink r:id="rId13" w:history="1">
              <w:r w:rsidRPr="00937D36">
                <w:rPr>
                  <w:rStyle w:val="Hyperlink"/>
                </w:rPr>
                <w:t>C25/79</w:t>
              </w:r>
            </w:hyperlink>
            <w:r w:rsidR="00934E89" w:rsidRPr="00937D36">
              <w:t>,</w:t>
            </w:r>
            <w:r w:rsidRPr="00937D36">
              <w:t xml:space="preserve"> </w:t>
            </w:r>
            <w:hyperlink r:id="rId14" w:history="1">
              <w:r w:rsidRPr="00937D36">
                <w:rPr>
                  <w:rStyle w:val="Hyperlink"/>
                </w:rPr>
                <w:t>C25/91</w:t>
              </w:r>
            </w:hyperlink>
          </w:p>
        </w:tc>
      </w:tr>
      <w:tr w:rsidR="004E5849" w:rsidRPr="00B94141" w14:paraId="3C347C19" w14:textId="77777777" w:rsidTr="00644AC8">
        <w:trPr>
          <w:trHeight w:val="20"/>
        </w:trPr>
        <w:tc>
          <w:tcPr>
            <w:tcW w:w="242" w:type="pct"/>
          </w:tcPr>
          <w:p w14:paraId="40F71A4C" w14:textId="6A7AA66B" w:rsidR="004E5849" w:rsidRPr="00B94141" w:rsidRDefault="004E5849" w:rsidP="004E5849">
            <w:pPr>
              <w:spacing w:before="80" w:after="80"/>
              <w:rPr>
                <w:sz w:val="22"/>
                <w:szCs w:val="22"/>
              </w:rPr>
            </w:pPr>
            <w:r w:rsidRPr="00B94141">
              <w:rPr>
                <w:sz w:val="22"/>
                <w:szCs w:val="22"/>
              </w:rPr>
              <w:t>3</w:t>
            </w:r>
          </w:p>
        </w:tc>
        <w:tc>
          <w:tcPr>
            <w:tcW w:w="3580" w:type="pct"/>
          </w:tcPr>
          <w:p w14:paraId="62B8BF42" w14:textId="0F28AE73" w:rsidR="004E5849" w:rsidRPr="00B94141" w:rsidRDefault="004E5849" w:rsidP="004E5849">
            <w:pPr>
              <w:spacing w:before="80" w:after="80"/>
              <w:rPr>
                <w:rFonts w:asciiTheme="minorHAnsi" w:hAnsiTheme="minorHAnsi" w:cstheme="minorHAnsi"/>
                <w:color w:val="2F2F2F"/>
                <w:sz w:val="22"/>
                <w:szCs w:val="22"/>
                <w:shd w:val="clear" w:color="auto" w:fill="FFFFFF"/>
              </w:rPr>
            </w:pPr>
            <w:r w:rsidRPr="00B94141">
              <w:rPr>
                <w:rFonts w:cs="Calibri"/>
                <w:szCs w:val="24"/>
              </w:rPr>
              <w:t xml:space="preserve">Preparation for the 2026 </w:t>
            </w:r>
            <w:r w:rsidR="00966555" w:rsidRPr="00B94141">
              <w:rPr>
                <w:rFonts w:cs="Calibri"/>
                <w:szCs w:val="24"/>
              </w:rPr>
              <w:t>w</w:t>
            </w:r>
            <w:r w:rsidRPr="00B94141">
              <w:rPr>
                <w:rFonts w:cs="Calibri"/>
                <w:szCs w:val="24"/>
              </w:rPr>
              <w:t xml:space="preserve">orld </w:t>
            </w:r>
            <w:r w:rsidR="00966555" w:rsidRPr="00B94141">
              <w:rPr>
                <w:rFonts w:cs="Calibri"/>
                <w:szCs w:val="24"/>
              </w:rPr>
              <w:t>t</w:t>
            </w:r>
            <w:r w:rsidRPr="00B94141">
              <w:rPr>
                <w:rFonts w:cs="Calibri"/>
                <w:szCs w:val="24"/>
              </w:rPr>
              <w:t xml:space="preserve">elecommunication/ICT </w:t>
            </w:r>
            <w:r w:rsidR="00966555" w:rsidRPr="00B94141">
              <w:rPr>
                <w:rFonts w:cs="Calibri"/>
                <w:szCs w:val="24"/>
              </w:rPr>
              <w:t>p</w:t>
            </w:r>
            <w:r w:rsidRPr="00B94141">
              <w:rPr>
                <w:rFonts w:cs="Calibri"/>
                <w:szCs w:val="24"/>
              </w:rPr>
              <w:t xml:space="preserve">olicy </w:t>
            </w:r>
            <w:r w:rsidR="00966555" w:rsidRPr="00B94141">
              <w:rPr>
                <w:rFonts w:cs="Calibri"/>
                <w:szCs w:val="24"/>
              </w:rPr>
              <w:t>f</w:t>
            </w:r>
            <w:r w:rsidRPr="00B94141">
              <w:rPr>
                <w:rFonts w:cs="Calibri"/>
                <w:szCs w:val="24"/>
              </w:rPr>
              <w:t>orum</w:t>
            </w:r>
          </w:p>
        </w:tc>
        <w:tc>
          <w:tcPr>
            <w:tcW w:w="1178" w:type="pct"/>
          </w:tcPr>
          <w:p w14:paraId="648E2529" w14:textId="224DB76B" w:rsidR="004E5849" w:rsidRPr="00B94141" w:rsidRDefault="00660445" w:rsidP="004E5849">
            <w:pPr>
              <w:spacing w:before="80" w:after="80"/>
              <w:jc w:val="center"/>
              <w:rPr>
                <w:sz w:val="22"/>
                <w:szCs w:val="22"/>
              </w:rPr>
            </w:pPr>
            <w:hyperlink r:id="rId15" w:history="1">
              <w:r w:rsidRPr="00711DF0">
                <w:rPr>
                  <w:rStyle w:val="Hyperlink"/>
                </w:rPr>
                <w:t>C25/5(Rev.1)</w:t>
              </w:r>
              <w:r w:rsidR="004B78C0">
                <w:rPr>
                  <w:rStyle w:val="Hyperlink"/>
                </w:rPr>
                <w:br/>
              </w:r>
              <w:r w:rsidRPr="00711DF0">
                <w:rPr>
                  <w:rStyle w:val="Hyperlink"/>
                  <w:bCs/>
                </w:rPr>
                <w:t>+Add.1</w:t>
              </w:r>
            </w:hyperlink>
          </w:p>
        </w:tc>
      </w:tr>
      <w:tr w:rsidR="004E5849" w:rsidRPr="00B94141" w14:paraId="32447FA9" w14:textId="77777777" w:rsidTr="00644AC8">
        <w:trPr>
          <w:trHeight w:val="20"/>
        </w:trPr>
        <w:tc>
          <w:tcPr>
            <w:tcW w:w="242" w:type="pct"/>
          </w:tcPr>
          <w:p w14:paraId="6EF8B845" w14:textId="51DD8AF8" w:rsidR="004E5849" w:rsidRPr="00B94141" w:rsidRDefault="004E5849" w:rsidP="004E5849">
            <w:pPr>
              <w:spacing w:before="80" w:after="80"/>
              <w:rPr>
                <w:sz w:val="22"/>
                <w:szCs w:val="22"/>
              </w:rPr>
            </w:pPr>
            <w:r w:rsidRPr="00B94141">
              <w:rPr>
                <w:sz w:val="22"/>
                <w:szCs w:val="22"/>
              </w:rPr>
              <w:t>4</w:t>
            </w:r>
          </w:p>
        </w:tc>
        <w:tc>
          <w:tcPr>
            <w:tcW w:w="3580" w:type="pct"/>
          </w:tcPr>
          <w:p w14:paraId="56C21617" w14:textId="0C9F7B22" w:rsidR="004E5849" w:rsidRPr="00B94141" w:rsidRDefault="004E5849" w:rsidP="004E5849">
            <w:pPr>
              <w:spacing w:before="80" w:after="80"/>
              <w:rPr>
                <w:sz w:val="22"/>
                <w:szCs w:val="22"/>
              </w:rPr>
            </w:pPr>
            <w:r w:rsidRPr="00B94141">
              <w:rPr>
                <w:rFonts w:cs="Calibri"/>
                <w:szCs w:val="24"/>
              </w:rPr>
              <w:t>WSIS+20 Review – ITU</w:t>
            </w:r>
            <w:r w:rsidR="00E01D66" w:rsidRPr="00B94141">
              <w:rPr>
                <w:rFonts w:cs="Calibri"/>
                <w:szCs w:val="24"/>
              </w:rPr>
              <w:t>'</w:t>
            </w:r>
            <w:r w:rsidRPr="00B94141">
              <w:rPr>
                <w:rFonts w:cs="Calibri"/>
                <w:szCs w:val="24"/>
              </w:rPr>
              <w:t>s call for inputs: Summary of submissions received</w:t>
            </w:r>
          </w:p>
        </w:tc>
        <w:tc>
          <w:tcPr>
            <w:tcW w:w="1178" w:type="pct"/>
          </w:tcPr>
          <w:p w14:paraId="6ED66744" w14:textId="38EFD46A" w:rsidR="004E5849" w:rsidRPr="00B94141" w:rsidRDefault="00660445" w:rsidP="004E5849">
            <w:pPr>
              <w:spacing w:before="80" w:after="80"/>
              <w:jc w:val="center"/>
              <w:rPr>
                <w:sz w:val="22"/>
                <w:szCs w:val="22"/>
              </w:rPr>
            </w:pPr>
            <w:hyperlink r:id="rId16" w:history="1">
              <w:r w:rsidRPr="00B94141">
                <w:rPr>
                  <w:rStyle w:val="Hyperlink"/>
                </w:rPr>
                <w:t>C25/53</w:t>
              </w:r>
            </w:hyperlink>
          </w:p>
        </w:tc>
      </w:tr>
      <w:tr w:rsidR="004E5849" w:rsidRPr="00B94141" w14:paraId="7C3EDDF6" w14:textId="77777777" w:rsidTr="00644AC8">
        <w:trPr>
          <w:trHeight w:val="20"/>
        </w:trPr>
        <w:tc>
          <w:tcPr>
            <w:tcW w:w="242" w:type="pct"/>
          </w:tcPr>
          <w:p w14:paraId="3C4B7AA3" w14:textId="303885AB" w:rsidR="004E5849" w:rsidRPr="00B94141" w:rsidRDefault="004E5849" w:rsidP="004E5849">
            <w:pPr>
              <w:spacing w:before="80" w:after="80"/>
              <w:rPr>
                <w:sz w:val="22"/>
                <w:szCs w:val="22"/>
              </w:rPr>
            </w:pPr>
            <w:r w:rsidRPr="00B94141">
              <w:rPr>
                <w:sz w:val="22"/>
                <w:szCs w:val="22"/>
              </w:rPr>
              <w:t>5</w:t>
            </w:r>
          </w:p>
        </w:tc>
        <w:tc>
          <w:tcPr>
            <w:tcW w:w="3580" w:type="pct"/>
          </w:tcPr>
          <w:p w14:paraId="36ACA1E5" w14:textId="0925EB90" w:rsidR="004E5849" w:rsidRPr="00B94141" w:rsidRDefault="004E5849" w:rsidP="004E5849">
            <w:pPr>
              <w:spacing w:before="80" w:after="80"/>
              <w:rPr>
                <w:lang w:eastAsia="en-GB"/>
              </w:rPr>
            </w:pPr>
            <w:r w:rsidRPr="00B94141">
              <w:rPr>
                <w:szCs w:val="24"/>
              </w:rPr>
              <w:t>Updates on the ITU action plan for implementing the Global Digital Compact</w:t>
            </w:r>
          </w:p>
        </w:tc>
        <w:tc>
          <w:tcPr>
            <w:tcW w:w="1178" w:type="pct"/>
          </w:tcPr>
          <w:p w14:paraId="17CBB080" w14:textId="484AB04F" w:rsidR="004E5849" w:rsidRPr="00B94141" w:rsidRDefault="00660445" w:rsidP="004E5849">
            <w:pPr>
              <w:spacing w:before="80" w:after="80"/>
              <w:jc w:val="center"/>
              <w:rPr>
                <w:sz w:val="22"/>
                <w:szCs w:val="22"/>
              </w:rPr>
            </w:pPr>
            <w:hyperlink r:id="rId17" w:history="1">
              <w:r w:rsidRPr="00B94141">
                <w:rPr>
                  <w:rStyle w:val="Hyperlink"/>
                </w:rPr>
                <w:t>C25/52</w:t>
              </w:r>
            </w:hyperlink>
          </w:p>
        </w:tc>
      </w:tr>
      <w:tr w:rsidR="004E5849" w:rsidRPr="00B94141" w14:paraId="176C324B" w14:textId="77777777" w:rsidTr="00644AC8">
        <w:trPr>
          <w:trHeight w:val="20"/>
        </w:trPr>
        <w:tc>
          <w:tcPr>
            <w:tcW w:w="242" w:type="pct"/>
          </w:tcPr>
          <w:p w14:paraId="4BF8DD05" w14:textId="2CD2164D" w:rsidR="004E5849" w:rsidRPr="00B94141" w:rsidRDefault="004E5849" w:rsidP="004E5849">
            <w:pPr>
              <w:spacing w:before="80" w:after="80"/>
              <w:rPr>
                <w:sz w:val="22"/>
                <w:szCs w:val="22"/>
              </w:rPr>
            </w:pPr>
            <w:r w:rsidRPr="00B94141">
              <w:rPr>
                <w:sz w:val="22"/>
                <w:szCs w:val="22"/>
              </w:rPr>
              <w:t>6</w:t>
            </w:r>
          </w:p>
        </w:tc>
        <w:tc>
          <w:tcPr>
            <w:tcW w:w="3580" w:type="pct"/>
          </w:tcPr>
          <w:p w14:paraId="2543F371" w14:textId="025B76B7" w:rsidR="004E5849" w:rsidRPr="00B94141" w:rsidRDefault="004E5849" w:rsidP="004E5849">
            <w:pPr>
              <w:spacing w:before="80" w:after="80"/>
              <w:rPr>
                <w:lang w:eastAsia="en-GB"/>
              </w:rPr>
            </w:pPr>
            <w:r w:rsidRPr="00B94141">
              <w:rPr>
                <w:szCs w:val="24"/>
              </w:rPr>
              <w:t>Strengthening ITU</w:t>
            </w:r>
            <w:r w:rsidR="00E01D66" w:rsidRPr="00B94141">
              <w:rPr>
                <w:szCs w:val="24"/>
              </w:rPr>
              <w:t>'</w:t>
            </w:r>
            <w:r w:rsidRPr="00B94141">
              <w:rPr>
                <w:szCs w:val="24"/>
              </w:rPr>
              <w:t>s regional presence</w:t>
            </w:r>
          </w:p>
        </w:tc>
        <w:tc>
          <w:tcPr>
            <w:tcW w:w="1178" w:type="pct"/>
          </w:tcPr>
          <w:p w14:paraId="3ADEFBBC" w14:textId="2C59D6CC" w:rsidR="004E5849" w:rsidRPr="00B94141" w:rsidRDefault="00660445" w:rsidP="004E5849">
            <w:pPr>
              <w:spacing w:before="80" w:after="80"/>
              <w:jc w:val="center"/>
              <w:rPr>
                <w:sz w:val="22"/>
                <w:szCs w:val="22"/>
              </w:rPr>
            </w:pPr>
            <w:hyperlink r:id="rId18" w:history="1">
              <w:r w:rsidRPr="00711DF0">
                <w:rPr>
                  <w:rStyle w:val="Hyperlink"/>
                </w:rPr>
                <w:t>C25/25</w:t>
              </w:r>
              <w:r w:rsidR="004E5849" w:rsidRPr="00711DF0">
                <w:rPr>
                  <w:rStyle w:val="Hyperlink"/>
                  <w:szCs w:val="24"/>
                </w:rPr>
                <w:t>(Rev.1)</w:t>
              </w:r>
            </w:hyperlink>
          </w:p>
        </w:tc>
      </w:tr>
      <w:bookmarkEnd w:id="8"/>
    </w:tbl>
    <w:p w14:paraId="360BA973" w14:textId="77777777" w:rsidR="00F66005" w:rsidRPr="00B94141" w:rsidRDefault="00F66005" w:rsidP="007244B9">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1D7ED322" w14:textId="24EF0B46" w:rsidR="000C76A9" w:rsidRPr="00B94141" w:rsidRDefault="0090147A" w:rsidP="000C76A9">
      <w:pPr>
        <w:tabs>
          <w:tab w:val="clear" w:pos="567"/>
          <w:tab w:val="clear" w:pos="1134"/>
          <w:tab w:val="clear" w:pos="1701"/>
          <w:tab w:val="clear" w:pos="2268"/>
          <w:tab w:val="clear" w:pos="2835"/>
        </w:tabs>
        <w:overflowPunct/>
        <w:autoSpaceDE/>
        <w:autoSpaceDN/>
        <w:adjustRightInd/>
        <w:spacing w:before="0"/>
        <w:textAlignment w:val="auto"/>
        <w:rPr>
          <w:rFonts w:eastAsia="Calibri" w:cs="Calibri"/>
          <w:kern w:val="2"/>
          <w:sz w:val="22"/>
          <w:szCs w:val="24"/>
          <w14:ligatures w14:val="standardContextual"/>
        </w:rPr>
      </w:pPr>
      <w:r w:rsidRPr="00B94141">
        <w:br w:type="page"/>
      </w:r>
      <w:bookmarkEnd w:id="5"/>
      <w:bookmarkEnd w:id="9"/>
    </w:p>
    <w:p w14:paraId="3A870D56" w14:textId="71E6A34C" w:rsidR="004E5849" w:rsidRPr="00B94141" w:rsidRDefault="004E5849" w:rsidP="00AD127C">
      <w:pPr>
        <w:pStyle w:val="Heading1"/>
      </w:pPr>
      <w:r w:rsidRPr="00B94141">
        <w:lastRenderedPageBreak/>
        <w:t>1</w:t>
      </w:r>
      <w:r w:rsidRPr="00B94141">
        <w:tab/>
        <w:t xml:space="preserve">Report by the Chair of the Council Working Group for the strategic and financial plans 2028-2031 (Document </w:t>
      </w:r>
      <w:hyperlink r:id="rId19" w:history="1">
        <w:r w:rsidRPr="00B94141">
          <w:rPr>
            <w:rStyle w:val="Hyperlink"/>
          </w:rPr>
          <w:t>C25/31</w:t>
        </w:r>
      </w:hyperlink>
      <w:r w:rsidRPr="00B94141">
        <w:t>)</w:t>
      </w:r>
    </w:p>
    <w:p w14:paraId="6A176DE9" w14:textId="1ACF6E04" w:rsidR="004E5849" w:rsidRPr="00B94141" w:rsidRDefault="004E5849" w:rsidP="00A73841">
      <w:pPr>
        <w:jc w:val="both"/>
      </w:pPr>
      <w:r w:rsidRPr="00B94141">
        <w:t>1.1</w:t>
      </w:r>
      <w:r w:rsidRPr="00B94141">
        <w:tab/>
        <w:t>The Chair of the Council Working Group for the strategic and financial plans 2028</w:t>
      </w:r>
      <w:r w:rsidRPr="00B94141">
        <w:noBreakHyphen/>
        <w:t>2031 (CWG</w:t>
      </w:r>
      <w:r w:rsidRPr="00B94141">
        <w:rPr>
          <w:szCs w:val="24"/>
        </w:rPr>
        <w:noBreakHyphen/>
      </w:r>
      <w:r w:rsidRPr="00B94141">
        <w:t>SFP) introduced Document</w:t>
      </w:r>
      <w:r w:rsidR="007F3AB5" w:rsidRPr="00B94141">
        <w:t> </w:t>
      </w:r>
      <w:r w:rsidRPr="00B94141">
        <w:t>C25/31</w:t>
      </w:r>
      <w:r w:rsidR="007F3AB5" w:rsidRPr="00B94141">
        <w:t>,</w:t>
      </w:r>
      <w:r w:rsidRPr="00B94141">
        <w:t xml:space="preserve"> which presented progress achieved by CWG</w:t>
      </w:r>
      <w:r w:rsidRPr="00B94141">
        <w:rPr>
          <w:szCs w:val="24"/>
        </w:rPr>
        <w:noBreakHyphen/>
      </w:r>
      <w:r w:rsidRPr="00B94141">
        <w:t xml:space="preserve">SFP since 2024. </w:t>
      </w:r>
      <w:r w:rsidR="004463AF" w:rsidRPr="00B94141">
        <w:t xml:space="preserve">It had met </w:t>
      </w:r>
      <w:r w:rsidRPr="00B94141">
        <w:t>in October</w:t>
      </w:r>
      <w:r w:rsidR="007F3AB5" w:rsidRPr="00B94141">
        <w:t> </w:t>
      </w:r>
      <w:r w:rsidRPr="00B94141">
        <w:t>2024 and February</w:t>
      </w:r>
      <w:r w:rsidR="007F3AB5" w:rsidRPr="00B94141">
        <w:t> </w:t>
      </w:r>
      <w:r w:rsidRPr="00B94141">
        <w:t xml:space="preserve">2025 </w:t>
      </w:r>
      <w:r w:rsidR="004463AF" w:rsidRPr="00B94141">
        <w:t xml:space="preserve">and </w:t>
      </w:r>
      <w:r w:rsidRPr="00B94141">
        <w:t xml:space="preserve">had fostered collaboration </w:t>
      </w:r>
      <w:r w:rsidR="00C13AED" w:rsidRPr="00B94141">
        <w:t>with Member States,</w:t>
      </w:r>
      <w:r w:rsidR="004B78C0">
        <w:t xml:space="preserve"> </w:t>
      </w:r>
      <w:r w:rsidR="00241CD1">
        <w:t>t</w:t>
      </w:r>
      <w:r w:rsidR="00665BDA" w:rsidRPr="00B94141">
        <w:t xml:space="preserve">he three Sector advisory groups </w:t>
      </w:r>
      <w:r w:rsidR="004B78C0">
        <w:t>(</w:t>
      </w:r>
      <w:r w:rsidR="00241CD1">
        <w:t xml:space="preserve">regularly informed and </w:t>
      </w:r>
      <w:r w:rsidR="00665BDA" w:rsidRPr="00B94141">
        <w:t xml:space="preserve">invited </w:t>
      </w:r>
      <w:r w:rsidR="00241CD1">
        <w:t xml:space="preserve">through Liaison Statements </w:t>
      </w:r>
      <w:r w:rsidR="00665BDA" w:rsidRPr="00B94141">
        <w:t>to participate in the process</w:t>
      </w:r>
      <w:r w:rsidR="004B78C0">
        <w:t>)</w:t>
      </w:r>
      <w:r w:rsidR="00241CD1">
        <w:t xml:space="preserve">, </w:t>
      </w:r>
      <w:r w:rsidR="00FF121E" w:rsidRPr="00B94141">
        <w:t>the</w:t>
      </w:r>
      <w:r w:rsidR="00665BDA" w:rsidRPr="00B94141">
        <w:t xml:space="preserve"> </w:t>
      </w:r>
      <w:r w:rsidR="00241CD1">
        <w:t>secretariat’s intersectoral team</w:t>
      </w:r>
      <w:r w:rsidR="00FF121E" w:rsidRPr="00B94141">
        <w:t>,</w:t>
      </w:r>
      <w:r w:rsidR="00665BDA" w:rsidRPr="00B94141">
        <w:t xml:space="preserve"> chaired by the Deputy Secretary-General</w:t>
      </w:r>
      <w:r w:rsidR="00FF121E" w:rsidRPr="00B94141">
        <w:t>,</w:t>
      </w:r>
      <w:r w:rsidR="00665BDA" w:rsidRPr="00B94141">
        <w:t xml:space="preserve"> </w:t>
      </w:r>
      <w:r w:rsidR="00241CD1">
        <w:t>and system UN agencies also invited to share their own experiences when drafting their strategic plans</w:t>
      </w:r>
      <w:r w:rsidR="00665BDA" w:rsidRPr="00B94141">
        <w:t>.</w:t>
      </w:r>
      <w:r w:rsidRPr="00B94141">
        <w:t xml:space="preserve"> CWG</w:t>
      </w:r>
      <w:r w:rsidRPr="00B94141">
        <w:rPr>
          <w:szCs w:val="24"/>
        </w:rPr>
        <w:noBreakHyphen/>
      </w:r>
      <w:r w:rsidRPr="00B94141">
        <w:t xml:space="preserve">SFP </w:t>
      </w:r>
      <w:r w:rsidR="00241CD1">
        <w:t xml:space="preserve">also </w:t>
      </w:r>
      <w:r w:rsidRPr="00B94141">
        <w:t>had worked closely with the Union</w:t>
      </w:r>
      <w:r w:rsidR="00E01D66" w:rsidRPr="00B94141">
        <w:t>'</w:t>
      </w:r>
      <w:r w:rsidRPr="00B94141">
        <w:t>s stat</w:t>
      </w:r>
      <w:r w:rsidR="00C13AED" w:rsidRPr="00B94141">
        <w:t xml:space="preserve">istics </w:t>
      </w:r>
      <w:r w:rsidRPr="00B94141">
        <w:t>team</w:t>
      </w:r>
      <w:r w:rsidR="00C13AED" w:rsidRPr="00B94141">
        <w:t>s,</w:t>
      </w:r>
      <w:r w:rsidRPr="00B94141">
        <w:t xml:space="preserve"> whose expertise had been essential in measuring progress and impact. The strategic and financial plan</w:t>
      </w:r>
      <w:r w:rsidR="001A1BB3" w:rsidRPr="00B94141">
        <w:t>s</w:t>
      </w:r>
      <w:r w:rsidRPr="00B94141">
        <w:t xml:space="preserve"> w</w:t>
      </w:r>
      <w:r w:rsidR="001A1BB3" w:rsidRPr="00B94141">
        <w:t>ere</w:t>
      </w:r>
      <w:r w:rsidRPr="00B94141">
        <w:t xml:space="preserve"> not just planning tool</w:t>
      </w:r>
      <w:r w:rsidR="001A1BB3" w:rsidRPr="00B94141">
        <w:t>s</w:t>
      </w:r>
      <w:r w:rsidRPr="00B94141">
        <w:t xml:space="preserve"> but a</w:t>
      </w:r>
      <w:r w:rsidR="001A1BB3" w:rsidRPr="00B94141">
        <w:t>lso</w:t>
      </w:r>
      <w:r w:rsidRPr="00B94141">
        <w:t xml:space="preserve"> means of tracking implementation and guiding continuous improvement.</w:t>
      </w:r>
    </w:p>
    <w:p w14:paraId="20A275A0" w14:textId="22BC4B19" w:rsidR="004E5849" w:rsidRPr="00BB3B78" w:rsidRDefault="004E5849" w:rsidP="00A73841">
      <w:pPr>
        <w:jc w:val="both"/>
        <w:rPr>
          <w:spacing w:val="-2"/>
        </w:rPr>
      </w:pPr>
      <w:r w:rsidRPr="00BB3B78">
        <w:rPr>
          <w:spacing w:val="-2"/>
        </w:rPr>
        <w:t>1.</w:t>
      </w:r>
      <w:r w:rsidR="00BE5FDA" w:rsidRPr="00BB3B78">
        <w:rPr>
          <w:spacing w:val="-2"/>
        </w:rPr>
        <w:t>2</w:t>
      </w:r>
      <w:r w:rsidRPr="00BB3B78">
        <w:rPr>
          <w:spacing w:val="-2"/>
        </w:rPr>
        <w:tab/>
        <w:t xml:space="preserve">Councillors expressed appreciation for </w:t>
      </w:r>
      <w:r w:rsidR="007522D9" w:rsidRPr="00BB3B78">
        <w:rPr>
          <w:spacing w:val="-2"/>
        </w:rPr>
        <w:t xml:space="preserve">progress made in preparing the draft strategic and financial plans </w:t>
      </w:r>
      <w:r w:rsidR="00341734" w:rsidRPr="00BB3B78">
        <w:rPr>
          <w:spacing w:val="-2"/>
        </w:rPr>
        <w:t xml:space="preserve">and </w:t>
      </w:r>
      <w:r w:rsidR="007522D9" w:rsidRPr="00BB3B78">
        <w:rPr>
          <w:spacing w:val="-2"/>
        </w:rPr>
        <w:t>welcomed</w:t>
      </w:r>
      <w:r w:rsidRPr="00BB3B78">
        <w:rPr>
          <w:spacing w:val="-2"/>
        </w:rPr>
        <w:t xml:space="preserve"> the level of engagement with Member States. One observer noted that </w:t>
      </w:r>
      <w:r w:rsidR="007C1150" w:rsidRPr="00BB3B78">
        <w:rPr>
          <w:spacing w:val="-2"/>
        </w:rPr>
        <w:t xml:space="preserve">facilitating </w:t>
      </w:r>
      <w:r w:rsidRPr="00BB3B78">
        <w:rPr>
          <w:spacing w:val="-2"/>
        </w:rPr>
        <w:t>use of spectrum and orbital resources, as set out under Article</w:t>
      </w:r>
      <w:r w:rsidR="007F3AB5" w:rsidRPr="00BB3B78">
        <w:rPr>
          <w:spacing w:val="-2"/>
        </w:rPr>
        <w:t> </w:t>
      </w:r>
      <w:r w:rsidRPr="00BB3B78">
        <w:rPr>
          <w:spacing w:val="-2"/>
        </w:rPr>
        <w:t xml:space="preserve">44 of the </w:t>
      </w:r>
      <w:r w:rsidR="006215A1" w:rsidRPr="00BB3B78">
        <w:rPr>
          <w:spacing w:val="-2"/>
        </w:rPr>
        <w:t xml:space="preserve">ITU </w:t>
      </w:r>
      <w:r w:rsidRPr="00BB3B78">
        <w:rPr>
          <w:spacing w:val="-2"/>
        </w:rPr>
        <w:t xml:space="preserve">Constitution, was a </w:t>
      </w:r>
      <w:r w:rsidR="007C1150" w:rsidRPr="00BB3B78">
        <w:rPr>
          <w:spacing w:val="-2"/>
        </w:rPr>
        <w:t>core activity of the Union</w:t>
      </w:r>
      <w:r w:rsidRPr="00BB3B78">
        <w:rPr>
          <w:spacing w:val="-2"/>
        </w:rPr>
        <w:t xml:space="preserve"> and should not be </w:t>
      </w:r>
      <w:r w:rsidR="007C1150" w:rsidRPr="00BB3B78">
        <w:rPr>
          <w:spacing w:val="-2"/>
        </w:rPr>
        <w:t xml:space="preserve">classed as </w:t>
      </w:r>
      <w:r w:rsidRPr="00BB3B78">
        <w:rPr>
          <w:spacing w:val="-2"/>
        </w:rPr>
        <w:t xml:space="preserve">a </w:t>
      </w:r>
      <w:r w:rsidR="007F3AB5" w:rsidRPr="00BB3B78">
        <w:rPr>
          <w:spacing w:val="-2"/>
        </w:rPr>
        <w:t>"</w:t>
      </w:r>
      <w:r w:rsidRPr="00BB3B78">
        <w:rPr>
          <w:spacing w:val="-2"/>
        </w:rPr>
        <w:t>thematic</w:t>
      </w:r>
      <w:r w:rsidR="007F3AB5" w:rsidRPr="00BB3B78">
        <w:rPr>
          <w:spacing w:val="-2"/>
        </w:rPr>
        <w:t>"</w:t>
      </w:r>
      <w:r w:rsidR="007C1150" w:rsidRPr="00BB3B78">
        <w:rPr>
          <w:spacing w:val="-2"/>
        </w:rPr>
        <w:t xml:space="preserve"> priority</w:t>
      </w:r>
      <w:r w:rsidR="00A60015" w:rsidRPr="00BB3B78">
        <w:rPr>
          <w:spacing w:val="-2"/>
        </w:rPr>
        <w:t xml:space="preserve"> and </w:t>
      </w:r>
      <w:r w:rsidR="00CC6EC4" w:rsidRPr="00BB3B78">
        <w:rPr>
          <w:spacing w:val="-2"/>
        </w:rPr>
        <w:t>said</w:t>
      </w:r>
      <w:r w:rsidR="00A60015" w:rsidRPr="00BB3B78">
        <w:rPr>
          <w:spacing w:val="-2"/>
        </w:rPr>
        <w:t>,</w:t>
      </w:r>
      <w:r w:rsidR="007C1150" w:rsidRPr="00BB3B78">
        <w:rPr>
          <w:spacing w:val="-2"/>
        </w:rPr>
        <w:t xml:space="preserve"> </w:t>
      </w:r>
      <w:r w:rsidR="00A60015" w:rsidRPr="00BB3B78">
        <w:rPr>
          <w:spacing w:val="-2"/>
        </w:rPr>
        <w:t>m</w:t>
      </w:r>
      <w:r w:rsidR="007C1150" w:rsidRPr="00BB3B78">
        <w:rPr>
          <w:spacing w:val="-2"/>
        </w:rPr>
        <w:t>oreover</w:t>
      </w:r>
      <w:r w:rsidR="00A60015" w:rsidRPr="00BB3B78">
        <w:rPr>
          <w:spacing w:val="-2"/>
        </w:rPr>
        <w:t>, th</w:t>
      </w:r>
      <w:r w:rsidR="00CC6EC4" w:rsidRPr="00BB3B78">
        <w:rPr>
          <w:spacing w:val="-2"/>
        </w:rPr>
        <w:t xml:space="preserve">at </w:t>
      </w:r>
      <w:r w:rsidR="009570B9" w:rsidRPr="00BB3B78">
        <w:rPr>
          <w:spacing w:val="-2"/>
        </w:rPr>
        <w:t>certain</w:t>
      </w:r>
      <w:r w:rsidR="00341734" w:rsidRPr="00BB3B78">
        <w:rPr>
          <w:spacing w:val="-2"/>
        </w:rPr>
        <w:t xml:space="preserve"> </w:t>
      </w:r>
      <w:r w:rsidR="00A60015" w:rsidRPr="00BB3B78">
        <w:rPr>
          <w:spacing w:val="-2"/>
        </w:rPr>
        <w:t>outcome indicators</w:t>
      </w:r>
      <w:r w:rsidR="007C1150" w:rsidRPr="00BB3B78">
        <w:rPr>
          <w:spacing w:val="-2"/>
        </w:rPr>
        <w:t xml:space="preserve"> </w:t>
      </w:r>
      <w:r w:rsidR="00A60015" w:rsidRPr="00BB3B78">
        <w:rPr>
          <w:spacing w:val="-2"/>
        </w:rPr>
        <w:t>assigned to it</w:t>
      </w:r>
      <w:r w:rsidR="00341734" w:rsidRPr="00BB3B78">
        <w:rPr>
          <w:spacing w:val="-2"/>
        </w:rPr>
        <w:t xml:space="preserve"> were not appropriate</w:t>
      </w:r>
      <w:r w:rsidRPr="00BB3B78">
        <w:rPr>
          <w:spacing w:val="-2"/>
        </w:rPr>
        <w:t>.</w:t>
      </w:r>
    </w:p>
    <w:p w14:paraId="13874CA6" w14:textId="2C99C80A" w:rsidR="004E5849" w:rsidRPr="00B94141" w:rsidRDefault="004E5849" w:rsidP="00A73841">
      <w:pPr>
        <w:jc w:val="both"/>
      </w:pPr>
      <w:r w:rsidRPr="00B94141">
        <w:t>1.</w:t>
      </w:r>
      <w:r w:rsidR="00BE5FDA" w:rsidRPr="00B94141">
        <w:t>3</w:t>
      </w:r>
      <w:r w:rsidRPr="00B94141">
        <w:tab/>
        <w:t xml:space="preserve">The Chair </w:t>
      </w:r>
      <w:r w:rsidR="006215A1" w:rsidRPr="00B94141">
        <w:t xml:space="preserve">of </w:t>
      </w:r>
      <w:r w:rsidRPr="00B94141">
        <w:t>CWG-SFP</w:t>
      </w:r>
      <w:r w:rsidR="00A60015" w:rsidRPr="00B94141">
        <w:t>, responding to questions and comments from councillors, said that the outcomes of the online consultation</w:t>
      </w:r>
      <w:r w:rsidRPr="00B94141">
        <w:t xml:space="preserve"> </w:t>
      </w:r>
      <w:r w:rsidR="00A60015" w:rsidRPr="00B94141">
        <w:t>had been incorporated in the group</w:t>
      </w:r>
      <w:r w:rsidR="00E01D66" w:rsidRPr="00B94141">
        <w:t>'</w:t>
      </w:r>
      <w:r w:rsidR="00A60015" w:rsidRPr="00B94141">
        <w:t xml:space="preserve">s reporting. </w:t>
      </w:r>
      <w:r w:rsidR="002062F9" w:rsidRPr="00B94141">
        <w:t>Input from Sector advisory groups would inform development of Sector priorities and how they were measured</w:t>
      </w:r>
      <w:r w:rsidRPr="00B94141">
        <w:t xml:space="preserve">. </w:t>
      </w:r>
      <w:r w:rsidR="00A60015" w:rsidRPr="00B94141">
        <w:t>For the September</w:t>
      </w:r>
      <w:r w:rsidR="007F3AB5" w:rsidRPr="00B94141">
        <w:t> </w:t>
      </w:r>
      <w:r w:rsidR="00A60015" w:rsidRPr="00B94141">
        <w:t>2025 meeting of CWG-SFP, the secretariat would prepare frameworks for the d</w:t>
      </w:r>
      <w:r w:rsidRPr="00B94141">
        <w:t xml:space="preserve">raft strategic </w:t>
      </w:r>
      <w:r w:rsidR="00A60015" w:rsidRPr="00B94141">
        <w:t xml:space="preserve">and financial </w:t>
      </w:r>
      <w:r w:rsidRPr="00B94141">
        <w:t>plan</w:t>
      </w:r>
      <w:r w:rsidR="00A60015" w:rsidRPr="00B94141">
        <w:t>s</w:t>
      </w:r>
      <w:r w:rsidR="00CC6EC4" w:rsidRPr="00B94141">
        <w:t xml:space="preserve">, with clear strategic, financial and operational </w:t>
      </w:r>
      <w:r w:rsidR="00241CD1">
        <w:t xml:space="preserve">plans </w:t>
      </w:r>
      <w:r w:rsidR="00CC6EC4" w:rsidRPr="00B94141">
        <w:t>linkages</w:t>
      </w:r>
      <w:r w:rsidRPr="00B94141">
        <w:t xml:space="preserve">. </w:t>
      </w:r>
      <w:r w:rsidR="00341734" w:rsidRPr="00B94141">
        <w:t xml:space="preserve">Briefings would be provided to the Sector advisory groups and as part of the </w:t>
      </w:r>
      <w:r w:rsidR="00966555" w:rsidRPr="00B94141">
        <w:t>world telecommunication development conference</w:t>
      </w:r>
      <w:r w:rsidR="00341734" w:rsidRPr="00B94141">
        <w:t xml:space="preserve"> and </w:t>
      </w:r>
      <w:r w:rsidR="00966555" w:rsidRPr="00B94141">
        <w:t>plenipotentiary conference (</w:t>
      </w:r>
      <w:r w:rsidR="00341734" w:rsidRPr="00B94141">
        <w:t>PP</w:t>
      </w:r>
      <w:r w:rsidR="00966555" w:rsidRPr="00B94141">
        <w:t>)</w:t>
      </w:r>
      <w:r w:rsidR="00341734" w:rsidRPr="00B94141">
        <w:t xml:space="preserve"> preparatory processes. An </w:t>
      </w:r>
      <w:r w:rsidRPr="00B94141">
        <w:t xml:space="preserve">information session </w:t>
      </w:r>
      <w:r w:rsidR="00341734" w:rsidRPr="00B94141">
        <w:t>was being</w:t>
      </w:r>
      <w:r w:rsidRPr="00B94141">
        <w:t xml:space="preserve"> held after th</w:t>
      </w:r>
      <w:r w:rsidR="00341734" w:rsidRPr="00B94141">
        <w:t>at</w:t>
      </w:r>
      <w:r w:rsidRPr="00B94141">
        <w:t xml:space="preserve"> plenary </w:t>
      </w:r>
      <w:r w:rsidR="00341734" w:rsidRPr="00B94141">
        <w:t>meeting to provide</w:t>
      </w:r>
      <w:r w:rsidRPr="00B94141">
        <w:t xml:space="preserve"> further information on </w:t>
      </w:r>
      <w:r w:rsidR="00341734" w:rsidRPr="00B94141">
        <w:t>progress and steps towards finalization of the draft strategic and financial plans</w:t>
      </w:r>
      <w:r w:rsidR="00500BFF" w:rsidRPr="00B94141">
        <w:t xml:space="preserve"> before submission to the 2026 session of the Council</w:t>
      </w:r>
      <w:r w:rsidRPr="00B94141">
        <w:t>.</w:t>
      </w:r>
    </w:p>
    <w:p w14:paraId="489447C2" w14:textId="229BE5D3" w:rsidR="004E5849" w:rsidRPr="00B94141" w:rsidRDefault="004E5849" w:rsidP="00A73841">
      <w:pPr>
        <w:jc w:val="both"/>
      </w:pPr>
      <w:r w:rsidRPr="00B94141">
        <w:t>1.</w:t>
      </w:r>
      <w:r w:rsidR="00BE5FDA" w:rsidRPr="00B94141">
        <w:t>4</w:t>
      </w:r>
      <w:r w:rsidRPr="00B94141">
        <w:tab/>
        <w:t xml:space="preserve">The Council </w:t>
      </w:r>
      <w:r w:rsidRPr="00B94141">
        <w:rPr>
          <w:b/>
          <w:bCs/>
        </w:rPr>
        <w:t>noted</w:t>
      </w:r>
      <w:r w:rsidRPr="00B94141">
        <w:t xml:space="preserve"> the report contained in Document</w:t>
      </w:r>
      <w:r w:rsidR="007F3AB5" w:rsidRPr="00B94141">
        <w:t> </w:t>
      </w:r>
      <w:r w:rsidRPr="00B94141">
        <w:t>C25/31.</w:t>
      </w:r>
    </w:p>
    <w:p w14:paraId="1FB115EB" w14:textId="67449924" w:rsidR="004E5849" w:rsidRPr="00B94141" w:rsidRDefault="004E5849" w:rsidP="00AD127C">
      <w:pPr>
        <w:pStyle w:val="Heading1"/>
      </w:pPr>
      <w:r w:rsidRPr="00B94141">
        <w:t>2</w:t>
      </w:r>
      <w:r w:rsidRPr="00B94141">
        <w:tab/>
        <w:t xml:space="preserve">Guidelines for harmonizing </w:t>
      </w:r>
      <w:r w:rsidR="00FF121E" w:rsidRPr="00B94141">
        <w:t>r</w:t>
      </w:r>
      <w:r w:rsidRPr="00B94141">
        <w:t xml:space="preserve">esolutions and </w:t>
      </w:r>
      <w:r w:rsidR="00FF121E" w:rsidRPr="00B94141">
        <w:t>d</w:t>
      </w:r>
      <w:r w:rsidRPr="00B94141">
        <w:t>ecisions</w:t>
      </w:r>
      <w:r w:rsidR="001A1BB3" w:rsidRPr="00B94141">
        <w:t xml:space="preserve"> of the Plenipotentiary </w:t>
      </w:r>
      <w:r w:rsidR="001A1BB3" w:rsidRPr="00AD127C">
        <w:t>Conference</w:t>
      </w:r>
      <w:r w:rsidRPr="00B94141">
        <w:t xml:space="preserve"> (Documents </w:t>
      </w:r>
      <w:hyperlink r:id="rId20" w:history="1">
        <w:r w:rsidRPr="00B94141">
          <w:rPr>
            <w:rStyle w:val="Hyperlink"/>
          </w:rPr>
          <w:t>C25/29</w:t>
        </w:r>
      </w:hyperlink>
      <w:r w:rsidRPr="00B94141">
        <w:t xml:space="preserve">, </w:t>
      </w:r>
      <w:hyperlink r:id="rId21" w:history="1">
        <w:r w:rsidRPr="00B94141">
          <w:rPr>
            <w:rStyle w:val="Hyperlink"/>
          </w:rPr>
          <w:t>C25/79</w:t>
        </w:r>
      </w:hyperlink>
      <w:r w:rsidR="00BE53BC">
        <w:t>,</w:t>
      </w:r>
      <w:r w:rsidR="001A1BB3" w:rsidRPr="00B94141">
        <w:t xml:space="preserve"> </w:t>
      </w:r>
      <w:hyperlink r:id="rId22" w:history="1">
        <w:r w:rsidRPr="00B94141">
          <w:rPr>
            <w:rStyle w:val="Hyperlink"/>
          </w:rPr>
          <w:t>C25/91</w:t>
        </w:r>
      </w:hyperlink>
      <w:r w:rsidRPr="00B94141">
        <w:t>)</w:t>
      </w:r>
    </w:p>
    <w:p w14:paraId="6698DEED" w14:textId="41EA7AEC" w:rsidR="004E5849" w:rsidRPr="00B94141" w:rsidRDefault="004E5849" w:rsidP="00A73841">
      <w:pPr>
        <w:jc w:val="both"/>
        <w:rPr>
          <w:rFonts w:cs="Calibri"/>
        </w:rPr>
      </w:pPr>
      <w:r w:rsidRPr="00B94141">
        <w:t>2.1</w:t>
      </w:r>
      <w:r w:rsidRPr="00B94141">
        <w:tab/>
        <w:t>A representative of the General Secretariat introduced Document</w:t>
      </w:r>
      <w:r w:rsidR="007F3AB5" w:rsidRPr="00B94141">
        <w:t> </w:t>
      </w:r>
      <w:r w:rsidRPr="00B94141">
        <w:t xml:space="preserve">C25/29 </w:t>
      </w:r>
      <w:r w:rsidR="00341734" w:rsidRPr="00B94141">
        <w:t>contain</w:t>
      </w:r>
      <w:r w:rsidR="00427A3E" w:rsidRPr="00B94141">
        <w:t>ing</w:t>
      </w:r>
      <w:r w:rsidR="00341734" w:rsidRPr="00B94141">
        <w:t xml:space="preserve"> </w:t>
      </w:r>
      <w:r w:rsidRPr="00B94141">
        <w:t>proposed</w:t>
      </w:r>
      <w:r w:rsidR="00427A3E" w:rsidRPr="00B94141">
        <w:t>,</w:t>
      </w:r>
      <w:r w:rsidRPr="00B94141">
        <w:t xml:space="preserve"> </w:t>
      </w:r>
      <w:r w:rsidR="00427A3E" w:rsidRPr="00B94141">
        <w:rPr>
          <w:rFonts w:cs="Calibri"/>
        </w:rPr>
        <w:t>non</w:t>
      </w:r>
      <w:r w:rsidR="00427A3E" w:rsidRPr="00B94141">
        <w:rPr>
          <w:rFonts w:cs="Calibri"/>
        </w:rPr>
        <w:noBreakHyphen/>
        <w:t>binding</w:t>
      </w:r>
      <w:r w:rsidR="00427A3E" w:rsidRPr="00B94141">
        <w:t xml:space="preserve"> </w:t>
      </w:r>
      <w:r w:rsidRPr="00B94141">
        <w:t xml:space="preserve">guidelines </w:t>
      </w:r>
      <w:r w:rsidR="00341734" w:rsidRPr="00B94141">
        <w:t>for</w:t>
      </w:r>
      <w:r w:rsidRPr="00B94141">
        <w:t xml:space="preserve"> harmonizing </w:t>
      </w:r>
      <w:r w:rsidR="00427A3E" w:rsidRPr="00B94141">
        <w:t>PP</w:t>
      </w:r>
      <w:r w:rsidRPr="00B94141">
        <w:t xml:space="preserve"> resolutions and decisions</w:t>
      </w:r>
      <w:r w:rsidR="00427A3E" w:rsidRPr="00B94141">
        <w:t>,</w:t>
      </w:r>
      <w:r w:rsidR="00500BFF" w:rsidRPr="00B94141">
        <w:t xml:space="preserve"> </w:t>
      </w:r>
      <w:r w:rsidR="00427A3E" w:rsidRPr="00B94141">
        <w:t>as</w:t>
      </w:r>
      <w:r w:rsidRPr="00B94141">
        <w:t xml:space="preserve"> agreed by </w:t>
      </w:r>
      <w:r w:rsidR="00500BFF" w:rsidRPr="00B94141">
        <w:t>CWG-SFP</w:t>
      </w:r>
      <w:r w:rsidRPr="00B94141">
        <w:rPr>
          <w:rFonts w:cs="Calibri"/>
        </w:rPr>
        <w:t xml:space="preserve">. </w:t>
      </w:r>
    </w:p>
    <w:p w14:paraId="3942B468" w14:textId="2350F461" w:rsidR="004E5849" w:rsidRPr="00B94141" w:rsidRDefault="004E5849" w:rsidP="00A73841">
      <w:pPr>
        <w:jc w:val="both"/>
      </w:pPr>
      <w:r w:rsidRPr="00B94141">
        <w:t>2.</w:t>
      </w:r>
      <w:r w:rsidR="00BE5FDA" w:rsidRPr="00B94141">
        <w:t>2</w:t>
      </w:r>
      <w:r w:rsidRPr="00B94141">
        <w:tab/>
        <w:t xml:space="preserve">The councillor from Saudi Arabia introduced </w:t>
      </w:r>
      <w:r w:rsidR="00500BFF" w:rsidRPr="00B94141">
        <w:t xml:space="preserve">the </w:t>
      </w:r>
      <w:r w:rsidR="00D52518" w:rsidRPr="00B94141">
        <w:t>multicountry</w:t>
      </w:r>
      <w:r w:rsidRPr="00B94141">
        <w:t xml:space="preserve"> contribution </w:t>
      </w:r>
      <w:r w:rsidR="00500BFF" w:rsidRPr="00B94141">
        <w:t>contained in Document</w:t>
      </w:r>
      <w:r w:rsidR="007F3AB5" w:rsidRPr="00B94141">
        <w:t> </w:t>
      </w:r>
      <w:r w:rsidR="00500BFF" w:rsidRPr="00B94141">
        <w:t xml:space="preserve">C25/91 </w:t>
      </w:r>
      <w:r w:rsidRPr="00B94141">
        <w:t xml:space="preserve">on behalf of </w:t>
      </w:r>
      <w:r w:rsidR="00427A3E" w:rsidRPr="00B94141">
        <w:t>six countries</w:t>
      </w:r>
      <w:r w:rsidR="00500BFF" w:rsidRPr="00B94141">
        <w:t>.</w:t>
      </w:r>
      <w:r w:rsidRPr="00B94141">
        <w:t xml:space="preserve"> </w:t>
      </w:r>
      <w:r w:rsidR="00500BFF" w:rsidRPr="00B94141">
        <w:t>It provided additional input on the guidelines</w:t>
      </w:r>
      <w:r w:rsidR="00427A3E" w:rsidRPr="00B94141">
        <w:t>, stressing</w:t>
      </w:r>
      <w:r w:rsidRPr="00B94141">
        <w:t xml:space="preserve"> that any efforts to streamline existing resolutions should be </w:t>
      </w:r>
      <w:r w:rsidR="00427A3E" w:rsidRPr="00B94141">
        <w:t>made</w:t>
      </w:r>
      <w:r w:rsidRPr="00B94141">
        <w:t xml:space="preserve"> with care. It was proposed that the guidelines be </w:t>
      </w:r>
      <w:r w:rsidR="00427A3E" w:rsidRPr="00B94141">
        <w:t xml:space="preserve">further </w:t>
      </w:r>
      <w:r w:rsidRPr="00B94141">
        <w:t>considered by CWG</w:t>
      </w:r>
      <w:r w:rsidRPr="00B94141">
        <w:noBreakHyphen/>
        <w:t>SFP</w:t>
      </w:r>
      <w:r w:rsidR="00427A3E" w:rsidRPr="00B94141">
        <w:t xml:space="preserve"> in the light of the contribution</w:t>
      </w:r>
      <w:r w:rsidRPr="00B94141">
        <w:t xml:space="preserve">. </w:t>
      </w:r>
    </w:p>
    <w:p w14:paraId="4F0FCF93" w14:textId="27C972CC" w:rsidR="004E5849" w:rsidRPr="00BB3B78" w:rsidRDefault="004E5849" w:rsidP="00A73841">
      <w:pPr>
        <w:jc w:val="both"/>
        <w:rPr>
          <w:spacing w:val="-2"/>
        </w:rPr>
      </w:pPr>
      <w:r w:rsidRPr="00BB3B78">
        <w:rPr>
          <w:spacing w:val="-2"/>
        </w:rPr>
        <w:t>2.</w:t>
      </w:r>
      <w:r w:rsidR="00BE5FDA" w:rsidRPr="00BB3B78">
        <w:rPr>
          <w:spacing w:val="-2"/>
        </w:rPr>
        <w:t>3</w:t>
      </w:r>
      <w:r w:rsidRPr="00BB3B78">
        <w:rPr>
          <w:spacing w:val="-2"/>
        </w:rPr>
        <w:tab/>
        <w:t>The observer f</w:t>
      </w:r>
      <w:r w:rsidR="001A1BB3" w:rsidRPr="00BB3B78">
        <w:rPr>
          <w:spacing w:val="-2"/>
        </w:rPr>
        <w:t>o</w:t>
      </w:r>
      <w:r w:rsidRPr="00BB3B78">
        <w:rPr>
          <w:spacing w:val="-2"/>
        </w:rPr>
        <w:t xml:space="preserve">r the Russian Federation introduced </w:t>
      </w:r>
      <w:r w:rsidR="00427A3E" w:rsidRPr="00BB3B78">
        <w:rPr>
          <w:spacing w:val="-2"/>
        </w:rPr>
        <w:t>Document</w:t>
      </w:r>
      <w:r w:rsidR="0097167A" w:rsidRPr="00BB3B78">
        <w:rPr>
          <w:spacing w:val="-2"/>
        </w:rPr>
        <w:t> </w:t>
      </w:r>
      <w:r w:rsidR="00427A3E" w:rsidRPr="00BB3B78">
        <w:rPr>
          <w:spacing w:val="-2"/>
        </w:rPr>
        <w:t xml:space="preserve">C25/79, proposing </w:t>
      </w:r>
      <w:r w:rsidR="00301934" w:rsidRPr="00BB3B78">
        <w:rPr>
          <w:spacing w:val="-2"/>
        </w:rPr>
        <w:t>further measures</w:t>
      </w:r>
      <w:r w:rsidR="00427A3E" w:rsidRPr="00BB3B78">
        <w:rPr>
          <w:spacing w:val="-2"/>
        </w:rPr>
        <w:t xml:space="preserve"> to </w:t>
      </w:r>
      <w:r w:rsidRPr="00BB3B78">
        <w:rPr>
          <w:spacing w:val="-2"/>
        </w:rPr>
        <w:t>streamlin</w:t>
      </w:r>
      <w:r w:rsidR="00301934" w:rsidRPr="00BB3B78">
        <w:rPr>
          <w:spacing w:val="-2"/>
        </w:rPr>
        <w:t>e</w:t>
      </w:r>
      <w:r w:rsidRPr="00BB3B78">
        <w:rPr>
          <w:spacing w:val="-2"/>
        </w:rPr>
        <w:t xml:space="preserve"> </w:t>
      </w:r>
      <w:r w:rsidR="00427A3E" w:rsidRPr="00BB3B78">
        <w:rPr>
          <w:spacing w:val="-2"/>
        </w:rPr>
        <w:t>PP and Sector resolutions and decisions</w:t>
      </w:r>
      <w:r w:rsidRPr="00BB3B78">
        <w:rPr>
          <w:spacing w:val="-2"/>
        </w:rPr>
        <w:t xml:space="preserve">. </w:t>
      </w:r>
      <w:r w:rsidR="00427A3E" w:rsidRPr="00BB3B78">
        <w:rPr>
          <w:spacing w:val="-2"/>
        </w:rPr>
        <w:t xml:space="preserve">One approach was to increase Sector-specific content in PP outcomes to obviate the need for analogous </w:t>
      </w:r>
      <w:r w:rsidR="00BE5FDA" w:rsidRPr="00BB3B78">
        <w:rPr>
          <w:spacing w:val="-2"/>
        </w:rPr>
        <w:t xml:space="preserve">Sector </w:t>
      </w:r>
      <w:r w:rsidR="00427A3E" w:rsidRPr="00BB3B78">
        <w:rPr>
          <w:spacing w:val="-2"/>
        </w:rPr>
        <w:t>outcomes</w:t>
      </w:r>
      <w:r w:rsidR="00EA43F9" w:rsidRPr="00BB3B78">
        <w:rPr>
          <w:spacing w:val="-2"/>
        </w:rPr>
        <w:t xml:space="preserve">, </w:t>
      </w:r>
      <w:r w:rsidR="00EA43F9" w:rsidRPr="00BB3B78">
        <w:rPr>
          <w:spacing w:val="-2"/>
        </w:rPr>
        <w:lastRenderedPageBreak/>
        <w:t xml:space="preserve">which could be trialled </w:t>
      </w:r>
      <w:r w:rsidRPr="00BB3B78">
        <w:rPr>
          <w:spacing w:val="-2"/>
        </w:rPr>
        <w:t xml:space="preserve">on a limited number of resolutions. </w:t>
      </w:r>
      <w:r w:rsidR="00EA43F9" w:rsidRPr="00BB3B78">
        <w:rPr>
          <w:spacing w:val="-2"/>
        </w:rPr>
        <w:t>T</w:t>
      </w:r>
      <w:r w:rsidRPr="00BB3B78">
        <w:rPr>
          <w:spacing w:val="-2"/>
        </w:rPr>
        <w:t>he establishment of a rapporteur group by IS</w:t>
      </w:r>
      <w:r w:rsidR="00EA43F9" w:rsidRPr="00BB3B78">
        <w:rPr>
          <w:spacing w:val="-2"/>
        </w:rPr>
        <w:t>C</w:t>
      </w:r>
      <w:r w:rsidRPr="00BB3B78">
        <w:rPr>
          <w:spacing w:val="-2"/>
        </w:rPr>
        <w:t>G</w:t>
      </w:r>
      <w:r w:rsidR="00EA43F9" w:rsidRPr="00BB3B78">
        <w:rPr>
          <w:spacing w:val="-2"/>
        </w:rPr>
        <w:t xml:space="preserve"> could assist in coordinating preparations for PP-26 across the Sectors</w:t>
      </w:r>
      <w:r w:rsidRPr="00BB3B78">
        <w:rPr>
          <w:spacing w:val="-2"/>
        </w:rPr>
        <w:t xml:space="preserve">. </w:t>
      </w:r>
    </w:p>
    <w:p w14:paraId="6AEC35FD" w14:textId="3AE83851" w:rsidR="00EA43F9" w:rsidRPr="00B94141" w:rsidRDefault="00EA43F9" w:rsidP="00A73841">
      <w:pPr>
        <w:jc w:val="both"/>
      </w:pPr>
      <w:r w:rsidRPr="00B94141">
        <w:t>2.</w:t>
      </w:r>
      <w:r w:rsidR="00BE5FDA" w:rsidRPr="00B94141">
        <w:t>4</w:t>
      </w:r>
      <w:r w:rsidR="00742CCD" w:rsidRPr="00B94141">
        <w:tab/>
      </w:r>
      <w:r w:rsidRPr="00B94141">
        <w:t xml:space="preserve">The councillor from Italy said that ISCG had agreed on the principle and </w:t>
      </w:r>
      <w:r w:rsidR="00004B87" w:rsidRPr="00B94141">
        <w:t xml:space="preserve">already </w:t>
      </w:r>
      <w:r w:rsidRPr="00B94141">
        <w:t xml:space="preserve">appointed a rapporteur to study the matter and report back to the group. In addition, </w:t>
      </w:r>
      <w:r w:rsidR="000B2D1B">
        <w:t xml:space="preserve">he </w:t>
      </w:r>
      <w:r w:rsidR="00CF2978">
        <w:t xml:space="preserve">highlighted that </w:t>
      </w:r>
      <w:r w:rsidR="0025056D">
        <w:t xml:space="preserve">the ISCG website contains a mapping of resolutions, </w:t>
      </w:r>
      <w:r w:rsidR="000B2D1B">
        <w:t xml:space="preserve">and </w:t>
      </w:r>
      <w:r w:rsidRPr="00B94141">
        <w:t xml:space="preserve">a table </w:t>
      </w:r>
      <w:r w:rsidR="0025056D">
        <w:t>that</w:t>
      </w:r>
      <w:r w:rsidRPr="00B94141">
        <w:t xml:space="preserve"> relate</w:t>
      </w:r>
      <w:r w:rsidR="0025056D">
        <w:t>s</w:t>
      </w:r>
      <w:r w:rsidRPr="00B94141">
        <w:t xml:space="preserve"> resolutions across the various Sectors</w:t>
      </w:r>
      <w:r w:rsidR="00CF2978">
        <w:t xml:space="preserve">. The councillor also mentioned </w:t>
      </w:r>
      <w:r w:rsidR="000B2D1B">
        <w:t xml:space="preserve">that </w:t>
      </w:r>
      <w:r w:rsidR="00CF2978">
        <w:t>the ISCG</w:t>
      </w:r>
      <w:r w:rsidRPr="00B94141">
        <w:t xml:space="preserve"> endorsed the proposals contained in Document</w:t>
      </w:r>
      <w:r w:rsidR="0097167A" w:rsidRPr="00B94141">
        <w:t> </w:t>
      </w:r>
      <w:r w:rsidRPr="00B94141">
        <w:t>C25/91</w:t>
      </w:r>
      <w:r w:rsidR="000B2D1B">
        <w:t>,</w:t>
      </w:r>
      <w:r w:rsidR="00CF2978">
        <w:t xml:space="preserve"> </w:t>
      </w:r>
      <w:r w:rsidR="000B2D1B">
        <w:t xml:space="preserve">which were </w:t>
      </w:r>
      <w:r w:rsidR="00CF2978">
        <w:t>already presented to the group</w:t>
      </w:r>
      <w:r w:rsidRPr="00B94141">
        <w:t xml:space="preserve">. </w:t>
      </w:r>
    </w:p>
    <w:p w14:paraId="2C9B136B" w14:textId="6DA3CD9F" w:rsidR="004E5849" w:rsidRPr="00B94141" w:rsidRDefault="004E5849" w:rsidP="00A73841">
      <w:pPr>
        <w:jc w:val="both"/>
      </w:pPr>
      <w:r w:rsidRPr="00B94141">
        <w:t>2.5</w:t>
      </w:r>
      <w:r w:rsidRPr="00B94141">
        <w:tab/>
        <w:t xml:space="preserve">Councillors and observers </w:t>
      </w:r>
      <w:r w:rsidR="00D01158" w:rsidRPr="00B94141">
        <w:t>welcomed</w:t>
      </w:r>
      <w:r w:rsidRPr="00B94141">
        <w:t xml:space="preserve"> the guidelines</w:t>
      </w:r>
      <w:r w:rsidR="0097167A" w:rsidRPr="00B94141">
        <w:t>,</w:t>
      </w:r>
      <w:r w:rsidR="00D01158" w:rsidRPr="00B94141">
        <w:t xml:space="preserve"> provided that they remained</w:t>
      </w:r>
      <w:r w:rsidRPr="00B94141">
        <w:t xml:space="preserve"> no</w:t>
      </w:r>
      <w:r w:rsidR="00D01158" w:rsidRPr="00B94141">
        <w:t>n-</w:t>
      </w:r>
      <w:r w:rsidRPr="00B94141">
        <w:t xml:space="preserve">binding and did not limit </w:t>
      </w:r>
      <w:r w:rsidR="00D01158" w:rsidRPr="00B94141">
        <w:t>Member States</w:t>
      </w:r>
      <w:r w:rsidR="00E01D66" w:rsidRPr="00B94141">
        <w:t>'</w:t>
      </w:r>
      <w:r w:rsidR="00D01158" w:rsidRPr="00B94141">
        <w:t xml:space="preserve"> </w:t>
      </w:r>
      <w:r w:rsidRPr="00B94141">
        <w:t xml:space="preserve">ability to propose amendments or new resolutions or decisions. </w:t>
      </w:r>
      <w:r w:rsidR="00742CCD" w:rsidRPr="00B94141">
        <w:t>Efforts to harmonize and shorten resolutions were positive, but a</w:t>
      </w:r>
      <w:r w:rsidR="00D01158" w:rsidRPr="00B94141">
        <w:t xml:space="preserve"> blanket template would not be appropriate; content and context </w:t>
      </w:r>
      <w:r w:rsidR="00742CCD" w:rsidRPr="00B94141">
        <w:t>should be</w:t>
      </w:r>
      <w:r w:rsidR="00D01158" w:rsidRPr="00B94141">
        <w:t xml:space="preserve"> </w:t>
      </w:r>
      <w:r w:rsidR="00226032" w:rsidRPr="00B94141">
        <w:t xml:space="preserve">the </w:t>
      </w:r>
      <w:r w:rsidR="00D01158" w:rsidRPr="00B94141">
        <w:t>most important</w:t>
      </w:r>
      <w:r w:rsidR="00226032" w:rsidRPr="00B94141">
        <w:t xml:space="preserve"> consideration</w:t>
      </w:r>
      <w:r w:rsidR="00D01158" w:rsidRPr="00B94141">
        <w:t xml:space="preserve">. Several councillors </w:t>
      </w:r>
      <w:r w:rsidRPr="00B94141">
        <w:t xml:space="preserve">agreed </w:t>
      </w:r>
      <w:r w:rsidR="00D01158" w:rsidRPr="00B94141">
        <w:t xml:space="preserve">that </w:t>
      </w:r>
      <w:r w:rsidRPr="00B94141">
        <w:t>resolution</w:t>
      </w:r>
      <w:r w:rsidR="00D01158" w:rsidRPr="00B94141">
        <w:t>s</w:t>
      </w:r>
      <w:r w:rsidRPr="00B94141">
        <w:t xml:space="preserve"> should not be suppressed based solely on a lack of recent reporting or </w:t>
      </w:r>
      <w:r w:rsidR="00D01158" w:rsidRPr="00B94141">
        <w:t>revision</w:t>
      </w:r>
      <w:r w:rsidRPr="00B94141">
        <w:t>. One observer</w:t>
      </w:r>
      <w:r w:rsidR="00D01158" w:rsidRPr="00B94141">
        <w:t xml:space="preserve"> suggested</w:t>
      </w:r>
      <w:r w:rsidRPr="00B94141">
        <w:t xml:space="preserve"> </w:t>
      </w:r>
      <w:r w:rsidR="00742CCD" w:rsidRPr="00B94141">
        <w:t xml:space="preserve">presenting the </w:t>
      </w:r>
      <w:r w:rsidRPr="00B94141">
        <w:t xml:space="preserve">guidelines in regional webinars. </w:t>
      </w:r>
    </w:p>
    <w:p w14:paraId="5444C19E" w14:textId="6EE87048" w:rsidR="004E5849" w:rsidRPr="00B94141" w:rsidRDefault="004E5849" w:rsidP="00A73841">
      <w:pPr>
        <w:jc w:val="both"/>
      </w:pPr>
      <w:r w:rsidRPr="00B94141">
        <w:t>2.6</w:t>
      </w:r>
      <w:r w:rsidRPr="00B94141">
        <w:tab/>
        <w:t xml:space="preserve">Councillors </w:t>
      </w:r>
      <w:r w:rsidR="00742CCD" w:rsidRPr="00B94141">
        <w:t xml:space="preserve">also welcomed </w:t>
      </w:r>
      <w:r w:rsidRPr="00B94141">
        <w:t xml:space="preserve">the contribution contained in </w:t>
      </w:r>
      <w:r w:rsidR="0097167A" w:rsidRPr="00B94141">
        <w:t>Document </w:t>
      </w:r>
      <w:r w:rsidRPr="00B94141">
        <w:t xml:space="preserve">C25/79 and </w:t>
      </w:r>
      <w:r w:rsidR="00D01158" w:rsidRPr="00B94141">
        <w:t xml:space="preserve">stressed </w:t>
      </w:r>
      <w:r w:rsidRPr="00B94141">
        <w:t xml:space="preserve">the importance of inter-Sectoral cooperation </w:t>
      </w:r>
      <w:r w:rsidR="00D01158" w:rsidRPr="00B94141">
        <w:t>to</w:t>
      </w:r>
      <w:r w:rsidRPr="00B94141">
        <w:t xml:space="preserve"> improve coherence in resolutions.</w:t>
      </w:r>
      <w:r w:rsidR="00D01158" w:rsidRPr="00B94141">
        <w:t xml:space="preserve"> Earlier involvement of regional telecommunication organizations in the preparatory process could also help.</w:t>
      </w:r>
      <w:r w:rsidRPr="00B94141">
        <w:t xml:space="preserve"> One councillor requested that the secretariat compile a list of </w:t>
      </w:r>
      <w:r w:rsidR="00742CCD" w:rsidRPr="00B94141">
        <w:t xml:space="preserve">thematically related </w:t>
      </w:r>
      <w:r w:rsidRPr="00B94141">
        <w:t>resolutions t</w:t>
      </w:r>
      <w:r w:rsidR="00742CCD" w:rsidRPr="00B94141">
        <w:t xml:space="preserve">o help identify </w:t>
      </w:r>
      <w:r w:rsidRPr="00B94141">
        <w:t xml:space="preserve">discrepancies and duplications. </w:t>
      </w:r>
    </w:p>
    <w:p w14:paraId="4FD79E94" w14:textId="07A8FA31" w:rsidR="004E5849" w:rsidRPr="00B94141" w:rsidRDefault="004E5849" w:rsidP="00A73841">
      <w:pPr>
        <w:jc w:val="both"/>
      </w:pPr>
      <w:r w:rsidRPr="00B94141">
        <w:t>2.</w:t>
      </w:r>
      <w:r w:rsidR="00BE5FDA" w:rsidRPr="00B94141">
        <w:t>7</w:t>
      </w:r>
      <w:r w:rsidRPr="00B94141">
        <w:tab/>
        <w:t xml:space="preserve">One councillor </w:t>
      </w:r>
      <w:r w:rsidR="00004B87" w:rsidRPr="00B94141">
        <w:t>stressed that, for the guidelines to</w:t>
      </w:r>
      <w:r w:rsidR="00BE5FDA" w:rsidRPr="00B94141">
        <w:t xml:space="preserve"> be effective</w:t>
      </w:r>
      <w:r w:rsidR="00004B87" w:rsidRPr="00B94141">
        <w:t>, Member States should commit to following them as closely as possible. They should also carefully</w:t>
      </w:r>
      <w:r w:rsidRPr="00B94141">
        <w:t xml:space="preserve"> consider the financial implications of proposals to ITU conferences.</w:t>
      </w:r>
    </w:p>
    <w:p w14:paraId="6F8D3A4D" w14:textId="123DFE4F" w:rsidR="004E5849" w:rsidRPr="00B94141" w:rsidRDefault="004E5849" w:rsidP="00A73841">
      <w:pPr>
        <w:jc w:val="both"/>
      </w:pPr>
      <w:r w:rsidRPr="00B94141">
        <w:t>2.</w:t>
      </w:r>
      <w:r w:rsidR="00BE5FDA" w:rsidRPr="00B94141">
        <w:t>8</w:t>
      </w:r>
      <w:r w:rsidRPr="00B94141">
        <w:tab/>
        <w:t xml:space="preserve">The </w:t>
      </w:r>
      <w:r w:rsidR="00226032" w:rsidRPr="00B94141">
        <w:t xml:space="preserve">Chair proposed that the </w:t>
      </w:r>
      <w:r w:rsidRPr="00B94141">
        <w:t>Council note Document</w:t>
      </w:r>
      <w:r w:rsidR="0097167A" w:rsidRPr="00B94141">
        <w:t> </w:t>
      </w:r>
      <w:r w:rsidRPr="00B94141">
        <w:t>C25/29</w:t>
      </w:r>
      <w:r w:rsidR="00004B87" w:rsidRPr="00B94141">
        <w:t>,</w:t>
      </w:r>
      <w:r w:rsidRPr="00B94141">
        <w:t xml:space="preserve"> </w:t>
      </w:r>
      <w:r w:rsidR="00004B87" w:rsidRPr="00B94141">
        <w:t xml:space="preserve">agree </w:t>
      </w:r>
      <w:r w:rsidRPr="00B94141">
        <w:t>to forward Document</w:t>
      </w:r>
      <w:r w:rsidR="00004B87" w:rsidRPr="00B94141">
        <w:t>s</w:t>
      </w:r>
      <w:r w:rsidR="0097167A" w:rsidRPr="00B94141">
        <w:t> </w:t>
      </w:r>
      <w:r w:rsidRPr="00B94141">
        <w:t xml:space="preserve">C25/79 </w:t>
      </w:r>
      <w:r w:rsidR="00004B87" w:rsidRPr="00B94141">
        <w:t>and</w:t>
      </w:r>
      <w:r w:rsidR="0097167A" w:rsidRPr="00B94141">
        <w:t> </w:t>
      </w:r>
      <w:r w:rsidR="00004B87" w:rsidRPr="00B94141">
        <w:t xml:space="preserve">C25/91 </w:t>
      </w:r>
      <w:r w:rsidRPr="00B94141">
        <w:t>to CWG</w:t>
      </w:r>
      <w:r w:rsidRPr="00B94141">
        <w:noBreakHyphen/>
        <w:t>SFP for consideration</w:t>
      </w:r>
      <w:r w:rsidR="00004B87" w:rsidRPr="00B94141">
        <w:t xml:space="preserve"> and invite ISCG to provide input to CWG-SFP</w:t>
      </w:r>
      <w:r w:rsidRPr="00B94141">
        <w:t xml:space="preserve">. </w:t>
      </w:r>
    </w:p>
    <w:p w14:paraId="0342C57D" w14:textId="0284F5BF" w:rsidR="00226032" w:rsidRPr="00B94141" w:rsidRDefault="00226032" w:rsidP="00A73841">
      <w:pPr>
        <w:jc w:val="both"/>
      </w:pPr>
      <w:r w:rsidRPr="00B94141">
        <w:t>2.9</w:t>
      </w:r>
      <w:r w:rsidRPr="00B94141">
        <w:tab/>
        <w:t xml:space="preserve">It was so </w:t>
      </w:r>
      <w:r w:rsidRPr="00B94141">
        <w:rPr>
          <w:b/>
          <w:bCs/>
        </w:rPr>
        <w:t>agreed</w:t>
      </w:r>
      <w:r w:rsidRPr="00B94141">
        <w:t>.</w:t>
      </w:r>
    </w:p>
    <w:p w14:paraId="3487DA9E" w14:textId="497FEAD4" w:rsidR="004E5849" w:rsidRPr="00B94141" w:rsidRDefault="004E5849" w:rsidP="00AD127C">
      <w:pPr>
        <w:pStyle w:val="Heading1"/>
      </w:pPr>
      <w:r w:rsidRPr="00B94141">
        <w:t>3</w:t>
      </w:r>
      <w:r w:rsidRPr="00B94141">
        <w:tab/>
        <w:t xml:space="preserve">Preparation for the 2026 </w:t>
      </w:r>
      <w:r w:rsidR="00966555" w:rsidRPr="00B94141">
        <w:t>w</w:t>
      </w:r>
      <w:r w:rsidRPr="00B94141">
        <w:t xml:space="preserve">orld </w:t>
      </w:r>
      <w:r w:rsidR="00966555" w:rsidRPr="00B94141">
        <w:t>t</w:t>
      </w:r>
      <w:r w:rsidRPr="00B94141">
        <w:t xml:space="preserve">elecommunication/ICT </w:t>
      </w:r>
      <w:r w:rsidR="00966555" w:rsidRPr="00B94141">
        <w:t>p</w:t>
      </w:r>
      <w:r w:rsidRPr="00B94141">
        <w:t xml:space="preserve">olicy </w:t>
      </w:r>
      <w:r w:rsidR="00966555" w:rsidRPr="00B94141">
        <w:t>f</w:t>
      </w:r>
      <w:r w:rsidRPr="00B94141">
        <w:t xml:space="preserve">orum (Document </w:t>
      </w:r>
      <w:hyperlink r:id="rId23" w:history="1">
        <w:r w:rsidR="00660445" w:rsidRPr="00711DF0">
          <w:rPr>
            <w:rStyle w:val="Hyperlink"/>
          </w:rPr>
          <w:t>C25/5(Rev.1)</w:t>
        </w:r>
        <w:r w:rsidR="00226032" w:rsidRPr="00711DF0">
          <w:rPr>
            <w:rStyle w:val="Hyperlink"/>
          </w:rPr>
          <w:t xml:space="preserve"> and </w:t>
        </w:r>
        <w:r w:rsidRPr="00711DF0">
          <w:rPr>
            <w:rStyle w:val="Hyperlink"/>
          </w:rPr>
          <w:t>Add</w:t>
        </w:r>
        <w:r w:rsidR="00226032" w:rsidRPr="00711DF0">
          <w:rPr>
            <w:rStyle w:val="Hyperlink"/>
          </w:rPr>
          <w:t xml:space="preserve">endum </w:t>
        </w:r>
        <w:r w:rsidRPr="00711DF0">
          <w:rPr>
            <w:rStyle w:val="Hyperlink"/>
          </w:rPr>
          <w:t>1</w:t>
        </w:r>
      </w:hyperlink>
      <w:r w:rsidRPr="00B94141">
        <w:t>)</w:t>
      </w:r>
    </w:p>
    <w:p w14:paraId="5ADAA6E1" w14:textId="1C292F32" w:rsidR="004E5849" w:rsidRPr="00B94141" w:rsidRDefault="004E5849" w:rsidP="00A73841">
      <w:pPr>
        <w:jc w:val="both"/>
      </w:pPr>
      <w:r w:rsidRPr="00B94141">
        <w:t>3.1</w:t>
      </w:r>
      <w:r w:rsidRPr="00B94141">
        <w:tab/>
        <w:t xml:space="preserve">A representative of the General Secretariat </w:t>
      </w:r>
      <w:r w:rsidR="00966555" w:rsidRPr="00B94141">
        <w:t xml:space="preserve">introduced </w:t>
      </w:r>
      <w:r w:rsidRPr="00B94141">
        <w:t>Document</w:t>
      </w:r>
      <w:r w:rsidR="0097167A" w:rsidRPr="00B94141">
        <w:t> </w:t>
      </w:r>
      <w:r w:rsidRPr="00B94141">
        <w:t>C25/5(Rev.1)</w:t>
      </w:r>
      <w:r w:rsidR="00226032" w:rsidRPr="00B94141">
        <w:t xml:space="preserve"> and </w:t>
      </w:r>
      <w:r w:rsidRPr="00B94141">
        <w:t>Add</w:t>
      </w:r>
      <w:r w:rsidR="00226032" w:rsidRPr="00B94141">
        <w:t xml:space="preserve">endum </w:t>
      </w:r>
      <w:r w:rsidRPr="00B94141">
        <w:t>1</w:t>
      </w:r>
      <w:r w:rsidR="00A03942" w:rsidRPr="00B94141">
        <w:t>, outlining</w:t>
      </w:r>
      <w:r w:rsidRPr="00B94141">
        <w:t xml:space="preserve"> </w:t>
      </w:r>
      <w:r w:rsidR="00655AF6" w:rsidRPr="00B94141">
        <w:t xml:space="preserve">progress </w:t>
      </w:r>
      <w:r w:rsidR="00AB1A38" w:rsidRPr="00B94141">
        <w:t xml:space="preserve">and </w:t>
      </w:r>
      <w:r w:rsidR="00A11232" w:rsidRPr="00B94141">
        <w:t>a</w:t>
      </w:r>
      <w:r w:rsidR="00AB1A38" w:rsidRPr="00B94141">
        <w:t xml:space="preserve"> </w:t>
      </w:r>
      <w:r w:rsidR="00A11232" w:rsidRPr="00B94141">
        <w:t>revised</w:t>
      </w:r>
      <w:r w:rsidR="00AB1A38" w:rsidRPr="00B94141">
        <w:t xml:space="preserve"> timeline for</w:t>
      </w:r>
      <w:r w:rsidR="00655AF6" w:rsidRPr="00B94141">
        <w:t xml:space="preserve"> </w:t>
      </w:r>
      <w:r w:rsidRPr="00B94141">
        <w:t xml:space="preserve">the preparatory process for the 2026 </w:t>
      </w:r>
      <w:r w:rsidR="00966555" w:rsidRPr="00B94141">
        <w:t>w</w:t>
      </w:r>
      <w:r w:rsidRPr="00B94141">
        <w:t xml:space="preserve">orld </w:t>
      </w:r>
      <w:r w:rsidR="00966555" w:rsidRPr="00B94141">
        <w:t>t</w:t>
      </w:r>
      <w:r w:rsidRPr="00B94141">
        <w:t>elecommunication/</w:t>
      </w:r>
      <w:r w:rsidR="00226032" w:rsidRPr="00B94141">
        <w:t>information and communication technology (</w:t>
      </w:r>
      <w:r w:rsidRPr="00B94141">
        <w:t>ICT</w:t>
      </w:r>
      <w:r w:rsidR="00226032" w:rsidRPr="00B94141">
        <w:t>)</w:t>
      </w:r>
      <w:r w:rsidRPr="00B94141">
        <w:t xml:space="preserve"> </w:t>
      </w:r>
      <w:r w:rsidR="00966555" w:rsidRPr="00B94141">
        <w:t>p</w:t>
      </w:r>
      <w:r w:rsidRPr="00B94141">
        <w:t xml:space="preserve">olicy </w:t>
      </w:r>
      <w:r w:rsidR="00966555" w:rsidRPr="00B94141">
        <w:t>f</w:t>
      </w:r>
      <w:r w:rsidRPr="00B94141">
        <w:t>orum (WTPF</w:t>
      </w:r>
      <w:r w:rsidRPr="00B94141">
        <w:noBreakHyphen/>
        <w:t>26)</w:t>
      </w:r>
      <w:r w:rsidR="00A11232" w:rsidRPr="00B94141">
        <w:t xml:space="preserve"> and containing in Annex a draft decision on the convening of WTPF-26</w:t>
      </w:r>
      <w:r w:rsidRPr="00B94141">
        <w:t xml:space="preserve">. </w:t>
      </w:r>
      <w:r w:rsidR="00A03942" w:rsidRPr="00B94141">
        <w:t>Addendum</w:t>
      </w:r>
      <w:r w:rsidR="0097167A" w:rsidRPr="00B94141">
        <w:t> </w:t>
      </w:r>
      <w:r w:rsidR="00A03942" w:rsidRPr="00B94141">
        <w:t xml:space="preserve">1 to the report contained </w:t>
      </w:r>
      <w:r w:rsidRPr="00B94141">
        <w:t>a</w:t>
      </w:r>
      <w:r w:rsidR="009215DC" w:rsidRPr="00B94141">
        <w:t>n invitation</w:t>
      </w:r>
      <w:r w:rsidRPr="00B94141">
        <w:t xml:space="preserve"> from the Bahamas</w:t>
      </w:r>
      <w:r w:rsidR="00A03942" w:rsidRPr="00B94141">
        <w:t xml:space="preserve"> to host WTPF-26</w:t>
      </w:r>
      <w:r w:rsidRPr="00B94141">
        <w:t>.</w:t>
      </w:r>
    </w:p>
    <w:p w14:paraId="1140EA85" w14:textId="1AEB02B4" w:rsidR="004E5849" w:rsidRPr="00B94141" w:rsidRDefault="004E5849" w:rsidP="00A73841">
      <w:pPr>
        <w:jc w:val="both"/>
      </w:pPr>
      <w:r w:rsidRPr="00B94141">
        <w:t>3.2</w:t>
      </w:r>
      <w:r w:rsidRPr="00B94141">
        <w:tab/>
        <w:t>The Chair of the Informal Expert Group (IEG) said that, since March</w:t>
      </w:r>
      <w:r w:rsidR="0097167A" w:rsidRPr="00B94141">
        <w:t> </w:t>
      </w:r>
      <w:r w:rsidRPr="00B94141">
        <w:t xml:space="preserve">2025, virtual working groups had </w:t>
      </w:r>
      <w:r w:rsidR="00827485" w:rsidRPr="00B94141">
        <w:t xml:space="preserve">met </w:t>
      </w:r>
      <w:r w:rsidR="00AB1A38" w:rsidRPr="00B94141">
        <w:t>on</w:t>
      </w:r>
      <w:r w:rsidRPr="00B94141">
        <w:t xml:space="preserve"> </w:t>
      </w:r>
      <w:r w:rsidR="00827485" w:rsidRPr="00B94141">
        <w:t>WTPF</w:t>
      </w:r>
      <w:r w:rsidR="0097167A" w:rsidRPr="00B94141">
        <w:noBreakHyphen/>
      </w:r>
      <w:r w:rsidR="00827485" w:rsidRPr="00B94141">
        <w:t>26</w:t>
      </w:r>
      <w:r w:rsidR="00E01D66" w:rsidRPr="00B94141">
        <w:t>'</w:t>
      </w:r>
      <w:r w:rsidR="00827485" w:rsidRPr="00B94141">
        <w:t xml:space="preserve">s </w:t>
      </w:r>
      <w:r w:rsidRPr="00B94141">
        <w:t>five thematic areas</w:t>
      </w:r>
      <w:r w:rsidR="00AB1A38" w:rsidRPr="00B94141">
        <w:t>, working towards consensus-based draft baseline texts for WTPF</w:t>
      </w:r>
      <w:r w:rsidR="0097167A" w:rsidRPr="00B94141">
        <w:noBreakHyphen/>
      </w:r>
      <w:r w:rsidR="00AB1A38" w:rsidRPr="00B94141">
        <w:t>26 Opinions,</w:t>
      </w:r>
      <w:r w:rsidR="0018777C" w:rsidRPr="00B94141">
        <w:t xml:space="preserve"> and</w:t>
      </w:r>
      <w:r w:rsidRPr="00B94141">
        <w:t xml:space="preserve"> </w:t>
      </w:r>
      <w:r w:rsidR="0018777C" w:rsidRPr="00B94141">
        <w:t>a</w:t>
      </w:r>
      <w:r w:rsidRPr="00B94141">
        <w:t xml:space="preserve"> third draft of the</w:t>
      </w:r>
      <w:r w:rsidR="00827485" w:rsidRPr="00B94141">
        <w:t xml:space="preserve"> Secretary-General</w:t>
      </w:r>
      <w:r w:rsidR="00E01D66" w:rsidRPr="00B94141">
        <w:t>'</w:t>
      </w:r>
      <w:r w:rsidR="00827485" w:rsidRPr="00B94141">
        <w:t>s</w:t>
      </w:r>
      <w:r w:rsidRPr="00B94141">
        <w:t xml:space="preserve"> report</w:t>
      </w:r>
      <w:r w:rsidR="00655AF6" w:rsidRPr="00B94141">
        <w:t xml:space="preserve"> to WTPF</w:t>
      </w:r>
      <w:r w:rsidR="0097167A" w:rsidRPr="00B94141">
        <w:noBreakHyphen/>
      </w:r>
      <w:r w:rsidR="00655AF6" w:rsidRPr="00B94141">
        <w:t>26</w:t>
      </w:r>
      <w:r w:rsidRPr="00B94141">
        <w:t xml:space="preserve"> had been </w:t>
      </w:r>
      <w:r w:rsidR="0018777C" w:rsidRPr="00B94141">
        <w:t>produced</w:t>
      </w:r>
      <w:r w:rsidRPr="00B94141">
        <w:t xml:space="preserve">. </w:t>
      </w:r>
      <w:r w:rsidR="00A11232" w:rsidRPr="00B94141">
        <w:t>Comments on the baseline texts were invited by 7</w:t>
      </w:r>
      <w:r w:rsidR="0097167A" w:rsidRPr="00B94141">
        <w:t> </w:t>
      </w:r>
      <w:r w:rsidR="00A11232" w:rsidRPr="00B94141">
        <w:t>August</w:t>
      </w:r>
      <w:r w:rsidR="0097167A" w:rsidRPr="00B94141">
        <w:t> </w:t>
      </w:r>
      <w:r w:rsidR="00A11232" w:rsidRPr="00B94141">
        <w:t>2025, for consideration at the next IEG meeting in September</w:t>
      </w:r>
      <w:r w:rsidR="0097167A" w:rsidRPr="00B94141">
        <w:t> </w:t>
      </w:r>
      <w:r w:rsidR="00A11232" w:rsidRPr="00B94141">
        <w:t>2025.</w:t>
      </w:r>
      <w:r w:rsidRPr="00B94141">
        <w:t xml:space="preserve"> </w:t>
      </w:r>
    </w:p>
    <w:p w14:paraId="0271AF8F" w14:textId="3E14B0CF" w:rsidR="004E5849" w:rsidRPr="00B94141" w:rsidRDefault="004E5849" w:rsidP="00A73841">
      <w:pPr>
        <w:jc w:val="both"/>
      </w:pPr>
      <w:r w:rsidRPr="00B94141">
        <w:t>3.3</w:t>
      </w:r>
      <w:r w:rsidRPr="00B94141">
        <w:tab/>
        <w:t xml:space="preserve">The councillor from the Bahamas said that he had the honour, on behalf of his </w:t>
      </w:r>
      <w:r w:rsidR="00D75B94">
        <w:t>g</w:t>
      </w:r>
      <w:r w:rsidRPr="00B94141">
        <w:t>overnment, to extend a formal invitation to host WTPF</w:t>
      </w:r>
      <w:r w:rsidR="0097167A" w:rsidRPr="00B94141">
        <w:noBreakHyphen/>
      </w:r>
      <w:r w:rsidRPr="00B94141">
        <w:t xml:space="preserve">26. As a small island developing </w:t>
      </w:r>
      <w:r w:rsidR="0097167A" w:rsidRPr="00B94141">
        <w:t>s</w:t>
      </w:r>
      <w:r w:rsidRPr="00B94141">
        <w:t>tate, the Bahamas brought a unique perspective to the themes of WTPF</w:t>
      </w:r>
      <w:r w:rsidR="0097167A" w:rsidRPr="00B94141">
        <w:noBreakHyphen/>
      </w:r>
      <w:r w:rsidRPr="00B94141">
        <w:t xml:space="preserve">26, </w:t>
      </w:r>
      <w:r w:rsidR="00AB1A38" w:rsidRPr="00B94141">
        <w:t xml:space="preserve">in particular </w:t>
      </w:r>
      <w:r w:rsidRPr="00B94141">
        <w:t xml:space="preserve">resilient digital infrastructure, space connectivity and inclusive digital transformation. The Bahamas </w:t>
      </w:r>
      <w:r w:rsidRPr="00B94141">
        <w:lastRenderedPageBreak/>
        <w:t xml:space="preserve">had taken deliberate policy steps in support of universal access, satellite readiness, cybersecurity and green </w:t>
      </w:r>
      <w:r w:rsidR="00A11B1A" w:rsidRPr="00A11B1A">
        <w:t xml:space="preserve">digital </w:t>
      </w:r>
      <w:r w:rsidRPr="00B94141">
        <w:t>transformation</w:t>
      </w:r>
      <w:r w:rsidR="00AB1A38" w:rsidRPr="00B94141">
        <w:t>,</w:t>
      </w:r>
      <w:r w:rsidRPr="00B94141">
        <w:t xml:space="preserve"> which would enrich and inspire dialogue at the forum. The Bahamas had participated in the preparatory process through its chairing of the IEG and would deliver a successful and inclusive </w:t>
      </w:r>
      <w:r w:rsidR="00AB1A38" w:rsidRPr="00B94141">
        <w:t>WTPF</w:t>
      </w:r>
      <w:r w:rsidR="0097167A" w:rsidRPr="00B94141">
        <w:noBreakHyphen/>
      </w:r>
      <w:r w:rsidR="00AB1A38" w:rsidRPr="00B94141">
        <w:t>26</w:t>
      </w:r>
      <w:r w:rsidRPr="00B94141">
        <w:t xml:space="preserve">. </w:t>
      </w:r>
    </w:p>
    <w:p w14:paraId="5E68C01D" w14:textId="776ADE23" w:rsidR="004E5849" w:rsidRPr="00B94141" w:rsidRDefault="004E5849" w:rsidP="00A73841">
      <w:pPr>
        <w:jc w:val="both"/>
      </w:pPr>
      <w:r w:rsidRPr="00B94141">
        <w:t>3.4</w:t>
      </w:r>
      <w:r w:rsidRPr="00B94141">
        <w:tab/>
        <w:t xml:space="preserve">Councillors praised the excellent guidance provided by the Chair of IEG and the work accomplished during the preparatory process, including identifying the theme and five topics </w:t>
      </w:r>
      <w:r w:rsidR="00AB1A38" w:rsidRPr="00B94141">
        <w:t>of</w:t>
      </w:r>
      <w:r w:rsidRPr="00B94141">
        <w:t xml:space="preserve"> WTPF</w:t>
      </w:r>
      <w:r w:rsidR="0097167A" w:rsidRPr="00B94141">
        <w:noBreakHyphen/>
      </w:r>
      <w:r w:rsidRPr="00B94141">
        <w:t>26. They welcomed the invitation by the Bahamas to host WTPF</w:t>
      </w:r>
      <w:r w:rsidR="0097167A" w:rsidRPr="00B94141">
        <w:noBreakHyphen/>
      </w:r>
      <w:r w:rsidRPr="00B94141">
        <w:t xml:space="preserve">26. </w:t>
      </w:r>
    </w:p>
    <w:p w14:paraId="739EF718" w14:textId="708DB489" w:rsidR="004E5849" w:rsidRPr="00B94141" w:rsidRDefault="004E5849" w:rsidP="00A73841">
      <w:pPr>
        <w:jc w:val="both"/>
      </w:pPr>
      <w:r w:rsidRPr="00B94141">
        <w:t>3.5</w:t>
      </w:r>
      <w:r w:rsidRPr="00B94141">
        <w:tab/>
        <w:t xml:space="preserve">The Secretary-General </w:t>
      </w:r>
      <w:r w:rsidR="00AB1A38" w:rsidRPr="00B94141">
        <w:t xml:space="preserve">expressed </w:t>
      </w:r>
      <w:r w:rsidRPr="00B94141">
        <w:t xml:space="preserve">her gratitude to the Government of the Bahamas for its </w:t>
      </w:r>
      <w:r w:rsidR="00A03942" w:rsidRPr="00B94141">
        <w:t xml:space="preserve">offer </w:t>
      </w:r>
      <w:r w:rsidRPr="00B94141">
        <w:t xml:space="preserve">to host the event. </w:t>
      </w:r>
    </w:p>
    <w:p w14:paraId="347A4D67" w14:textId="2BD09FD2" w:rsidR="004E5849" w:rsidRPr="00B94141" w:rsidRDefault="004E5849" w:rsidP="00A73841">
      <w:pPr>
        <w:jc w:val="both"/>
      </w:pPr>
      <w:r w:rsidRPr="00B94141">
        <w:t>3.6</w:t>
      </w:r>
      <w:r w:rsidRPr="00B94141">
        <w:tab/>
        <w:t xml:space="preserve">The </w:t>
      </w:r>
      <w:r w:rsidR="00283617" w:rsidRPr="00B94141">
        <w:t xml:space="preserve">Chair proposed that the </w:t>
      </w:r>
      <w:r w:rsidRPr="00B94141">
        <w:t>Council note the preparatory process for WTPF</w:t>
      </w:r>
      <w:r w:rsidR="00CC4859" w:rsidRPr="00B94141">
        <w:noBreakHyphen/>
      </w:r>
      <w:r w:rsidRPr="00B94141">
        <w:t>26 and approve the draft decision contained in Document</w:t>
      </w:r>
      <w:r w:rsidR="00CC4859" w:rsidRPr="00B94141">
        <w:t> </w:t>
      </w:r>
      <w:r w:rsidRPr="00B94141">
        <w:t>C25/5(Rev.1).</w:t>
      </w:r>
    </w:p>
    <w:p w14:paraId="7D6AD655" w14:textId="61E5072F" w:rsidR="002B671F" w:rsidRPr="00B94141" w:rsidRDefault="002B671F" w:rsidP="00A73841">
      <w:pPr>
        <w:jc w:val="both"/>
      </w:pPr>
      <w:r w:rsidRPr="00B94141">
        <w:t>3.7</w:t>
      </w:r>
      <w:r w:rsidRPr="00B94141">
        <w:tab/>
        <w:t xml:space="preserve">It was so </w:t>
      </w:r>
      <w:r w:rsidRPr="00B94141">
        <w:rPr>
          <w:b/>
          <w:bCs/>
        </w:rPr>
        <w:t>agreed</w:t>
      </w:r>
      <w:r w:rsidRPr="00B94141">
        <w:t>.</w:t>
      </w:r>
    </w:p>
    <w:p w14:paraId="18FBB0B0" w14:textId="23642B18" w:rsidR="004E5849" w:rsidRPr="00B94141" w:rsidRDefault="004E5849" w:rsidP="00AD127C">
      <w:pPr>
        <w:pStyle w:val="Heading1"/>
      </w:pPr>
      <w:r w:rsidRPr="00B94141">
        <w:t>4</w:t>
      </w:r>
      <w:r w:rsidRPr="00B94141">
        <w:tab/>
        <w:t>WSIS+20 Review – ITU</w:t>
      </w:r>
      <w:r w:rsidR="00E01D66" w:rsidRPr="00B94141">
        <w:t>'</w:t>
      </w:r>
      <w:r w:rsidRPr="00B94141">
        <w:t xml:space="preserve">s call for inputs: Summary of submissions received (Document </w:t>
      </w:r>
      <w:hyperlink r:id="rId24" w:history="1">
        <w:r w:rsidRPr="00B94141">
          <w:rPr>
            <w:rStyle w:val="Hyperlink"/>
          </w:rPr>
          <w:t>C25/53</w:t>
        </w:r>
      </w:hyperlink>
      <w:r w:rsidRPr="00B94141">
        <w:t>)</w:t>
      </w:r>
    </w:p>
    <w:p w14:paraId="0AB5FD93" w14:textId="44D37F11" w:rsidR="004E5849" w:rsidRPr="00BB3B78" w:rsidRDefault="00660445" w:rsidP="00A73841">
      <w:pPr>
        <w:jc w:val="both"/>
        <w:rPr>
          <w:spacing w:val="-2"/>
        </w:rPr>
      </w:pPr>
      <w:r w:rsidRPr="00BB3B78">
        <w:rPr>
          <w:spacing w:val="-2"/>
        </w:rPr>
        <w:t>4.1</w:t>
      </w:r>
      <w:r w:rsidRPr="00BB3B78">
        <w:rPr>
          <w:spacing w:val="-2"/>
        </w:rPr>
        <w:tab/>
      </w:r>
      <w:r w:rsidR="004E5849" w:rsidRPr="00BB3B78">
        <w:rPr>
          <w:spacing w:val="-2"/>
        </w:rPr>
        <w:t>A representative of the General Secretariat introduced Document</w:t>
      </w:r>
      <w:r w:rsidR="00CC4859" w:rsidRPr="00BB3B78">
        <w:rPr>
          <w:spacing w:val="-2"/>
        </w:rPr>
        <w:t> </w:t>
      </w:r>
      <w:r w:rsidR="004E5849" w:rsidRPr="00BB3B78">
        <w:rPr>
          <w:spacing w:val="-2"/>
        </w:rPr>
        <w:t>C25/53</w:t>
      </w:r>
      <w:r w:rsidR="000A7E2C" w:rsidRPr="00BB3B78">
        <w:rPr>
          <w:spacing w:val="-2"/>
        </w:rPr>
        <w:t>,</w:t>
      </w:r>
      <w:r w:rsidR="004E5849" w:rsidRPr="00BB3B78">
        <w:rPr>
          <w:spacing w:val="-2"/>
        </w:rPr>
        <w:t xml:space="preserve"> which presented a summary of the submissions received in response to ITU</w:t>
      </w:r>
      <w:r w:rsidR="00E01D66" w:rsidRPr="00BB3B78">
        <w:rPr>
          <w:spacing w:val="-2"/>
        </w:rPr>
        <w:t>'</w:t>
      </w:r>
      <w:r w:rsidR="004E5849" w:rsidRPr="00BB3B78">
        <w:rPr>
          <w:spacing w:val="-2"/>
        </w:rPr>
        <w:t>s call to contribute views on the work of ITU in the W</w:t>
      </w:r>
      <w:r w:rsidR="005F6EA2" w:rsidRPr="00BB3B78">
        <w:rPr>
          <w:spacing w:val="-2"/>
        </w:rPr>
        <w:t xml:space="preserve">orld </w:t>
      </w:r>
      <w:r w:rsidR="004E5849" w:rsidRPr="00BB3B78">
        <w:rPr>
          <w:spacing w:val="-2"/>
        </w:rPr>
        <w:t>S</w:t>
      </w:r>
      <w:r w:rsidR="005F6EA2" w:rsidRPr="00BB3B78">
        <w:rPr>
          <w:spacing w:val="-2"/>
        </w:rPr>
        <w:t xml:space="preserve">ummit on the </w:t>
      </w:r>
      <w:r w:rsidR="004E5849" w:rsidRPr="00BB3B78">
        <w:rPr>
          <w:spacing w:val="-2"/>
        </w:rPr>
        <w:t>I</w:t>
      </w:r>
      <w:r w:rsidR="005F6EA2" w:rsidRPr="00BB3B78">
        <w:rPr>
          <w:spacing w:val="-2"/>
        </w:rPr>
        <w:t xml:space="preserve">nformation </w:t>
      </w:r>
      <w:r w:rsidR="004E5849" w:rsidRPr="00BB3B78">
        <w:rPr>
          <w:spacing w:val="-2"/>
        </w:rPr>
        <w:t>S</w:t>
      </w:r>
      <w:r w:rsidR="005F6EA2" w:rsidRPr="00BB3B78">
        <w:rPr>
          <w:spacing w:val="-2"/>
        </w:rPr>
        <w:t xml:space="preserve">ociety (WSIS): </w:t>
      </w:r>
      <w:r w:rsidR="004E5849" w:rsidRPr="00BB3B78">
        <w:rPr>
          <w:spacing w:val="-2"/>
        </w:rPr>
        <w:t>20</w:t>
      </w:r>
      <w:r w:rsidR="005F6EA2" w:rsidRPr="00BB3B78">
        <w:rPr>
          <w:spacing w:val="-2"/>
        </w:rPr>
        <w:t>-year</w:t>
      </w:r>
      <w:r w:rsidR="004E5849" w:rsidRPr="00BB3B78">
        <w:rPr>
          <w:spacing w:val="-2"/>
        </w:rPr>
        <w:t xml:space="preserve"> review</w:t>
      </w:r>
      <w:r w:rsidR="005F6EA2" w:rsidRPr="00BB3B78">
        <w:rPr>
          <w:spacing w:val="-2"/>
        </w:rPr>
        <w:t xml:space="preserve"> (WSIS+20)</w:t>
      </w:r>
      <w:r w:rsidR="004E5849" w:rsidRPr="00BB3B78">
        <w:rPr>
          <w:spacing w:val="-2"/>
        </w:rPr>
        <w:t>. The responses highlighted that the WSIS process had significantly advanced over the 20 years, reduced the digital divide and promoted inclusive digital transformation. ITU had been</w:t>
      </w:r>
      <w:r w:rsidR="00301934" w:rsidRPr="00BB3B78">
        <w:rPr>
          <w:spacing w:val="-2"/>
        </w:rPr>
        <w:t xml:space="preserve"> considered</w:t>
      </w:r>
      <w:r w:rsidR="004E5849" w:rsidRPr="00BB3B78">
        <w:rPr>
          <w:spacing w:val="-2"/>
        </w:rPr>
        <w:t xml:space="preserve"> instrumental in the WSIS process</w:t>
      </w:r>
      <w:r w:rsidR="004529FD" w:rsidRPr="00BB3B78">
        <w:rPr>
          <w:spacing w:val="-2"/>
        </w:rPr>
        <w:t>, across myriad</w:t>
      </w:r>
      <w:r w:rsidR="00301934" w:rsidRPr="00BB3B78">
        <w:rPr>
          <w:spacing w:val="-2"/>
        </w:rPr>
        <w:t xml:space="preserve"> functions</w:t>
      </w:r>
      <w:r w:rsidR="004E5849" w:rsidRPr="00BB3B78">
        <w:rPr>
          <w:spacing w:val="-2"/>
        </w:rPr>
        <w:t>. Document</w:t>
      </w:r>
      <w:r w:rsidR="00CC4859" w:rsidRPr="00BB3B78">
        <w:rPr>
          <w:spacing w:val="-2"/>
        </w:rPr>
        <w:t> </w:t>
      </w:r>
      <w:r w:rsidR="004E5849" w:rsidRPr="00BB3B78">
        <w:rPr>
          <w:spacing w:val="-2"/>
        </w:rPr>
        <w:t xml:space="preserve">C25/53 would be submitted to the </w:t>
      </w:r>
      <w:r w:rsidR="004529FD" w:rsidRPr="00BB3B78">
        <w:rPr>
          <w:spacing w:val="-2"/>
        </w:rPr>
        <w:t>United Nations General Assembly</w:t>
      </w:r>
      <w:r w:rsidR="00A77544" w:rsidRPr="00BB3B78">
        <w:rPr>
          <w:spacing w:val="-2"/>
        </w:rPr>
        <w:t xml:space="preserve"> (UNGA)</w:t>
      </w:r>
      <w:r w:rsidR="004529FD" w:rsidRPr="00BB3B78">
        <w:rPr>
          <w:spacing w:val="-2"/>
        </w:rPr>
        <w:t xml:space="preserve"> </w:t>
      </w:r>
      <w:r w:rsidR="004E5849" w:rsidRPr="00BB3B78">
        <w:rPr>
          <w:spacing w:val="-2"/>
        </w:rPr>
        <w:t xml:space="preserve">WSIS+20 review. </w:t>
      </w:r>
    </w:p>
    <w:p w14:paraId="02CD9545" w14:textId="1883C19B" w:rsidR="004E5849" w:rsidRPr="00B94141" w:rsidRDefault="00660445" w:rsidP="00A73841">
      <w:pPr>
        <w:jc w:val="both"/>
      </w:pPr>
      <w:r w:rsidRPr="00B94141">
        <w:t>4.2</w:t>
      </w:r>
      <w:r w:rsidRPr="00B94141">
        <w:tab/>
      </w:r>
      <w:r w:rsidR="004E5849" w:rsidRPr="00B94141">
        <w:t xml:space="preserve">The Chair of the Council Working Group on WSIS </w:t>
      </w:r>
      <w:r w:rsidR="005F6EA2" w:rsidRPr="00B94141">
        <w:t xml:space="preserve">and the </w:t>
      </w:r>
      <w:r w:rsidR="004E5849" w:rsidRPr="00B94141">
        <w:t>S</w:t>
      </w:r>
      <w:r w:rsidR="008D5EAE" w:rsidRPr="00B94141">
        <w:t xml:space="preserve">ustainable </w:t>
      </w:r>
      <w:r w:rsidR="004E5849" w:rsidRPr="00B94141">
        <w:t>D</w:t>
      </w:r>
      <w:r w:rsidR="008D5EAE" w:rsidRPr="00B94141">
        <w:t xml:space="preserve">evelopment </w:t>
      </w:r>
      <w:r w:rsidR="004E5849" w:rsidRPr="00B94141">
        <w:t>G</w:t>
      </w:r>
      <w:r w:rsidR="008D5EAE" w:rsidRPr="00B94141">
        <w:t>oal</w:t>
      </w:r>
      <w:r w:rsidR="004E5849" w:rsidRPr="00B94141">
        <w:t xml:space="preserve">s (CWG-WSIS&amp;SDG) </w:t>
      </w:r>
      <w:r w:rsidR="004529FD" w:rsidRPr="00B94141">
        <w:t xml:space="preserve">said that the summary </w:t>
      </w:r>
      <w:r w:rsidR="004E5849" w:rsidRPr="00B94141">
        <w:t>thoughtfully reflected the perspectives of ITU</w:t>
      </w:r>
      <w:r w:rsidR="00E01D66" w:rsidRPr="00B94141">
        <w:t>'</w:t>
      </w:r>
      <w:r w:rsidR="004E5849" w:rsidRPr="00B94141">
        <w:t xml:space="preserve">s membership and stakeholders, highlighting the achievements and challenges </w:t>
      </w:r>
      <w:r w:rsidR="004529FD" w:rsidRPr="00B94141">
        <w:t>thus far and</w:t>
      </w:r>
      <w:r w:rsidR="004E5849" w:rsidRPr="00B94141">
        <w:t xml:space="preserve"> </w:t>
      </w:r>
      <w:r w:rsidR="00A77544" w:rsidRPr="00B94141">
        <w:t xml:space="preserve">identifying </w:t>
      </w:r>
      <w:r w:rsidR="004E5849" w:rsidRPr="00B94141">
        <w:t xml:space="preserve">potential pathways for </w:t>
      </w:r>
      <w:r w:rsidR="004529FD" w:rsidRPr="00B94141">
        <w:t>WSIS</w:t>
      </w:r>
      <w:r w:rsidR="00A77544" w:rsidRPr="00B94141">
        <w:t>,</w:t>
      </w:r>
      <w:r w:rsidR="004E5849" w:rsidRPr="00B94141">
        <w:t xml:space="preserve"> </w:t>
      </w:r>
      <w:r w:rsidR="00A77544" w:rsidRPr="00B94141">
        <w:t>and ITU</w:t>
      </w:r>
      <w:r w:rsidR="00E01D66" w:rsidRPr="00B94141">
        <w:t>'</w:t>
      </w:r>
      <w:r w:rsidR="00A77544" w:rsidRPr="00B94141">
        <w:t xml:space="preserve">s role in it, </w:t>
      </w:r>
      <w:r w:rsidR="004E5849" w:rsidRPr="00B94141">
        <w:t xml:space="preserve">beyond 2025. </w:t>
      </w:r>
    </w:p>
    <w:p w14:paraId="0583ACDC" w14:textId="53357195" w:rsidR="004E5849" w:rsidRPr="00B94141" w:rsidRDefault="00660445" w:rsidP="00A73841">
      <w:pPr>
        <w:jc w:val="both"/>
        <w:rPr>
          <w:rFonts w:cs="Calibri"/>
          <w:szCs w:val="24"/>
        </w:rPr>
      </w:pPr>
      <w:r w:rsidRPr="00B94141">
        <w:t>4.3</w:t>
      </w:r>
      <w:r w:rsidRPr="00B94141">
        <w:tab/>
      </w:r>
      <w:r w:rsidR="004E5849" w:rsidRPr="00B94141">
        <w:t xml:space="preserve">Councillors, recognizing WSIS as a key platform for supporting connectivity and digital inclusion, </w:t>
      </w:r>
      <w:r w:rsidR="00A77544" w:rsidRPr="00B94141">
        <w:t xml:space="preserve">in </w:t>
      </w:r>
      <w:r w:rsidR="004E5849" w:rsidRPr="00B94141">
        <w:t>particular in developing countries</w:t>
      </w:r>
      <w:r w:rsidR="00A77544" w:rsidRPr="00B94141">
        <w:t>, and ITU</w:t>
      </w:r>
      <w:r w:rsidR="00E01D66" w:rsidRPr="00B94141">
        <w:t>'</w:t>
      </w:r>
      <w:r w:rsidR="00A77544" w:rsidRPr="00B94141">
        <w:t>s important, multifaceted role in the WSIS process, expressed strong support for the submission of the summary to the UNGA WSIS+20 review</w:t>
      </w:r>
      <w:r w:rsidR="004E5849" w:rsidRPr="00B94141">
        <w:t>.</w:t>
      </w:r>
      <w:r w:rsidR="00A77544" w:rsidRPr="00B94141">
        <w:t xml:space="preserve"> Several councillors stressed, however, the need to reflect all views in the report, which, given the number of inputs, was difficult to achieve in such a short summary; thus, it was suggested</w:t>
      </w:r>
      <w:r w:rsidR="005F6EA2" w:rsidRPr="00B94141">
        <w:t xml:space="preserve"> to</w:t>
      </w:r>
      <w:r w:rsidR="00A77544" w:rsidRPr="00B94141">
        <w:t xml:space="preserve"> append thereto all individual submissions.</w:t>
      </w:r>
    </w:p>
    <w:p w14:paraId="278B3676" w14:textId="7D497E94" w:rsidR="004E5849" w:rsidRPr="00B94141" w:rsidRDefault="00660445" w:rsidP="00A73841">
      <w:pPr>
        <w:jc w:val="both"/>
      </w:pPr>
      <w:r w:rsidRPr="00B94141">
        <w:t>4.4</w:t>
      </w:r>
      <w:r w:rsidRPr="00B94141">
        <w:tab/>
      </w:r>
      <w:r w:rsidR="004E5849" w:rsidRPr="00B94141">
        <w:t xml:space="preserve">One councillor highlighted the need for WSIS to preserve its unique mandate and for it to reaffirm the principles and commitments articulated in the </w:t>
      </w:r>
      <w:r w:rsidR="005F6EA2" w:rsidRPr="00B94141">
        <w:t>Global Digital Compact (</w:t>
      </w:r>
      <w:r w:rsidR="004E5849" w:rsidRPr="00B94141">
        <w:t>GDC</w:t>
      </w:r>
      <w:r w:rsidR="005F6EA2" w:rsidRPr="00B94141">
        <w:t>)</w:t>
      </w:r>
      <w:r w:rsidR="005E1795" w:rsidRPr="00B94141">
        <w:t xml:space="preserve"> – both of those processes should be distinct but complementary</w:t>
      </w:r>
      <w:r w:rsidR="004E5849" w:rsidRPr="00B94141">
        <w:t xml:space="preserve">. </w:t>
      </w:r>
      <w:r w:rsidR="00A77544" w:rsidRPr="00B94141">
        <w:t>In his view</w:t>
      </w:r>
      <w:r w:rsidR="00CC4859" w:rsidRPr="00B94141">
        <w:t>,</w:t>
      </w:r>
      <w:r w:rsidR="00A77544" w:rsidRPr="00B94141">
        <w:t xml:space="preserve"> the WSIS action lines remained pertinent and t</w:t>
      </w:r>
      <w:r w:rsidR="004E5849" w:rsidRPr="00B94141">
        <w:t>he I</w:t>
      </w:r>
      <w:r w:rsidR="00A77544" w:rsidRPr="00B94141">
        <w:t xml:space="preserve">nternet </w:t>
      </w:r>
      <w:r w:rsidR="004E5849" w:rsidRPr="00B94141">
        <w:t>G</w:t>
      </w:r>
      <w:r w:rsidR="00A77544" w:rsidRPr="00B94141">
        <w:t xml:space="preserve">overnance </w:t>
      </w:r>
      <w:r w:rsidR="004E5849" w:rsidRPr="00B94141">
        <w:t>F</w:t>
      </w:r>
      <w:r w:rsidR="00A77544" w:rsidRPr="00B94141">
        <w:t>orum, having</w:t>
      </w:r>
      <w:r w:rsidR="004E5849" w:rsidRPr="00B94141">
        <w:t xml:space="preserve"> proven its value over 20 years</w:t>
      </w:r>
      <w:r w:rsidR="00A77544" w:rsidRPr="00B94141">
        <w:t>, should have a permanent mandate.</w:t>
      </w:r>
      <w:r w:rsidR="004E5849" w:rsidRPr="00B94141">
        <w:t xml:space="preserve"> </w:t>
      </w:r>
    </w:p>
    <w:p w14:paraId="22B50BBC" w14:textId="7E99C8AE" w:rsidR="004E5849" w:rsidRPr="00B94141" w:rsidRDefault="00660445" w:rsidP="00A73841">
      <w:pPr>
        <w:jc w:val="both"/>
      </w:pPr>
      <w:r w:rsidRPr="00B94141">
        <w:t>4.5</w:t>
      </w:r>
      <w:r w:rsidRPr="00B94141">
        <w:tab/>
      </w:r>
      <w:r w:rsidR="00301934" w:rsidRPr="00B94141">
        <w:t>S</w:t>
      </w:r>
      <w:r w:rsidR="004E5849" w:rsidRPr="00B94141">
        <w:t>everal councillors</w:t>
      </w:r>
      <w:r w:rsidR="00301934" w:rsidRPr="00B94141">
        <w:t xml:space="preserve"> stressed</w:t>
      </w:r>
      <w:r w:rsidR="004E5849" w:rsidRPr="00B94141">
        <w:t xml:space="preserve"> that ITU </w:t>
      </w:r>
      <w:r w:rsidR="00301934" w:rsidRPr="00B94141">
        <w:t xml:space="preserve">must </w:t>
      </w:r>
      <w:r w:rsidR="004E5849" w:rsidRPr="00B94141">
        <w:t>continue to have a key</w:t>
      </w:r>
      <w:r w:rsidR="00301934" w:rsidRPr="00B94141">
        <w:t>, recognized</w:t>
      </w:r>
      <w:r w:rsidR="004E5849" w:rsidRPr="00B94141">
        <w:t xml:space="preserve"> role in the</w:t>
      </w:r>
      <w:r w:rsidR="00301934" w:rsidRPr="00B94141">
        <w:t xml:space="preserve"> WSIS process</w:t>
      </w:r>
      <w:r w:rsidR="004E5849" w:rsidRPr="00B94141">
        <w:t xml:space="preserve"> in cooperation with </w:t>
      </w:r>
      <w:r w:rsidR="00301934" w:rsidRPr="00B94141">
        <w:t>other entities</w:t>
      </w:r>
      <w:r w:rsidR="004E5849" w:rsidRPr="00B94141">
        <w:t xml:space="preserve"> of the United Nations</w:t>
      </w:r>
      <w:r w:rsidR="00301934" w:rsidRPr="00B94141">
        <w:t xml:space="preserve"> system, while avoiding duplication</w:t>
      </w:r>
      <w:r w:rsidR="004E5849" w:rsidRPr="00B94141">
        <w:t xml:space="preserve">. </w:t>
      </w:r>
    </w:p>
    <w:p w14:paraId="2AA9A95A" w14:textId="74118B86" w:rsidR="004E5849" w:rsidRPr="00B94141" w:rsidRDefault="00660445" w:rsidP="00A73841">
      <w:pPr>
        <w:jc w:val="both"/>
      </w:pPr>
      <w:r w:rsidRPr="00B94141">
        <w:lastRenderedPageBreak/>
        <w:t>4.</w:t>
      </w:r>
      <w:r w:rsidR="00BE5FDA" w:rsidRPr="00B94141">
        <w:t>6</w:t>
      </w:r>
      <w:r w:rsidRPr="00B94141">
        <w:tab/>
      </w:r>
      <w:r w:rsidR="004E5849" w:rsidRPr="00B94141">
        <w:t xml:space="preserve">The </w:t>
      </w:r>
      <w:r w:rsidR="00717C03" w:rsidRPr="00B94141">
        <w:t xml:space="preserve">Chair proposed that the </w:t>
      </w:r>
      <w:r w:rsidR="004E5849" w:rsidRPr="00B94141">
        <w:t xml:space="preserve">Council note the report </w:t>
      </w:r>
      <w:r w:rsidR="00301934" w:rsidRPr="00B94141">
        <w:t xml:space="preserve">contained </w:t>
      </w:r>
      <w:r w:rsidR="004E5849" w:rsidRPr="00B94141">
        <w:t>in Document</w:t>
      </w:r>
      <w:r w:rsidR="00CC4859" w:rsidRPr="00B94141">
        <w:t> </w:t>
      </w:r>
      <w:r w:rsidR="004E5849" w:rsidRPr="00B94141">
        <w:t xml:space="preserve">C25/53 and </w:t>
      </w:r>
      <w:r w:rsidR="00D81098" w:rsidRPr="00B94141">
        <w:t xml:space="preserve">submit the </w:t>
      </w:r>
      <w:r w:rsidR="004E5849" w:rsidRPr="00B94141">
        <w:t xml:space="preserve">report to </w:t>
      </w:r>
      <w:r w:rsidR="005F6EA2" w:rsidRPr="00B94141">
        <w:t>UNGA</w:t>
      </w:r>
      <w:r w:rsidR="004E5849" w:rsidRPr="00B94141">
        <w:t xml:space="preserve"> with</w:t>
      </w:r>
      <w:r w:rsidR="009A0395" w:rsidRPr="00B94141">
        <w:t>,</w:t>
      </w:r>
      <w:r w:rsidR="00BE5FDA" w:rsidRPr="00B94141">
        <w:t xml:space="preserve"> in annex thereto</w:t>
      </w:r>
      <w:r w:rsidR="009A0395" w:rsidRPr="00B94141">
        <w:t>,</w:t>
      </w:r>
      <w:r w:rsidR="004E5849" w:rsidRPr="00B94141">
        <w:t xml:space="preserve"> a</w:t>
      </w:r>
      <w:r w:rsidR="00301934" w:rsidRPr="00B94141">
        <w:t xml:space="preserve"> </w:t>
      </w:r>
      <w:r w:rsidR="004E5849" w:rsidRPr="00B94141">
        <w:t xml:space="preserve">compilation of </w:t>
      </w:r>
      <w:r w:rsidR="00D81098" w:rsidRPr="00B94141">
        <w:t xml:space="preserve">all </w:t>
      </w:r>
      <w:r w:rsidR="004E5849" w:rsidRPr="00B94141">
        <w:t>individual submissions received.</w:t>
      </w:r>
    </w:p>
    <w:p w14:paraId="25CA5EAB" w14:textId="26243F6A" w:rsidR="00D81098" w:rsidRPr="00B94141" w:rsidRDefault="00D81098" w:rsidP="00A73841">
      <w:pPr>
        <w:jc w:val="both"/>
      </w:pPr>
      <w:r w:rsidRPr="00B94141">
        <w:t>4.7</w:t>
      </w:r>
      <w:r w:rsidRPr="00B94141">
        <w:tab/>
        <w:t xml:space="preserve">It was so </w:t>
      </w:r>
      <w:r w:rsidRPr="00B94141">
        <w:rPr>
          <w:b/>
          <w:bCs/>
        </w:rPr>
        <w:t>agreed</w:t>
      </w:r>
      <w:r w:rsidRPr="00B94141">
        <w:t>.</w:t>
      </w:r>
    </w:p>
    <w:p w14:paraId="00DA00CB" w14:textId="5AFE2E68" w:rsidR="00660445" w:rsidRPr="00B94141" w:rsidRDefault="00660445" w:rsidP="00AD127C">
      <w:pPr>
        <w:pStyle w:val="Heading1"/>
      </w:pPr>
      <w:r w:rsidRPr="00B94141">
        <w:t>5</w:t>
      </w:r>
      <w:r w:rsidRPr="00B94141">
        <w:tab/>
        <w:t xml:space="preserve">Updates on the ITU action plan for implementing the Global Digital Compact (Document </w:t>
      </w:r>
      <w:hyperlink r:id="rId25" w:history="1">
        <w:r w:rsidRPr="00B94141">
          <w:rPr>
            <w:rStyle w:val="Hyperlink"/>
          </w:rPr>
          <w:t>C25/52</w:t>
        </w:r>
      </w:hyperlink>
      <w:r w:rsidRPr="00B94141">
        <w:t>)</w:t>
      </w:r>
    </w:p>
    <w:p w14:paraId="465D2EA8" w14:textId="24CD7523" w:rsidR="00660445" w:rsidRPr="00B94141" w:rsidRDefault="00660445" w:rsidP="00A73841">
      <w:pPr>
        <w:jc w:val="both"/>
      </w:pPr>
      <w:r w:rsidRPr="00B94141">
        <w:t>5.1</w:t>
      </w:r>
      <w:r w:rsidRPr="00B94141">
        <w:tab/>
        <w:t xml:space="preserve">The Chief of </w:t>
      </w:r>
      <w:r w:rsidR="005F6EA2" w:rsidRPr="00B94141">
        <w:t xml:space="preserve">the </w:t>
      </w:r>
      <w:r w:rsidRPr="00B94141">
        <w:t>Strategic Planning and Membership</w:t>
      </w:r>
      <w:r w:rsidR="005F6EA2" w:rsidRPr="00B94141">
        <w:t xml:space="preserve"> Department</w:t>
      </w:r>
      <w:r w:rsidRPr="00B94141">
        <w:t xml:space="preserve"> </w:t>
      </w:r>
      <w:r w:rsidR="005D2E9C" w:rsidRPr="00B94141">
        <w:t xml:space="preserve">(SPM) </w:t>
      </w:r>
      <w:r w:rsidRPr="00B94141">
        <w:t xml:space="preserve">introduced </w:t>
      </w:r>
      <w:r w:rsidR="00C43CDF" w:rsidRPr="00B94141">
        <w:t>D</w:t>
      </w:r>
      <w:r w:rsidRPr="00B94141">
        <w:t>ocument</w:t>
      </w:r>
      <w:r w:rsidR="00C43CDF" w:rsidRPr="00B94141">
        <w:t> </w:t>
      </w:r>
      <w:r w:rsidRPr="00B94141">
        <w:t>C25/52, provid</w:t>
      </w:r>
      <w:r w:rsidR="00D760E5" w:rsidRPr="00B94141">
        <w:t>ing</w:t>
      </w:r>
      <w:r w:rsidRPr="00B94141">
        <w:t xml:space="preserve"> updates on ITU</w:t>
      </w:r>
      <w:r w:rsidR="00E01D66" w:rsidRPr="00B94141">
        <w:t>'</w:t>
      </w:r>
      <w:r w:rsidR="005F6EA2" w:rsidRPr="00B94141">
        <w:t>s GDC</w:t>
      </w:r>
      <w:r w:rsidRPr="00B94141">
        <w:t xml:space="preserve"> action plan </w:t>
      </w:r>
      <w:r w:rsidR="00D760E5" w:rsidRPr="00B94141">
        <w:t>and detailing collaborative efforts with multiple entities across the United Nations system</w:t>
      </w:r>
      <w:r w:rsidR="00F10639" w:rsidRPr="00B94141">
        <w:t>, including as co-chair of the United Nations Working Group on Digital Technologies (WGDT)</w:t>
      </w:r>
      <w:r w:rsidR="00D760E5" w:rsidRPr="00B94141">
        <w:t>. ITU</w:t>
      </w:r>
      <w:r w:rsidR="00E01D66" w:rsidRPr="00B94141">
        <w:t>'</w:t>
      </w:r>
      <w:r w:rsidRPr="00B94141">
        <w:t xml:space="preserve">s work </w:t>
      </w:r>
      <w:r w:rsidR="00D760E5" w:rsidRPr="00B94141">
        <w:t xml:space="preserve">on GDC implementation made sure to </w:t>
      </w:r>
      <w:r w:rsidRPr="00B94141">
        <w:t>leverag</w:t>
      </w:r>
      <w:r w:rsidR="00D760E5" w:rsidRPr="00B94141">
        <w:t>e</w:t>
      </w:r>
      <w:r w:rsidRPr="00B94141">
        <w:t xml:space="preserve"> existing mechanisms to avoid duplication and en</w:t>
      </w:r>
      <w:r w:rsidR="00D760E5" w:rsidRPr="00B94141">
        <w:t>hance</w:t>
      </w:r>
      <w:r w:rsidRPr="00B94141">
        <w:t xml:space="preserve"> efficiency. </w:t>
      </w:r>
    </w:p>
    <w:p w14:paraId="3C6F8889" w14:textId="7E2AC2F2" w:rsidR="002B33B1" w:rsidRPr="00B94141" w:rsidRDefault="002B33B1" w:rsidP="00A73841">
      <w:pPr>
        <w:jc w:val="both"/>
      </w:pPr>
      <w:r w:rsidRPr="00B94141">
        <w:t>5.2</w:t>
      </w:r>
      <w:r w:rsidRPr="00B94141">
        <w:tab/>
        <w:t>Councillors welcomed ITU</w:t>
      </w:r>
      <w:r w:rsidR="00E01D66" w:rsidRPr="00B94141">
        <w:t>'</w:t>
      </w:r>
      <w:r w:rsidRPr="00B94141">
        <w:t xml:space="preserve">s strong leadership in implementing the GDC and alignment of GDC activities and objectives with existing mandates and mechanisms. Efforts in advancing universal and meaningful connectivity, responsible </w:t>
      </w:r>
      <w:r w:rsidR="00552181" w:rsidRPr="00B94141">
        <w:t>artificial intelligence (</w:t>
      </w:r>
      <w:r w:rsidRPr="00B94141">
        <w:t>AI</w:t>
      </w:r>
      <w:r w:rsidR="00552181" w:rsidRPr="00B94141">
        <w:t>)</w:t>
      </w:r>
      <w:r w:rsidRPr="00B94141">
        <w:t xml:space="preserve"> governance and digital inclusion were commended, as was the alignment with the Pact for the Future. Councillors called for ITU to continue to lead the way. With its technical expertise, it had an important role to play in capacity building and enhancing inclusion of youth and women with a view to bridging digital divides.</w:t>
      </w:r>
      <w:r w:rsidR="00712F32" w:rsidRPr="00B94141">
        <w:t xml:space="preserve"> One councillor, however, stressed the need for the equitable participation of developing countries in shaping GDC implementation.</w:t>
      </w:r>
      <w:r w:rsidR="00D62639" w:rsidRPr="00B94141">
        <w:t xml:space="preserve"> It was also essential that international standardization process</w:t>
      </w:r>
      <w:r w:rsidR="00FC664C" w:rsidRPr="00B94141">
        <w:t>es</w:t>
      </w:r>
      <w:r w:rsidR="00D62639" w:rsidRPr="00B94141">
        <w:t xml:space="preserve"> be transparent and reflect the diverse needs </w:t>
      </w:r>
      <w:r w:rsidR="00FC664C" w:rsidRPr="00B94141">
        <w:t xml:space="preserve">of </w:t>
      </w:r>
      <w:r w:rsidR="00D62639" w:rsidRPr="00B94141">
        <w:t>developing countries.</w:t>
      </w:r>
    </w:p>
    <w:p w14:paraId="44DA6CD8" w14:textId="2D90BD45" w:rsidR="00712F32" w:rsidRPr="00B94141" w:rsidRDefault="00712F32" w:rsidP="00A73841">
      <w:pPr>
        <w:jc w:val="both"/>
      </w:pPr>
      <w:r w:rsidRPr="00B94141">
        <w:t>5.3</w:t>
      </w:r>
      <w:r w:rsidRPr="00B94141">
        <w:tab/>
        <w:t>Councillors also welcomed the focus on collaboration across the United Nations system and noted that several collaborative ITU-led initiatives, such as the Giga initiative, AI for Good and the EQUALS Global Partnership, played an important role in translating commitment to action. The WSIS process was also key in that regard, with several councillors stressing the need for alignment of the GDC with the WSIS process and action lines</w:t>
      </w:r>
      <w:r w:rsidR="007A5BA0" w:rsidRPr="00B94141">
        <w:t xml:space="preserve"> but also the need to avoid duplication</w:t>
      </w:r>
      <w:r w:rsidR="00D62639" w:rsidRPr="00B94141">
        <w:t>, in particular in the context of the UN80 Init</w:t>
      </w:r>
      <w:r w:rsidR="00316BAB" w:rsidRPr="00B94141">
        <w:t>i</w:t>
      </w:r>
      <w:r w:rsidR="00D62639" w:rsidRPr="00B94141">
        <w:t>ative</w:t>
      </w:r>
      <w:r w:rsidR="007A5BA0" w:rsidRPr="00B94141">
        <w:t>. One observer, however, stressed the need for clear separation between the GDC and the WSIS process, while another observer, recalling that the GDC had not been adopted by consensus and was non-binding, said that too much focus was being placed on GDC implementation</w:t>
      </w:r>
      <w:r w:rsidR="00316BAB" w:rsidRPr="00B94141">
        <w:t>, at the expense</w:t>
      </w:r>
      <w:r w:rsidR="007A5BA0" w:rsidRPr="00B94141">
        <w:t xml:space="preserve"> </w:t>
      </w:r>
      <w:r w:rsidR="00316BAB" w:rsidRPr="00B94141">
        <w:t>of</w:t>
      </w:r>
      <w:r w:rsidR="007A5BA0" w:rsidRPr="00B94141">
        <w:t xml:space="preserve"> WSIS outcomes</w:t>
      </w:r>
      <w:r w:rsidR="00316BAB" w:rsidRPr="00B94141">
        <w:t>, which should be prioritized</w:t>
      </w:r>
      <w:r w:rsidR="007A5BA0" w:rsidRPr="00B94141">
        <w:t xml:space="preserve"> in pursuit of the </w:t>
      </w:r>
      <w:r w:rsidR="00041C0F" w:rsidRPr="00B94141">
        <w:t>SDGs</w:t>
      </w:r>
      <w:r w:rsidR="007A5BA0" w:rsidRPr="00B94141">
        <w:t>.</w:t>
      </w:r>
    </w:p>
    <w:p w14:paraId="667A8947" w14:textId="2BE3CAC0" w:rsidR="007A5BA0" w:rsidRPr="00B94141" w:rsidRDefault="00D62639" w:rsidP="00A73841">
      <w:pPr>
        <w:jc w:val="both"/>
      </w:pPr>
      <w:r w:rsidRPr="00B94141">
        <w:t>5.4</w:t>
      </w:r>
      <w:r w:rsidRPr="00B94141">
        <w:tab/>
        <w:t>One councillor noted the relevance of ITU activities, in particular AI for Good, to GDC Objective</w:t>
      </w:r>
      <w:r w:rsidR="00C43CDF" w:rsidRPr="00B94141">
        <w:t> </w:t>
      </w:r>
      <w:r w:rsidRPr="00B94141">
        <w:t>5, but called for studies across the three Sectors</w:t>
      </w:r>
      <w:r w:rsidR="00E01D66" w:rsidRPr="00B94141">
        <w:t>'</w:t>
      </w:r>
      <w:r w:rsidRPr="00B94141">
        <w:t xml:space="preserve"> study groups to ensure full realization of that objective. Another councillor underscored the value of standardization work, in particular through </w:t>
      </w:r>
      <w:r w:rsidR="00041C0F" w:rsidRPr="00B94141">
        <w:t>the Telecommunication Standardization Advisory Group</w:t>
      </w:r>
      <w:r w:rsidR="00386097" w:rsidRPr="00B94141">
        <w:t xml:space="preserve"> (TSAG)</w:t>
      </w:r>
      <w:r w:rsidRPr="00B94141">
        <w:t>, to attainment of GDC Objective</w:t>
      </w:r>
      <w:r w:rsidR="00C43CDF" w:rsidRPr="00B94141">
        <w:t> </w:t>
      </w:r>
      <w:r w:rsidRPr="00B94141">
        <w:t>3.</w:t>
      </w:r>
    </w:p>
    <w:p w14:paraId="46F69195" w14:textId="7ABE9EBA" w:rsidR="00660445" w:rsidRPr="00B94141" w:rsidRDefault="00660445" w:rsidP="00A73841">
      <w:pPr>
        <w:jc w:val="both"/>
      </w:pPr>
      <w:r w:rsidRPr="00B94141">
        <w:t>5.</w:t>
      </w:r>
      <w:r w:rsidR="00C43CDF" w:rsidRPr="00B94141">
        <w:t>5</w:t>
      </w:r>
      <w:r w:rsidRPr="00B94141">
        <w:tab/>
        <w:t xml:space="preserve">The Chief of </w:t>
      </w:r>
      <w:r w:rsidR="005D2E9C" w:rsidRPr="00B94141">
        <w:t>SPM</w:t>
      </w:r>
      <w:r w:rsidRPr="00B94141">
        <w:t xml:space="preserve"> said that </w:t>
      </w:r>
      <w:r w:rsidR="00512964" w:rsidRPr="00B94141">
        <w:t>integration of the</w:t>
      </w:r>
      <w:r w:rsidRPr="00B94141">
        <w:t xml:space="preserve"> GDC into the WSIS process would be </w:t>
      </w:r>
      <w:r w:rsidR="00512964" w:rsidRPr="00B94141">
        <w:t>discussed by WGDT</w:t>
      </w:r>
      <w:r w:rsidRPr="00B94141">
        <w:t xml:space="preserve">. The United Nations Group on the Information Society had mapped the WSIS </w:t>
      </w:r>
      <w:r w:rsidR="00512964" w:rsidRPr="00B94141">
        <w:t>a</w:t>
      </w:r>
      <w:r w:rsidRPr="00B94141">
        <w:t xml:space="preserve">ction </w:t>
      </w:r>
      <w:r w:rsidR="00512964" w:rsidRPr="00B94141">
        <w:t>l</w:t>
      </w:r>
      <w:r w:rsidRPr="00B94141">
        <w:t>ines and GDC objectives</w:t>
      </w:r>
      <w:r w:rsidR="00512964" w:rsidRPr="00B94141">
        <w:t xml:space="preserve"> and posted</w:t>
      </w:r>
      <w:r w:rsidRPr="00B94141">
        <w:t xml:space="preserve"> the results on </w:t>
      </w:r>
      <w:r w:rsidR="00512964" w:rsidRPr="00B94141">
        <w:t>its</w:t>
      </w:r>
      <w:r w:rsidRPr="00B94141">
        <w:t xml:space="preserve"> website. </w:t>
      </w:r>
      <w:r w:rsidR="00512964" w:rsidRPr="00B94141">
        <w:t>The report demonstrated how initiatives aligned with th</w:t>
      </w:r>
      <w:r w:rsidR="00FC664C" w:rsidRPr="00B94141">
        <w:t>at</w:t>
      </w:r>
      <w:r w:rsidR="00512964" w:rsidRPr="00B94141">
        <w:t xml:space="preserve"> mapping. All work on the GDC fell within the mandate of ITU</w:t>
      </w:r>
      <w:r w:rsidRPr="00B94141">
        <w:t xml:space="preserve">. </w:t>
      </w:r>
      <w:r w:rsidR="00FC664C" w:rsidRPr="00B94141">
        <w:t>E</w:t>
      </w:r>
      <w:r w:rsidRPr="00B94141">
        <w:t>xisting programmes</w:t>
      </w:r>
      <w:r w:rsidR="00FC664C" w:rsidRPr="00B94141">
        <w:t xml:space="preserve"> were being leveraged</w:t>
      </w:r>
      <w:r w:rsidRPr="00B94141">
        <w:t xml:space="preserve"> </w:t>
      </w:r>
      <w:r w:rsidR="00FC664C" w:rsidRPr="00B94141">
        <w:t xml:space="preserve">and efforts made </w:t>
      </w:r>
      <w:r w:rsidRPr="00B94141">
        <w:t>to avoid duplication</w:t>
      </w:r>
      <w:r w:rsidR="00FC664C" w:rsidRPr="00B94141">
        <w:t>, including with the WSIS process</w:t>
      </w:r>
      <w:r w:rsidRPr="00B94141">
        <w:t>. While the relevant teams</w:t>
      </w:r>
      <w:r w:rsidR="00E01D66" w:rsidRPr="00B94141">
        <w:t>'</w:t>
      </w:r>
      <w:r w:rsidRPr="00B94141">
        <w:t xml:space="preserve"> workload had </w:t>
      </w:r>
      <w:r w:rsidRPr="00B94141">
        <w:lastRenderedPageBreak/>
        <w:t xml:space="preserve">increased, no additional resources had been allocated. </w:t>
      </w:r>
      <w:r w:rsidR="00FC664C" w:rsidRPr="00B94141">
        <w:t>Permission would be sought from the United Nations secretariat to share</w:t>
      </w:r>
      <w:r w:rsidRPr="00B94141">
        <w:t xml:space="preserve"> the terms of reference </w:t>
      </w:r>
      <w:r w:rsidR="00FC664C" w:rsidRPr="00B94141">
        <w:t>of WGDT</w:t>
      </w:r>
      <w:r w:rsidR="003C3960" w:rsidRPr="00B94141">
        <w:t>,</w:t>
      </w:r>
      <w:r w:rsidR="00FC664C" w:rsidRPr="00B94141">
        <w:t xml:space="preserve"> as it was an internal document</w:t>
      </w:r>
      <w:r w:rsidRPr="00B94141">
        <w:t xml:space="preserve">. </w:t>
      </w:r>
    </w:p>
    <w:p w14:paraId="7C3BEAB3" w14:textId="235289E8" w:rsidR="00660445" w:rsidRPr="00B94141" w:rsidRDefault="00660445" w:rsidP="00A73841">
      <w:pPr>
        <w:jc w:val="both"/>
      </w:pPr>
      <w:r w:rsidRPr="00B94141">
        <w:t>5.</w:t>
      </w:r>
      <w:r w:rsidR="00C43CDF" w:rsidRPr="00B94141">
        <w:t>6</w:t>
      </w:r>
      <w:r w:rsidRPr="00B94141">
        <w:tab/>
        <w:t xml:space="preserve">The Council </w:t>
      </w:r>
      <w:r w:rsidRPr="00B94141">
        <w:rPr>
          <w:b/>
          <w:bCs/>
        </w:rPr>
        <w:t>noted</w:t>
      </w:r>
      <w:r w:rsidRPr="00B94141">
        <w:t xml:space="preserve"> the report contained in Document</w:t>
      </w:r>
      <w:r w:rsidR="003C3960" w:rsidRPr="00B94141">
        <w:t> </w:t>
      </w:r>
      <w:r w:rsidRPr="00B94141">
        <w:t>C25/52.</w:t>
      </w:r>
    </w:p>
    <w:p w14:paraId="21A7D29C" w14:textId="6E4F7B34" w:rsidR="00660445" w:rsidRPr="00B94141" w:rsidRDefault="00660445" w:rsidP="00AD127C">
      <w:pPr>
        <w:pStyle w:val="Heading1"/>
      </w:pPr>
      <w:r w:rsidRPr="00B94141">
        <w:t>6</w:t>
      </w:r>
      <w:r w:rsidRPr="00B94141">
        <w:tab/>
        <w:t>Strengthening ITU</w:t>
      </w:r>
      <w:r w:rsidR="00E01D66" w:rsidRPr="00B94141">
        <w:t>'</w:t>
      </w:r>
      <w:r w:rsidRPr="00B94141">
        <w:t>s regional presence (Document</w:t>
      </w:r>
      <w:r w:rsidR="003C3960" w:rsidRPr="00B94141">
        <w:t> </w:t>
      </w:r>
      <w:hyperlink r:id="rId26" w:history="1">
        <w:r w:rsidRPr="00711DF0">
          <w:rPr>
            <w:rStyle w:val="Hyperlink"/>
          </w:rPr>
          <w:t>C25/25(Rev.1)</w:t>
        </w:r>
      </w:hyperlink>
      <w:r w:rsidRPr="00B94141">
        <w:t>)</w:t>
      </w:r>
    </w:p>
    <w:p w14:paraId="3E476EA2" w14:textId="08C379BF" w:rsidR="00660445" w:rsidRPr="00B94141" w:rsidRDefault="00660445" w:rsidP="00A73841">
      <w:pPr>
        <w:jc w:val="both"/>
      </w:pPr>
      <w:r w:rsidRPr="00B94141">
        <w:t>6.1</w:t>
      </w:r>
      <w:r w:rsidRPr="00B94141">
        <w:tab/>
        <w:t xml:space="preserve">The Deputy to the Director of </w:t>
      </w:r>
      <w:r w:rsidR="00041C0F" w:rsidRPr="00B94141">
        <w:t>the Telecommunication Development Bureau (</w:t>
      </w:r>
      <w:r w:rsidRPr="00B94141">
        <w:t>BDT</w:t>
      </w:r>
      <w:r w:rsidR="00041C0F" w:rsidRPr="00B94141">
        <w:t>)</w:t>
      </w:r>
      <w:r w:rsidRPr="00B94141">
        <w:t xml:space="preserve"> introduced </w:t>
      </w:r>
      <w:r w:rsidR="003C3960" w:rsidRPr="00B94141">
        <w:t>D</w:t>
      </w:r>
      <w:r w:rsidRPr="00B94141">
        <w:t>ocument</w:t>
      </w:r>
      <w:r w:rsidR="003C3960" w:rsidRPr="00B94141">
        <w:t> </w:t>
      </w:r>
      <w:r w:rsidRPr="00B94141">
        <w:t>C25/</w:t>
      </w:r>
      <w:r w:rsidR="005D2E9C" w:rsidRPr="00B94141">
        <w:t>25(</w:t>
      </w:r>
      <w:r w:rsidRPr="00B94141">
        <w:t>Rev.1</w:t>
      </w:r>
      <w:r w:rsidR="005D2E9C" w:rsidRPr="00B94141">
        <w:t>)</w:t>
      </w:r>
      <w:r w:rsidRPr="00B94141">
        <w:t>, which reported on the contribution of ITU</w:t>
      </w:r>
      <w:r w:rsidR="00E01D66" w:rsidRPr="00B94141">
        <w:t>'</w:t>
      </w:r>
      <w:r w:rsidRPr="00B94141">
        <w:t xml:space="preserve">s regional presence to the </w:t>
      </w:r>
      <w:r w:rsidR="00FD7127" w:rsidRPr="00B94141">
        <w:t>fulfilment</w:t>
      </w:r>
      <w:r w:rsidRPr="00B94141">
        <w:t xml:space="preserve"> of the Union</w:t>
      </w:r>
      <w:r w:rsidR="00E01D66" w:rsidRPr="00B94141">
        <w:t>'</w:t>
      </w:r>
      <w:r w:rsidRPr="00B94141">
        <w:t>s mandate</w:t>
      </w:r>
      <w:r w:rsidR="004B29CC" w:rsidRPr="00B94141">
        <w:t xml:space="preserve"> and </w:t>
      </w:r>
      <w:r w:rsidRPr="00B94141">
        <w:t xml:space="preserve">on regional work towards the implementation of the ITU strategic plan, the Kigali Action Plan and regional initiatives. </w:t>
      </w:r>
      <w:r w:rsidR="004B29CC" w:rsidRPr="00B94141">
        <w:t>It highlighted</w:t>
      </w:r>
      <w:r w:rsidRPr="00B94141">
        <w:t xml:space="preserve"> synergies between ITU regional offices and BDT </w:t>
      </w:r>
      <w:r w:rsidR="004B29CC" w:rsidRPr="00B94141">
        <w:t>in</w:t>
      </w:r>
      <w:r w:rsidRPr="00B94141">
        <w:t xml:space="preserve"> planning, implementation, monitoring and evaluation of activities and projects. Further information</w:t>
      </w:r>
      <w:r w:rsidR="004B29CC" w:rsidRPr="00B94141">
        <w:t xml:space="preserve"> was available</w:t>
      </w:r>
      <w:r w:rsidRPr="00B94141">
        <w:t xml:space="preserve"> in </w:t>
      </w:r>
      <w:r w:rsidR="00F60CA7" w:rsidRPr="00B94141">
        <w:t xml:space="preserve">Telecommunication Development Advisory Group (TDAG) </w:t>
      </w:r>
      <w:r w:rsidR="778B5FA9" w:rsidRPr="00B94141">
        <w:t>D</w:t>
      </w:r>
      <w:r w:rsidRPr="00B94141">
        <w:t>ocument</w:t>
      </w:r>
      <w:r w:rsidR="004B29CC" w:rsidRPr="00B94141">
        <w:t>s</w:t>
      </w:r>
      <w:r w:rsidR="003C3960" w:rsidRPr="00B94141">
        <w:t> </w:t>
      </w:r>
      <w:hyperlink r:id="rId27" w:history="1">
        <w:r w:rsidRPr="00B94141">
          <w:rPr>
            <w:rStyle w:val="Hyperlink"/>
          </w:rPr>
          <w:t>TDAG</w:t>
        </w:r>
        <w:r w:rsidR="003C3960" w:rsidRPr="00B94141">
          <w:rPr>
            <w:rStyle w:val="Hyperlink"/>
          </w:rPr>
          <w:noBreakHyphen/>
        </w:r>
        <w:r w:rsidRPr="00B94141">
          <w:rPr>
            <w:rStyle w:val="Hyperlink"/>
          </w:rPr>
          <w:t>25/2</w:t>
        </w:r>
      </w:hyperlink>
      <w:r w:rsidRPr="00B94141">
        <w:t xml:space="preserve"> and </w:t>
      </w:r>
      <w:hyperlink r:id="rId28" w:history="1">
        <w:r w:rsidRPr="00B94141">
          <w:rPr>
            <w:rStyle w:val="Hyperlink"/>
          </w:rPr>
          <w:t>TDAG</w:t>
        </w:r>
        <w:r w:rsidR="003C3960" w:rsidRPr="00B94141">
          <w:rPr>
            <w:rStyle w:val="Hyperlink"/>
          </w:rPr>
          <w:noBreakHyphen/>
        </w:r>
        <w:r w:rsidRPr="00B94141">
          <w:rPr>
            <w:rStyle w:val="Hyperlink"/>
          </w:rPr>
          <w:t>25/24</w:t>
        </w:r>
        <w:r w:rsidR="004B29CC" w:rsidRPr="00B94141">
          <w:rPr>
            <w:rStyle w:val="Hyperlink"/>
          </w:rPr>
          <w:t>(Rev.1)</w:t>
        </w:r>
      </w:hyperlink>
      <w:r w:rsidRPr="00B94141">
        <w:t xml:space="preserve">. </w:t>
      </w:r>
      <w:r w:rsidR="004B29CC" w:rsidRPr="00B94141">
        <w:t>Reporting on</w:t>
      </w:r>
      <w:r w:rsidRPr="00B94141">
        <w:t xml:space="preserve"> the regional initiatives could be found in </w:t>
      </w:r>
      <w:r w:rsidR="0CFD9E88" w:rsidRPr="00B94141">
        <w:t>D</w:t>
      </w:r>
      <w:r w:rsidRPr="00B94141">
        <w:t>ocument</w:t>
      </w:r>
      <w:r w:rsidR="00F0029F">
        <w:t> </w:t>
      </w:r>
      <w:hyperlink r:id="rId29" w:history="1">
        <w:r w:rsidRPr="00B94141">
          <w:rPr>
            <w:rStyle w:val="Hyperlink"/>
          </w:rPr>
          <w:t>TDAG</w:t>
        </w:r>
        <w:r w:rsidR="003C3960" w:rsidRPr="00B94141">
          <w:rPr>
            <w:rStyle w:val="Hyperlink"/>
          </w:rPr>
          <w:noBreakHyphen/>
        </w:r>
        <w:r w:rsidRPr="00B94141">
          <w:rPr>
            <w:rStyle w:val="Hyperlink"/>
          </w:rPr>
          <w:t>25/</w:t>
        </w:r>
        <w:r w:rsidR="004B29CC" w:rsidRPr="00B94141">
          <w:rPr>
            <w:rStyle w:val="Hyperlink"/>
          </w:rPr>
          <w:t>INF/</w:t>
        </w:r>
        <w:r w:rsidRPr="00B94141">
          <w:rPr>
            <w:rStyle w:val="Hyperlink"/>
          </w:rPr>
          <w:t>4</w:t>
        </w:r>
        <w:r w:rsidR="004B29CC" w:rsidRPr="00B94141">
          <w:rPr>
            <w:rStyle w:val="Hyperlink"/>
          </w:rPr>
          <w:t>(</w:t>
        </w:r>
        <w:r w:rsidRPr="00B94141">
          <w:rPr>
            <w:rStyle w:val="Hyperlink"/>
          </w:rPr>
          <w:t>Rev.1</w:t>
        </w:r>
        <w:r w:rsidR="004B29CC" w:rsidRPr="00B94141">
          <w:rPr>
            <w:rStyle w:val="Hyperlink"/>
          </w:rPr>
          <w:t>)</w:t>
        </w:r>
      </w:hyperlink>
      <w:r w:rsidRPr="00B94141">
        <w:t>.</w:t>
      </w:r>
    </w:p>
    <w:p w14:paraId="7C1C794D" w14:textId="3D57B40F" w:rsidR="00EA4666" w:rsidRPr="00B94141" w:rsidRDefault="006C166C" w:rsidP="00A73841">
      <w:pPr>
        <w:jc w:val="both"/>
      </w:pPr>
      <w:r w:rsidRPr="00B94141">
        <w:t>6.2</w:t>
      </w:r>
      <w:r w:rsidRPr="00B94141">
        <w:tab/>
      </w:r>
      <w:r w:rsidR="00B77B40" w:rsidRPr="00B94141">
        <w:t>C</w:t>
      </w:r>
      <w:r w:rsidRPr="00B94141">
        <w:t xml:space="preserve">ouncillors </w:t>
      </w:r>
      <w:r w:rsidR="00387CF9" w:rsidRPr="00B94141">
        <w:t xml:space="preserve">and observers </w:t>
      </w:r>
      <w:r w:rsidRPr="00B94141">
        <w:t>highlighted the important work carried out by the regional and area offices in support of both the regional initiatives and national projects</w:t>
      </w:r>
      <w:r w:rsidR="007F0392" w:rsidRPr="00B94141">
        <w:t>, as well as</w:t>
      </w:r>
      <w:r w:rsidRPr="00B94141">
        <w:t xml:space="preserve"> in preparation for major ITU conferences and assemblies.</w:t>
      </w:r>
      <w:r w:rsidR="00B77B40" w:rsidRPr="00B94141">
        <w:t xml:space="preserve"> The regional presence was key in advancing</w:t>
      </w:r>
      <w:r w:rsidR="00387CF9" w:rsidRPr="00B94141">
        <w:t xml:space="preserve">, </w:t>
      </w:r>
      <w:r w:rsidR="00387CF9" w:rsidRPr="00B94141">
        <w:rPr>
          <w:i/>
          <w:iCs/>
        </w:rPr>
        <w:t>inter alia</w:t>
      </w:r>
      <w:r w:rsidR="00387CF9" w:rsidRPr="00B94141">
        <w:t>,</w:t>
      </w:r>
      <w:r w:rsidR="00B77B40" w:rsidRPr="00B94141">
        <w:t xml:space="preserve"> </w:t>
      </w:r>
      <w:r w:rsidR="00EA4666" w:rsidRPr="00B94141">
        <w:t xml:space="preserve">technical cooperation, </w:t>
      </w:r>
      <w:r w:rsidR="00B77B40" w:rsidRPr="00B94141">
        <w:t>capacity building, digital skill development, strengthening of ICT infrastructure, disaster risk reduction and response, universal and meaningful connectivity, cybersecurity and broadband mapping.</w:t>
      </w:r>
      <w:r w:rsidR="00EA4666" w:rsidRPr="00B94141">
        <w:t xml:space="preserve"> </w:t>
      </w:r>
      <w:r w:rsidR="00CB3D47" w:rsidRPr="00B94141">
        <w:t xml:space="preserve">Several councillors </w:t>
      </w:r>
      <w:r w:rsidR="00EA4666" w:rsidRPr="00B94141">
        <w:t xml:space="preserve">and observers </w:t>
      </w:r>
      <w:r w:rsidR="00CB3D47" w:rsidRPr="00B94141">
        <w:t>called for further strengthening of the capacity of regional and area offices</w:t>
      </w:r>
      <w:r w:rsidR="00EA4666" w:rsidRPr="00B94141">
        <w:t xml:space="preserve"> and enhanced coordination with and among the Bureaux, with one councillor stressing that physical proximity brought greater impact</w:t>
      </w:r>
      <w:r w:rsidR="005D2E9C" w:rsidRPr="00B94141">
        <w:t>,</w:t>
      </w:r>
      <w:r w:rsidR="00EA4666" w:rsidRPr="00B94141">
        <w:t xml:space="preserve"> and one observer calling for increased attention to the needs of developing countries. One councillor </w:t>
      </w:r>
      <w:r w:rsidR="00B15867" w:rsidRPr="00B94141">
        <w:t>requested</w:t>
      </w:r>
      <w:r w:rsidR="001A7D6A" w:rsidRPr="00B94141">
        <w:t xml:space="preserve"> an analysis of</w:t>
      </w:r>
      <w:r w:rsidR="00B15867" w:rsidRPr="00B94141">
        <w:t>, and formulation of proposals on, any</w:t>
      </w:r>
      <w:r w:rsidR="001A7D6A" w:rsidRPr="00B94141">
        <w:t xml:space="preserve"> gaps and obstacles experienced in implementation of projects. </w:t>
      </w:r>
      <w:r w:rsidR="00B15867" w:rsidRPr="00B94141">
        <w:t xml:space="preserve">A further councillor called </w:t>
      </w:r>
      <w:r w:rsidR="00EA4666" w:rsidRPr="00B94141">
        <w:t xml:space="preserve">for increased presence </w:t>
      </w:r>
      <w:r w:rsidR="001A7D6A" w:rsidRPr="00B94141">
        <w:t>for the benefit</w:t>
      </w:r>
      <w:r w:rsidR="00EA4666" w:rsidRPr="00B94141">
        <w:t xml:space="preserve"> </w:t>
      </w:r>
      <w:r w:rsidR="001A7D6A" w:rsidRPr="00B94141">
        <w:t>of</w:t>
      </w:r>
      <w:r w:rsidR="00EA4666" w:rsidRPr="00B94141">
        <w:t xml:space="preserve"> </w:t>
      </w:r>
      <w:r w:rsidR="000853F3" w:rsidRPr="00B94141">
        <w:t>Pacific Island</w:t>
      </w:r>
      <w:r w:rsidR="001A7D6A" w:rsidRPr="00B94141">
        <w:t xml:space="preserve"> states</w:t>
      </w:r>
      <w:r w:rsidR="00EA4666" w:rsidRPr="00B94141">
        <w:t>.</w:t>
      </w:r>
    </w:p>
    <w:p w14:paraId="37C110E9" w14:textId="1365E6AE" w:rsidR="006C166C" w:rsidRPr="00B94141" w:rsidRDefault="00387CF9" w:rsidP="00A73841">
      <w:pPr>
        <w:jc w:val="both"/>
      </w:pPr>
      <w:r w:rsidRPr="00B94141">
        <w:t>6.3</w:t>
      </w:r>
      <w:r w:rsidRPr="00B94141">
        <w:tab/>
      </w:r>
      <w:r w:rsidR="00EA4666" w:rsidRPr="00B94141">
        <w:t>S</w:t>
      </w:r>
      <w:r w:rsidR="00CB3D47" w:rsidRPr="00B94141">
        <w:t>ome</w:t>
      </w:r>
      <w:r w:rsidR="006C166C" w:rsidRPr="00B94141">
        <w:t xml:space="preserve"> </w:t>
      </w:r>
      <w:r w:rsidR="004C4951" w:rsidRPr="00B94141">
        <w:t xml:space="preserve">councillors </w:t>
      </w:r>
      <w:r w:rsidR="006C166C" w:rsidRPr="00B94141">
        <w:t xml:space="preserve">questioned, however, what appeared to be unequal geographical distribution of Sector activities and staff. </w:t>
      </w:r>
      <w:r w:rsidR="00CB3D47" w:rsidRPr="00B94141">
        <w:t xml:space="preserve">While </w:t>
      </w:r>
      <w:r w:rsidR="00041C0F" w:rsidRPr="00B94141">
        <w:t>Telecommunication Standardization Bureau (</w:t>
      </w:r>
      <w:r w:rsidR="006C166C" w:rsidRPr="00B94141">
        <w:t>TSB</w:t>
      </w:r>
      <w:r w:rsidR="00041C0F" w:rsidRPr="00B94141">
        <w:t>)</w:t>
      </w:r>
      <w:r w:rsidR="006C166C" w:rsidRPr="00B94141">
        <w:t xml:space="preserve"> staff had been seconded to other offices, </w:t>
      </w:r>
      <w:r w:rsidR="00041C0F" w:rsidRPr="00B94141">
        <w:t>the Radiocommunication Bureau (</w:t>
      </w:r>
      <w:r w:rsidR="006C166C" w:rsidRPr="00B94141">
        <w:t>BR</w:t>
      </w:r>
      <w:r w:rsidR="00041C0F" w:rsidRPr="00B94141">
        <w:t>)</w:t>
      </w:r>
      <w:r w:rsidR="006C166C" w:rsidRPr="00B94141">
        <w:t xml:space="preserve"> had no regional</w:t>
      </w:r>
      <w:r w:rsidR="00CB3D47" w:rsidRPr="00B94141">
        <w:t xml:space="preserve"> or area</w:t>
      </w:r>
      <w:r w:rsidR="006C166C" w:rsidRPr="00B94141">
        <w:t xml:space="preserve"> office representation. </w:t>
      </w:r>
      <w:r w:rsidR="00B15867" w:rsidRPr="00B94141">
        <w:t xml:space="preserve">One councillor wondered whether that was indicative of prioritization or a lack of resources. </w:t>
      </w:r>
      <w:r w:rsidR="00CB3D47" w:rsidRPr="00B94141">
        <w:t>S</w:t>
      </w:r>
      <w:r w:rsidR="00EA4666" w:rsidRPr="00B94141">
        <w:t>everal</w:t>
      </w:r>
      <w:r w:rsidR="006C166C" w:rsidRPr="00B94141">
        <w:t xml:space="preserve"> councillors said that distribution of </w:t>
      </w:r>
      <w:r w:rsidR="007F0392" w:rsidRPr="00B94141">
        <w:t xml:space="preserve">financial resources, </w:t>
      </w:r>
      <w:r w:rsidR="006C166C" w:rsidRPr="00B94141">
        <w:t xml:space="preserve">staff and activities should be equal across the regions, </w:t>
      </w:r>
      <w:r w:rsidR="00CB3D47" w:rsidRPr="00B94141">
        <w:t xml:space="preserve">while </w:t>
      </w:r>
      <w:r w:rsidR="006C166C" w:rsidRPr="00B94141">
        <w:t xml:space="preserve">one councillor </w:t>
      </w:r>
      <w:r w:rsidR="00B321C2" w:rsidRPr="00B94141">
        <w:t>called for</w:t>
      </w:r>
      <w:r w:rsidR="006C166C" w:rsidRPr="00B94141">
        <w:t xml:space="preserve"> </w:t>
      </w:r>
      <w:r w:rsidR="00B321C2" w:rsidRPr="00B94141">
        <w:t xml:space="preserve">strategic </w:t>
      </w:r>
      <w:r w:rsidR="006C166C" w:rsidRPr="00B94141">
        <w:t>allocation based on regional priorities</w:t>
      </w:r>
      <w:r w:rsidRPr="00B94141">
        <w:t xml:space="preserve"> and efficient use of human resources</w:t>
      </w:r>
      <w:r w:rsidR="006C166C" w:rsidRPr="00B94141">
        <w:t>.</w:t>
      </w:r>
      <w:r w:rsidR="00B321C2" w:rsidRPr="00B94141">
        <w:t xml:space="preserve"> Another councillor requested full information o</w:t>
      </w:r>
      <w:r w:rsidR="005D2E9C" w:rsidRPr="00B94141">
        <w:t>n</w:t>
      </w:r>
      <w:r w:rsidR="00B321C2" w:rsidRPr="00B94141">
        <w:t xml:space="preserve"> </w:t>
      </w:r>
      <w:r w:rsidR="005D2E9C" w:rsidRPr="00B94141">
        <w:t>regional and area</w:t>
      </w:r>
      <w:r w:rsidR="00B321C2" w:rsidRPr="00B94141">
        <w:t xml:space="preserve"> office staffing, in line with </w:t>
      </w:r>
      <w:r w:rsidR="004C4951" w:rsidRPr="00B94141">
        <w:t xml:space="preserve">PP </w:t>
      </w:r>
      <w:r w:rsidR="00B321C2" w:rsidRPr="00B94141">
        <w:t>Resolution</w:t>
      </w:r>
      <w:r w:rsidR="00E21A49" w:rsidRPr="00B94141">
        <w:t> </w:t>
      </w:r>
      <w:r w:rsidR="00B321C2" w:rsidRPr="00B94141">
        <w:t>25 (Rev.</w:t>
      </w:r>
      <w:r w:rsidR="00E21A49" w:rsidRPr="00B94141">
        <w:t> </w:t>
      </w:r>
      <w:r w:rsidR="00B321C2" w:rsidRPr="00B94141">
        <w:t xml:space="preserve">Bucharest, 2022). </w:t>
      </w:r>
      <w:r w:rsidR="0012078E" w:rsidRPr="00B94141">
        <w:t xml:space="preserve">Including such information in the report </w:t>
      </w:r>
      <w:r w:rsidRPr="00B94141">
        <w:t xml:space="preserve">would make it easier to </w:t>
      </w:r>
      <w:r w:rsidR="0012078E" w:rsidRPr="00B94141">
        <w:t>track alignment of regional office staffing with countries</w:t>
      </w:r>
      <w:r w:rsidR="00E01D66" w:rsidRPr="00B94141">
        <w:t>'</w:t>
      </w:r>
      <w:r w:rsidR="0012078E" w:rsidRPr="00B94141">
        <w:t xml:space="preserve"> evolving priorities. </w:t>
      </w:r>
      <w:r w:rsidR="00B321C2" w:rsidRPr="00B94141">
        <w:t>A further councillor requested fully disaggregated data on the fellowship programme to ensure fair, equitable and inclusive distribution across the three Sectors.</w:t>
      </w:r>
    </w:p>
    <w:p w14:paraId="4A7FD190" w14:textId="4D8426AA" w:rsidR="00B15867" w:rsidRPr="00B94141" w:rsidRDefault="00387CF9" w:rsidP="00A73841">
      <w:pPr>
        <w:jc w:val="both"/>
      </w:pPr>
      <w:r w:rsidRPr="00B94141">
        <w:t>6.4</w:t>
      </w:r>
      <w:r w:rsidRPr="00B94141">
        <w:tab/>
      </w:r>
      <w:r w:rsidR="00B15867" w:rsidRPr="00B94141">
        <w:t>One councillor said that further measures should be put in place to ensure that all Member States could participate equally in the Sectors</w:t>
      </w:r>
      <w:r w:rsidR="00E01D66" w:rsidRPr="00B94141">
        <w:t>'</w:t>
      </w:r>
      <w:r w:rsidR="00B15867" w:rsidRPr="00B94141">
        <w:t xml:space="preserve"> study groups, in particular developing countries for whom travelling to Geneva was difficult.</w:t>
      </w:r>
      <w:r w:rsidRPr="00B94141">
        <w:t xml:space="preserve"> In addition, she encouraged the Regional Office for the Americas to continue its conference preparatory work and called for </w:t>
      </w:r>
      <w:r w:rsidRPr="00B94141">
        <w:lastRenderedPageBreak/>
        <w:t>the organization of interregional events to facilitate alignment in the build</w:t>
      </w:r>
      <w:r w:rsidR="00E21A49" w:rsidRPr="00B94141">
        <w:t>-</w:t>
      </w:r>
      <w:r w:rsidRPr="00B94141">
        <w:t>up to major conferences.</w:t>
      </w:r>
    </w:p>
    <w:p w14:paraId="4680143B" w14:textId="3D1B7251" w:rsidR="00074BA0" w:rsidRPr="00B94141" w:rsidRDefault="00387CF9" w:rsidP="00A73841">
      <w:pPr>
        <w:jc w:val="both"/>
      </w:pPr>
      <w:r w:rsidRPr="00B94141">
        <w:t>6.5</w:t>
      </w:r>
      <w:r w:rsidRPr="00B94141">
        <w:tab/>
      </w:r>
      <w:r w:rsidR="00074BA0" w:rsidRPr="00B94141">
        <w:t>Several councillors highlighted the contributions their countries were making to the ITU regional presence.</w:t>
      </w:r>
      <w:r w:rsidR="00253187" w:rsidRPr="00B94141">
        <w:t xml:space="preserve"> As well as r</w:t>
      </w:r>
      <w:r w:rsidR="002655A3" w:rsidRPr="00B94141">
        <w:t xml:space="preserve">egional development forums </w:t>
      </w:r>
      <w:r w:rsidR="00253187" w:rsidRPr="00B94141">
        <w:t xml:space="preserve">and preparatory meetings </w:t>
      </w:r>
      <w:r w:rsidR="002655A3" w:rsidRPr="00B94141">
        <w:t xml:space="preserve">hosted in </w:t>
      </w:r>
      <w:r w:rsidR="00253187" w:rsidRPr="00B94141">
        <w:t xml:space="preserve">Hungary, Jordan, Kenya, Kyrgyzstan, Paraguay and </w:t>
      </w:r>
      <w:r w:rsidR="002655A3" w:rsidRPr="00B94141">
        <w:t>Thailand</w:t>
      </w:r>
      <w:r w:rsidR="00253187" w:rsidRPr="00B94141">
        <w:t>,</w:t>
      </w:r>
      <w:r w:rsidR="002655A3" w:rsidRPr="00B94141">
        <w:t xml:space="preserve"> China </w:t>
      </w:r>
      <w:r w:rsidR="00B77B40" w:rsidRPr="00B94141">
        <w:t>had hosted thematic workshops, including one on national frequency allocations</w:t>
      </w:r>
      <w:r w:rsidR="00041C0F" w:rsidRPr="00B94141">
        <w:t>,</w:t>
      </w:r>
      <w:r w:rsidR="00B77B40" w:rsidRPr="00B94141">
        <w:t xml:space="preserve"> and </w:t>
      </w:r>
      <w:r w:rsidR="00074BA0" w:rsidRPr="00B94141">
        <w:t>Japan w</w:t>
      </w:r>
      <w:r w:rsidR="00EA52B7" w:rsidRPr="00B94141">
        <w:t>ould</w:t>
      </w:r>
      <w:r w:rsidR="00074BA0" w:rsidRPr="00B94141">
        <w:t xml:space="preserve"> host a regional workshop on disaster risk reduction and </w:t>
      </w:r>
      <w:r w:rsidR="00EA52B7" w:rsidRPr="00B94141">
        <w:t>was</w:t>
      </w:r>
      <w:r w:rsidR="00074BA0" w:rsidRPr="00B94141">
        <w:t xml:space="preserve"> promoting a green ICT initiative, involving workshops across multiple regions</w:t>
      </w:r>
      <w:r w:rsidR="00253187" w:rsidRPr="00B94141">
        <w:t>. In addition,</w:t>
      </w:r>
      <w:r w:rsidR="00074BA0" w:rsidRPr="00B94141">
        <w:t xml:space="preserve"> </w:t>
      </w:r>
      <w:r w:rsidR="00361868" w:rsidRPr="00B94141">
        <w:t xml:space="preserve">the </w:t>
      </w:r>
      <w:r w:rsidR="00074BA0" w:rsidRPr="00B94141">
        <w:t xml:space="preserve">Philippines had hosted the regional celebration of Girls in ICT </w:t>
      </w:r>
      <w:r w:rsidR="00D92689" w:rsidRPr="00B94141">
        <w:t>D</w:t>
      </w:r>
      <w:r w:rsidR="00074BA0" w:rsidRPr="00B94141">
        <w:t>ay</w:t>
      </w:r>
      <w:r w:rsidR="00253187" w:rsidRPr="00B94141">
        <w:t xml:space="preserve"> and</w:t>
      </w:r>
      <w:r w:rsidR="008F3B8B" w:rsidRPr="00B94141">
        <w:t xml:space="preserve"> India was committed to strengthening the presence of the Area Office in Delhi</w:t>
      </w:r>
      <w:r w:rsidR="00074BA0" w:rsidRPr="00B94141">
        <w:t>.</w:t>
      </w:r>
      <w:r w:rsidR="008F3B8B" w:rsidRPr="00B94141">
        <w:t xml:space="preserve"> </w:t>
      </w:r>
      <w:r w:rsidR="00074BA0" w:rsidRPr="00B94141">
        <w:t>It was recommended that the report reflect contributions of Member States to the work of the regional offices.</w:t>
      </w:r>
    </w:p>
    <w:p w14:paraId="63D06652" w14:textId="1301719B" w:rsidR="007015FD" w:rsidRPr="00B94141" w:rsidRDefault="00660445" w:rsidP="00A73841">
      <w:pPr>
        <w:jc w:val="both"/>
      </w:pPr>
      <w:r w:rsidRPr="00B94141">
        <w:t>6.</w:t>
      </w:r>
      <w:r w:rsidR="001C5020" w:rsidRPr="00B94141">
        <w:t>6</w:t>
      </w:r>
      <w:r w:rsidRPr="00B94141">
        <w:tab/>
      </w:r>
      <w:bookmarkStart w:id="10" w:name="_Hlk202371330"/>
      <w:r w:rsidRPr="00B94141">
        <w:t xml:space="preserve">The Director of BDT </w:t>
      </w:r>
      <w:r w:rsidR="00253187" w:rsidRPr="00B94141">
        <w:t xml:space="preserve">thanked the various Member States for their cooperation and collaboration </w:t>
      </w:r>
      <w:r w:rsidR="001C5020" w:rsidRPr="00B94141">
        <w:t xml:space="preserve">in </w:t>
      </w:r>
      <w:r w:rsidR="00650582" w:rsidRPr="00B94141">
        <w:t>regional events and activities</w:t>
      </w:r>
      <w:r w:rsidR="00253187" w:rsidRPr="00B94141">
        <w:t xml:space="preserve"> and also expressed appreciation for the contributions of </w:t>
      </w:r>
      <w:r w:rsidR="00650582" w:rsidRPr="00B94141">
        <w:t>partners</w:t>
      </w:r>
      <w:r w:rsidR="00253187" w:rsidRPr="00B94141">
        <w:t xml:space="preserve"> </w:t>
      </w:r>
      <w:r w:rsidR="001D5DEB" w:rsidRPr="00B94141">
        <w:t>to</w:t>
      </w:r>
      <w:r w:rsidR="00253187" w:rsidRPr="00B94141">
        <w:t xml:space="preserve"> cooperation and resource mobilization efforts. </w:t>
      </w:r>
      <w:r w:rsidR="00650582" w:rsidRPr="00B94141">
        <w:t xml:space="preserve">He attributed the perceived imbalance in Sector activities across the regions to greater incorporation of input from TDAG into the report. Doing the same with reports from TSAG and </w:t>
      </w:r>
      <w:r w:rsidR="00386097" w:rsidRPr="00B94141">
        <w:t xml:space="preserve">the </w:t>
      </w:r>
      <w:r w:rsidR="00650582" w:rsidRPr="00B94141">
        <w:t>R</w:t>
      </w:r>
      <w:r w:rsidR="00386097" w:rsidRPr="00B94141">
        <w:t xml:space="preserve">adiocommunication </w:t>
      </w:r>
      <w:r w:rsidR="00650582" w:rsidRPr="00B94141">
        <w:t>A</w:t>
      </w:r>
      <w:r w:rsidR="00386097" w:rsidRPr="00B94141">
        <w:t xml:space="preserve">dvisory </w:t>
      </w:r>
      <w:r w:rsidR="00650582" w:rsidRPr="00B94141">
        <w:t>G</w:t>
      </w:r>
      <w:r w:rsidR="00386097" w:rsidRPr="00B94141">
        <w:t>roup</w:t>
      </w:r>
      <w:r w:rsidR="00650582" w:rsidRPr="00B94141">
        <w:t xml:space="preserve"> would likely demonstrate greater balance. He said that t</w:t>
      </w:r>
      <w:r w:rsidRPr="00B94141">
        <w:t xml:space="preserve">he </w:t>
      </w:r>
      <w:r w:rsidR="00650582" w:rsidRPr="00B94141">
        <w:t xml:space="preserve">secretariat could </w:t>
      </w:r>
      <w:r w:rsidRPr="00B94141">
        <w:t xml:space="preserve">provide </w:t>
      </w:r>
      <w:r w:rsidR="00650582" w:rsidRPr="00B94141">
        <w:t xml:space="preserve">disaggregated </w:t>
      </w:r>
      <w:r w:rsidRPr="00B94141">
        <w:t>information on fellowships</w:t>
      </w:r>
      <w:r w:rsidR="00650582" w:rsidRPr="00B94141">
        <w:t>.</w:t>
      </w:r>
      <w:r w:rsidR="003B36F3" w:rsidRPr="00B94141">
        <w:t xml:space="preserve"> </w:t>
      </w:r>
      <w:r w:rsidR="007015FD" w:rsidRPr="00B94141">
        <w:t xml:space="preserve">A recent cyberdrill organized </w:t>
      </w:r>
      <w:r w:rsidRPr="00B94141">
        <w:t>in partnership with the United Arab Emirates</w:t>
      </w:r>
      <w:r w:rsidR="007015FD" w:rsidRPr="00B94141">
        <w:t xml:space="preserve"> had involved </w:t>
      </w:r>
      <w:r w:rsidRPr="00B94141">
        <w:t>136 countries.</w:t>
      </w:r>
      <w:r w:rsidR="007015FD" w:rsidRPr="00B94141">
        <w:t xml:space="preserve"> He</w:t>
      </w:r>
      <w:r w:rsidR="00937D36">
        <w:t> </w:t>
      </w:r>
      <w:r w:rsidR="007015FD" w:rsidRPr="00B94141">
        <w:t>recalled that TDAG had produced a table linking activities to regional initiatives.</w:t>
      </w:r>
    </w:p>
    <w:p w14:paraId="569AC77C" w14:textId="7C8493C8" w:rsidR="007823D8" w:rsidRPr="00B94141" w:rsidRDefault="00D12AC3" w:rsidP="00A73841">
      <w:pPr>
        <w:jc w:val="both"/>
      </w:pPr>
      <w:r w:rsidRPr="00B94141">
        <w:t>6.7</w:t>
      </w:r>
      <w:r w:rsidRPr="00B94141">
        <w:tab/>
      </w:r>
      <w:r w:rsidR="00660445" w:rsidRPr="00B94141">
        <w:t>He</w:t>
      </w:r>
      <w:r w:rsidR="007015FD" w:rsidRPr="00B94141">
        <w:t xml:space="preserve"> welcomed calls to strengthen the capacity of regional and area offices but noted financial constraints.</w:t>
      </w:r>
      <w:r w:rsidR="00660445" w:rsidRPr="00B94141">
        <w:t xml:space="preserve"> </w:t>
      </w:r>
      <w:r w:rsidR="007823D8" w:rsidRPr="00B94141">
        <w:t xml:space="preserve">The regional and area offices supported the work of all three Bureaux. </w:t>
      </w:r>
      <w:r w:rsidR="007015FD" w:rsidRPr="00B94141">
        <w:t>T</w:t>
      </w:r>
      <w:r w:rsidR="00660445" w:rsidRPr="00B94141">
        <w:t xml:space="preserve">he TSB regional presence in Africa and the Asia and </w:t>
      </w:r>
      <w:r w:rsidR="007015FD" w:rsidRPr="00B94141">
        <w:t xml:space="preserve">the </w:t>
      </w:r>
      <w:r w:rsidR="00660445" w:rsidRPr="00B94141">
        <w:t xml:space="preserve">Pacific regions was part of a pilot programme, involving </w:t>
      </w:r>
      <w:r w:rsidR="005D2E9C" w:rsidRPr="00B94141">
        <w:t xml:space="preserve">secondment of TSB staff and </w:t>
      </w:r>
      <w:r w:rsidR="00660445" w:rsidRPr="00B94141">
        <w:t>recruitment of local staff to support meetings and other events.</w:t>
      </w:r>
      <w:r w:rsidR="007015FD" w:rsidRPr="00B94141">
        <w:t xml:space="preserve"> It was anticipated to extend the programme to other regions.</w:t>
      </w:r>
      <w:r w:rsidR="00660445" w:rsidRPr="00B94141">
        <w:t xml:space="preserve"> The secondment programme was a low-cost innovation introduced by TSB, </w:t>
      </w:r>
      <w:r w:rsidR="007015FD" w:rsidRPr="00B94141">
        <w:t xml:space="preserve">which might also be considered by BR, </w:t>
      </w:r>
      <w:r w:rsidR="007823D8" w:rsidRPr="00B94141">
        <w:t>but there</w:t>
      </w:r>
      <w:r w:rsidR="00660445" w:rsidRPr="00B94141">
        <w:t xml:space="preserve"> was </w:t>
      </w:r>
      <w:r w:rsidR="007823D8" w:rsidRPr="00B94141">
        <w:t>limited</w:t>
      </w:r>
      <w:r w:rsidR="00660445" w:rsidRPr="00B94141">
        <w:t xml:space="preserve"> budget available. Experts and consultants were also </w:t>
      </w:r>
      <w:r w:rsidR="007823D8" w:rsidRPr="00B94141">
        <w:t xml:space="preserve">occasionally recruited </w:t>
      </w:r>
      <w:r w:rsidR="00660445" w:rsidRPr="00B94141">
        <w:t>to support regional offices.</w:t>
      </w:r>
      <w:r w:rsidR="007823D8" w:rsidRPr="00B94141">
        <w:t xml:space="preserve"> Information on</w:t>
      </w:r>
      <w:r w:rsidR="00660445" w:rsidRPr="00B94141">
        <w:t xml:space="preserve"> staffing </w:t>
      </w:r>
      <w:r w:rsidR="007823D8" w:rsidRPr="00B94141">
        <w:t>could be found in the</w:t>
      </w:r>
      <w:r w:rsidR="00660445" w:rsidRPr="00B94141">
        <w:t xml:space="preserve"> Human Resources Management Department document</w:t>
      </w:r>
      <w:r w:rsidR="00BE7DC7" w:rsidRPr="00B94141">
        <w:t xml:space="preserve"> (</w:t>
      </w:r>
      <w:hyperlink r:id="rId30" w:history="1">
        <w:r w:rsidR="00BE7DC7" w:rsidRPr="00B94141">
          <w:rPr>
            <w:rStyle w:val="Hyperlink"/>
          </w:rPr>
          <w:t>C25/66</w:t>
        </w:r>
      </w:hyperlink>
      <w:r w:rsidR="00BE7DC7" w:rsidRPr="00B94141">
        <w:t>)</w:t>
      </w:r>
      <w:r w:rsidR="00660445" w:rsidRPr="00B94141">
        <w:t xml:space="preserve"> </w:t>
      </w:r>
      <w:r w:rsidR="007823D8" w:rsidRPr="00B94141">
        <w:t>before the Council</w:t>
      </w:r>
      <w:r w:rsidR="00660445" w:rsidRPr="00B94141">
        <w:t>.</w:t>
      </w:r>
    </w:p>
    <w:p w14:paraId="65E395D2" w14:textId="52F4A7E1" w:rsidR="00660445" w:rsidRPr="00B94141" w:rsidRDefault="00D12AC3" w:rsidP="00A73841">
      <w:pPr>
        <w:jc w:val="both"/>
      </w:pPr>
      <w:r w:rsidRPr="00B94141">
        <w:t>6.8</w:t>
      </w:r>
      <w:r w:rsidRPr="00B94141">
        <w:tab/>
      </w:r>
      <w:r w:rsidR="00660445" w:rsidRPr="00B94141">
        <w:t xml:space="preserve">He </w:t>
      </w:r>
      <w:r w:rsidR="007823D8" w:rsidRPr="00B94141">
        <w:t xml:space="preserve">acknowledged the need </w:t>
      </w:r>
      <w:r w:rsidR="00093212" w:rsidRPr="00B94141">
        <w:t>for</w:t>
      </w:r>
      <w:r w:rsidR="00660445" w:rsidRPr="00B94141">
        <w:t xml:space="preserve"> risk</w:t>
      </w:r>
      <w:r w:rsidR="00093212" w:rsidRPr="00B94141">
        <w:t xml:space="preserve"> assessment</w:t>
      </w:r>
      <w:r w:rsidR="00660445" w:rsidRPr="00B94141">
        <w:t xml:space="preserve"> </w:t>
      </w:r>
      <w:r w:rsidR="007823D8" w:rsidRPr="00B94141">
        <w:t xml:space="preserve">in the operational plan </w:t>
      </w:r>
      <w:r w:rsidR="00660445" w:rsidRPr="00B94141">
        <w:t xml:space="preserve">and </w:t>
      </w:r>
      <w:r w:rsidR="007823D8" w:rsidRPr="00B94141">
        <w:t xml:space="preserve">would </w:t>
      </w:r>
      <w:r w:rsidR="00660445" w:rsidRPr="00B94141">
        <w:t>develop</w:t>
      </w:r>
      <w:r w:rsidR="007823D8" w:rsidRPr="00B94141">
        <w:t xml:space="preserve"> mitigation</w:t>
      </w:r>
      <w:r w:rsidR="00660445" w:rsidRPr="00B94141">
        <w:t xml:space="preserve"> measures with the help of the </w:t>
      </w:r>
      <w:r w:rsidR="005D2E9C" w:rsidRPr="00B94141">
        <w:t>m</w:t>
      </w:r>
      <w:r w:rsidR="00660445" w:rsidRPr="00B94141">
        <w:t xml:space="preserve">embership and </w:t>
      </w:r>
      <w:r w:rsidR="007823D8" w:rsidRPr="00B94141">
        <w:t xml:space="preserve">the </w:t>
      </w:r>
      <w:r w:rsidR="00660445" w:rsidRPr="00B94141">
        <w:t xml:space="preserve">advisory groups. </w:t>
      </w:r>
      <w:r w:rsidRPr="00B94141">
        <w:t xml:space="preserve">Project governance was also </w:t>
      </w:r>
      <w:r w:rsidR="00B94141" w:rsidRPr="00B94141">
        <w:t>important;</w:t>
      </w:r>
      <w:r w:rsidRPr="00B94141">
        <w:t xml:space="preserve"> thus gap analysis and post-</w:t>
      </w:r>
      <w:r w:rsidR="00D73BE7" w:rsidRPr="00B94141">
        <w:t>implementation</w:t>
      </w:r>
      <w:r w:rsidRPr="00B94141">
        <w:t xml:space="preserve"> assessments were carried out. Information in that regard could be made available. </w:t>
      </w:r>
      <w:r w:rsidR="00660445" w:rsidRPr="00B94141">
        <w:t xml:space="preserve">While certain issues were beyond the </w:t>
      </w:r>
      <w:r w:rsidRPr="00B94141">
        <w:t>secretariat</w:t>
      </w:r>
      <w:r w:rsidR="00E01D66" w:rsidRPr="00B94141">
        <w:t>'</w:t>
      </w:r>
      <w:r w:rsidRPr="00B94141">
        <w:t xml:space="preserve">s </w:t>
      </w:r>
      <w:r w:rsidR="00660445" w:rsidRPr="00B94141">
        <w:t xml:space="preserve">control, </w:t>
      </w:r>
      <w:r w:rsidRPr="00B94141">
        <w:t>it sought to be maximally efficient and effective</w:t>
      </w:r>
      <w:r w:rsidR="00D73BE7" w:rsidRPr="00B94141">
        <w:t xml:space="preserve">, including </w:t>
      </w:r>
      <w:r w:rsidR="00660445" w:rsidRPr="00B94141">
        <w:t xml:space="preserve">use of hybrid systems. </w:t>
      </w:r>
    </w:p>
    <w:bookmarkEnd w:id="10"/>
    <w:p w14:paraId="66F777C6" w14:textId="1D8FFDD9" w:rsidR="00660445" w:rsidRPr="00B94141" w:rsidRDefault="00660445" w:rsidP="00A73841">
      <w:pPr>
        <w:jc w:val="both"/>
      </w:pPr>
      <w:r w:rsidRPr="00B94141">
        <w:t>6.</w:t>
      </w:r>
      <w:r w:rsidR="00D12AC3" w:rsidRPr="00B94141">
        <w:t>9</w:t>
      </w:r>
      <w:r w:rsidRPr="00B94141">
        <w:tab/>
        <w:t>The Director of BR said that BR work</w:t>
      </w:r>
      <w:r w:rsidR="00D12AC3" w:rsidRPr="00B94141">
        <w:t xml:space="preserve">ed closely </w:t>
      </w:r>
      <w:r w:rsidRPr="00B94141">
        <w:t>with all regional offices</w:t>
      </w:r>
      <w:r w:rsidR="007F5B7C" w:rsidRPr="00B94141">
        <w:t>, through its staff at headquarters,</w:t>
      </w:r>
      <w:r w:rsidRPr="00B94141">
        <w:t xml:space="preserve"> to deliver </w:t>
      </w:r>
      <w:r w:rsidR="00D12AC3" w:rsidRPr="00B94141">
        <w:t xml:space="preserve">impact </w:t>
      </w:r>
      <w:r w:rsidRPr="00B94141">
        <w:t xml:space="preserve">on </w:t>
      </w:r>
      <w:r w:rsidR="00D12AC3" w:rsidRPr="00B94141">
        <w:t xml:space="preserve">radiocommunication </w:t>
      </w:r>
      <w:r w:rsidRPr="00B94141">
        <w:t>issues</w:t>
      </w:r>
      <w:r w:rsidR="00D12AC3" w:rsidRPr="00B94141">
        <w:t>,</w:t>
      </w:r>
      <w:r w:rsidRPr="00B94141">
        <w:t xml:space="preserve"> </w:t>
      </w:r>
      <w:r w:rsidR="007F5B7C" w:rsidRPr="00B94141">
        <w:t>such as through</w:t>
      </w:r>
      <w:r w:rsidRPr="00B94141">
        <w:t xml:space="preserve"> regional</w:t>
      </w:r>
      <w:r w:rsidR="007F5B7C" w:rsidRPr="00B94141">
        <w:t xml:space="preserve"> radiocommunication</w:t>
      </w:r>
      <w:r w:rsidRPr="00B94141">
        <w:t xml:space="preserve"> seminar</w:t>
      </w:r>
      <w:r w:rsidR="00955D43" w:rsidRPr="00B94141">
        <w:t>s</w:t>
      </w:r>
      <w:r w:rsidRPr="00B94141">
        <w:t xml:space="preserve"> and </w:t>
      </w:r>
      <w:r w:rsidR="007F5B7C" w:rsidRPr="00B94141">
        <w:t xml:space="preserve">other events, including </w:t>
      </w:r>
      <w:r w:rsidRPr="00B94141">
        <w:t xml:space="preserve">subregional </w:t>
      </w:r>
      <w:r w:rsidR="007F5B7C" w:rsidRPr="00B94141">
        <w:t>ones</w:t>
      </w:r>
      <w:r w:rsidRPr="00B94141">
        <w:t xml:space="preserve"> tailored to </w:t>
      </w:r>
      <w:r w:rsidR="00D12AC3" w:rsidRPr="00B94141">
        <w:t xml:space="preserve">specific </w:t>
      </w:r>
      <w:r w:rsidRPr="00B94141">
        <w:t>needs</w:t>
      </w:r>
      <w:r w:rsidR="00504212" w:rsidRPr="00B94141">
        <w:t>,</w:t>
      </w:r>
      <w:r w:rsidR="007F5B7C" w:rsidRPr="00B94141">
        <w:t xml:space="preserve"> and thematic workshops</w:t>
      </w:r>
      <w:r w:rsidR="00955D43" w:rsidRPr="00B94141">
        <w:t>, such as ones</w:t>
      </w:r>
      <w:r w:rsidR="007F5B7C" w:rsidRPr="00B94141">
        <w:t xml:space="preserve"> on frequency allocation tables</w:t>
      </w:r>
      <w:r w:rsidRPr="00B94141">
        <w:t xml:space="preserve">. </w:t>
      </w:r>
      <w:r w:rsidR="00093212" w:rsidRPr="00B94141">
        <w:t xml:space="preserve">Budget permitting, </w:t>
      </w:r>
      <w:r w:rsidRPr="00B94141">
        <w:t>BR was open to increasing its regional presence</w:t>
      </w:r>
      <w:r w:rsidR="007F5B7C" w:rsidRPr="00B94141">
        <w:t>,</w:t>
      </w:r>
      <w:r w:rsidRPr="00B94141">
        <w:t xml:space="preserve"> if the</w:t>
      </w:r>
      <w:r w:rsidR="007F5B7C" w:rsidRPr="00B94141">
        <w:t xml:space="preserve"> TSB</w:t>
      </w:r>
      <w:r w:rsidRPr="00B94141">
        <w:t xml:space="preserve"> secondment </w:t>
      </w:r>
      <w:r w:rsidR="007F5B7C" w:rsidRPr="00B94141">
        <w:t xml:space="preserve">and local recruitment initiative </w:t>
      </w:r>
      <w:r w:rsidRPr="00B94141">
        <w:t>proved successful.</w:t>
      </w:r>
    </w:p>
    <w:p w14:paraId="3EBAC2A4" w14:textId="600F7E52" w:rsidR="00660445" w:rsidRPr="00B94141" w:rsidRDefault="00660445" w:rsidP="00A73841">
      <w:pPr>
        <w:jc w:val="both"/>
      </w:pPr>
      <w:r w:rsidRPr="00B94141">
        <w:t>6.1</w:t>
      </w:r>
      <w:r w:rsidR="003C3960" w:rsidRPr="00B94141">
        <w:t>0</w:t>
      </w:r>
      <w:r w:rsidRPr="00B94141">
        <w:tab/>
        <w:t xml:space="preserve">The Director of TSB said that the secondment of TSB staff to regional offices had yielded positive results to date. </w:t>
      </w:r>
      <w:r w:rsidR="00D12AC3" w:rsidRPr="00B94141">
        <w:t>It was planned</w:t>
      </w:r>
      <w:r w:rsidRPr="00B94141">
        <w:t xml:space="preserve"> to continue th</w:t>
      </w:r>
      <w:r w:rsidR="00D12AC3" w:rsidRPr="00B94141">
        <w:t>e</w:t>
      </w:r>
      <w:r w:rsidRPr="00B94141">
        <w:t xml:space="preserve"> initiative.</w:t>
      </w:r>
    </w:p>
    <w:p w14:paraId="1DC9F402" w14:textId="39A389D1" w:rsidR="00660445" w:rsidRPr="00F0029F" w:rsidRDefault="00660445" w:rsidP="00A73841">
      <w:pPr>
        <w:jc w:val="both"/>
        <w:rPr>
          <w:spacing w:val="-2"/>
        </w:rPr>
      </w:pPr>
      <w:r w:rsidRPr="00F0029F">
        <w:rPr>
          <w:spacing w:val="-2"/>
        </w:rPr>
        <w:lastRenderedPageBreak/>
        <w:t>6.</w:t>
      </w:r>
      <w:r w:rsidR="003C3960" w:rsidRPr="00F0029F">
        <w:rPr>
          <w:spacing w:val="-2"/>
        </w:rPr>
        <w:t>1</w:t>
      </w:r>
      <w:r w:rsidRPr="00F0029F">
        <w:rPr>
          <w:spacing w:val="-2"/>
        </w:rPr>
        <w:t>1</w:t>
      </w:r>
      <w:r w:rsidRPr="00F0029F">
        <w:rPr>
          <w:spacing w:val="-2"/>
        </w:rPr>
        <w:tab/>
        <w:t xml:space="preserve">The Deputy </w:t>
      </w:r>
      <w:r w:rsidR="007F5B7C" w:rsidRPr="00F0029F">
        <w:rPr>
          <w:spacing w:val="-2"/>
        </w:rPr>
        <w:t xml:space="preserve">to the </w:t>
      </w:r>
      <w:r w:rsidRPr="00F0029F">
        <w:rPr>
          <w:spacing w:val="-2"/>
        </w:rPr>
        <w:t xml:space="preserve">Director of TSB said that the pilot initiative </w:t>
      </w:r>
      <w:r w:rsidR="00D73BE7" w:rsidRPr="00F0029F">
        <w:rPr>
          <w:spacing w:val="-2"/>
        </w:rPr>
        <w:t xml:space="preserve">involved </w:t>
      </w:r>
      <w:r w:rsidRPr="00F0029F">
        <w:rPr>
          <w:spacing w:val="-2"/>
        </w:rPr>
        <w:t xml:space="preserve">general </w:t>
      </w:r>
      <w:r w:rsidR="007F5B7C" w:rsidRPr="00F0029F">
        <w:rPr>
          <w:spacing w:val="-2"/>
        </w:rPr>
        <w:t xml:space="preserve">service </w:t>
      </w:r>
      <w:r w:rsidRPr="00F0029F">
        <w:rPr>
          <w:spacing w:val="-2"/>
        </w:rPr>
        <w:t xml:space="preserve">staff being </w:t>
      </w:r>
      <w:r w:rsidR="007F5B7C" w:rsidRPr="00F0029F">
        <w:rPr>
          <w:spacing w:val="-2"/>
        </w:rPr>
        <w:t xml:space="preserve">recruited locally </w:t>
      </w:r>
      <w:r w:rsidRPr="00F0029F">
        <w:rPr>
          <w:spacing w:val="-2"/>
        </w:rPr>
        <w:t>to provide support to regional and area offices</w:t>
      </w:r>
      <w:r w:rsidR="00D73BE7" w:rsidRPr="00F0029F">
        <w:rPr>
          <w:spacing w:val="-2"/>
        </w:rPr>
        <w:t>, mainly</w:t>
      </w:r>
      <w:r w:rsidR="007F5B7C" w:rsidRPr="00F0029F">
        <w:rPr>
          <w:spacing w:val="-2"/>
        </w:rPr>
        <w:t xml:space="preserve"> for meetings and events. It </w:t>
      </w:r>
      <w:r w:rsidR="00093212" w:rsidRPr="00F0029F">
        <w:rPr>
          <w:spacing w:val="-2"/>
        </w:rPr>
        <w:t xml:space="preserve">had </w:t>
      </w:r>
      <w:r w:rsidR="007F5B7C" w:rsidRPr="00F0029F">
        <w:rPr>
          <w:spacing w:val="-2"/>
        </w:rPr>
        <w:t xml:space="preserve">proved </w:t>
      </w:r>
      <w:r w:rsidR="00D73BE7" w:rsidRPr="00F0029F">
        <w:rPr>
          <w:spacing w:val="-2"/>
        </w:rPr>
        <w:t xml:space="preserve">particularly useful during </w:t>
      </w:r>
      <w:r w:rsidR="00E0064B" w:rsidRPr="00F0029F">
        <w:rPr>
          <w:spacing w:val="-2"/>
        </w:rPr>
        <w:t>the 2024 World Telecommunication Standardization Assembly</w:t>
      </w:r>
      <w:r w:rsidR="00D73BE7" w:rsidRPr="00F0029F">
        <w:rPr>
          <w:spacing w:val="-2"/>
        </w:rPr>
        <w:t xml:space="preserve"> and continued to </w:t>
      </w:r>
      <w:r w:rsidR="00093212" w:rsidRPr="00F0029F">
        <w:rPr>
          <w:spacing w:val="-2"/>
        </w:rPr>
        <w:t>generate</w:t>
      </w:r>
      <w:r w:rsidR="00D73BE7" w:rsidRPr="00F0029F">
        <w:rPr>
          <w:spacing w:val="-2"/>
        </w:rPr>
        <w:t xml:space="preserve"> benefit</w:t>
      </w:r>
      <w:r w:rsidR="00093212" w:rsidRPr="00F0029F">
        <w:rPr>
          <w:spacing w:val="-2"/>
        </w:rPr>
        <w:t>s</w:t>
      </w:r>
      <w:r w:rsidRPr="00F0029F">
        <w:rPr>
          <w:spacing w:val="-2"/>
        </w:rPr>
        <w:t>. When selecting regional offices</w:t>
      </w:r>
      <w:r w:rsidR="00D73BE7" w:rsidRPr="00F0029F">
        <w:rPr>
          <w:spacing w:val="-2"/>
        </w:rPr>
        <w:t xml:space="preserve"> for additional resources</w:t>
      </w:r>
      <w:r w:rsidRPr="00F0029F">
        <w:rPr>
          <w:spacing w:val="-2"/>
        </w:rPr>
        <w:t>, time zones were taken into account</w:t>
      </w:r>
      <w:r w:rsidR="00D73BE7" w:rsidRPr="00F0029F">
        <w:rPr>
          <w:spacing w:val="-2"/>
        </w:rPr>
        <w:t xml:space="preserve"> to maximize impact</w:t>
      </w:r>
      <w:r w:rsidRPr="00F0029F">
        <w:rPr>
          <w:spacing w:val="-2"/>
        </w:rPr>
        <w:t>. Professional category staff in Addis Ab</w:t>
      </w:r>
      <w:r w:rsidR="00D73BE7" w:rsidRPr="00F0029F">
        <w:rPr>
          <w:spacing w:val="-2"/>
        </w:rPr>
        <w:t>a</w:t>
      </w:r>
      <w:r w:rsidRPr="00F0029F">
        <w:rPr>
          <w:spacing w:val="-2"/>
        </w:rPr>
        <w:t>ba specifically focused on providing support for bridging the standardization gap</w:t>
      </w:r>
      <w:r w:rsidR="00D73BE7" w:rsidRPr="00F0029F">
        <w:rPr>
          <w:spacing w:val="-2"/>
        </w:rPr>
        <w:t>, with</w:t>
      </w:r>
      <w:r w:rsidRPr="00F0029F">
        <w:rPr>
          <w:spacing w:val="-2"/>
        </w:rPr>
        <w:t xml:space="preserve"> </w:t>
      </w:r>
      <w:r w:rsidR="00D73BE7" w:rsidRPr="00F0029F">
        <w:rPr>
          <w:spacing w:val="-2"/>
        </w:rPr>
        <w:t>f</w:t>
      </w:r>
      <w:r w:rsidRPr="00F0029F">
        <w:rPr>
          <w:spacing w:val="-2"/>
        </w:rPr>
        <w:t>inancial inclusion initiatives in high demand in Africa</w:t>
      </w:r>
      <w:r w:rsidR="00D73BE7" w:rsidRPr="00F0029F">
        <w:rPr>
          <w:spacing w:val="-2"/>
        </w:rPr>
        <w:t>.</w:t>
      </w:r>
      <w:r w:rsidRPr="00F0029F">
        <w:rPr>
          <w:spacing w:val="-2"/>
        </w:rPr>
        <w:t xml:space="preserve"> </w:t>
      </w:r>
      <w:r w:rsidR="00D73BE7" w:rsidRPr="00F0029F">
        <w:rPr>
          <w:spacing w:val="-2"/>
        </w:rPr>
        <w:t xml:space="preserve">They </w:t>
      </w:r>
      <w:r w:rsidRPr="00F0029F">
        <w:rPr>
          <w:spacing w:val="-2"/>
        </w:rPr>
        <w:t xml:space="preserve">were </w:t>
      </w:r>
      <w:r w:rsidR="00D73BE7" w:rsidRPr="00F0029F">
        <w:rPr>
          <w:spacing w:val="-2"/>
        </w:rPr>
        <w:t xml:space="preserve">providing </w:t>
      </w:r>
      <w:r w:rsidRPr="00F0029F">
        <w:rPr>
          <w:spacing w:val="-2"/>
        </w:rPr>
        <w:t xml:space="preserve">support </w:t>
      </w:r>
      <w:r w:rsidR="00D73BE7" w:rsidRPr="00F0029F">
        <w:rPr>
          <w:spacing w:val="-2"/>
        </w:rPr>
        <w:t xml:space="preserve">for </w:t>
      </w:r>
      <w:r w:rsidRPr="00F0029F">
        <w:rPr>
          <w:spacing w:val="-2"/>
        </w:rPr>
        <w:t>the Digital Financial Services Security Lab and implementation of Financial Inclusion Global Initiative</w:t>
      </w:r>
      <w:r w:rsidR="00D73BE7" w:rsidRPr="00F0029F">
        <w:rPr>
          <w:spacing w:val="-2"/>
        </w:rPr>
        <w:t xml:space="preserve"> outcomes</w:t>
      </w:r>
      <w:r w:rsidRPr="00F0029F">
        <w:rPr>
          <w:spacing w:val="-2"/>
        </w:rPr>
        <w:t xml:space="preserve"> and other standards</w:t>
      </w:r>
      <w:r w:rsidR="00D73BE7" w:rsidRPr="00F0029F">
        <w:rPr>
          <w:spacing w:val="-2"/>
        </w:rPr>
        <w:t xml:space="preserve"> and recommendations</w:t>
      </w:r>
      <w:r w:rsidRPr="00F0029F">
        <w:rPr>
          <w:spacing w:val="-2"/>
        </w:rPr>
        <w:t>.</w:t>
      </w:r>
    </w:p>
    <w:p w14:paraId="67A2AFD0" w14:textId="7DBD7E29" w:rsidR="00660445" w:rsidRPr="00B94141" w:rsidRDefault="00660445" w:rsidP="00A73841">
      <w:pPr>
        <w:jc w:val="both"/>
      </w:pPr>
      <w:r w:rsidRPr="00B94141">
        <w:t>6.1</w:t>
      </w:r>
      <w:r w:rsidR="003C3960" w:rsidRPr="00B94141">
        <w:t>2</w:t>
      </w:r>
      <w:r w:rsidRPr="00B94141">
        <w:tab/>
        <w:t xml:space="preserve">The Council </w:t>
      </w:r>
      <w:r w:rsidRPr="00B94141">
        <w:rPr>
          <w:b/>
          <w:bCs/>
        </w:rPr>
        <w:t>noted</w:t>
      </w:r>
      <w:r w:rsidRPr="00B94141">
        <w:t xml:space="preserve"> the report contained in </w:t>
      </w:r>
      <w:r w:rsidR="00C34972" w:rsidRPr="00B94141">
        <w:t>Document</w:t>
      </w:r>
      <w:r w:rsidR="00504212" w:rsidRPr="00B94141">
        <w:t> </w:t>
      </w:r>
      <w:r w:rsidRPr="00B94141">
        <w:t>C25/25</w:t>
      </w:r>
      <w:r w:rsidR="00D92689" w:rsidRPr="00B94141">
        <w:t>(Rev.1)</w:t>
      </w:r>
      <w:r w:rsidRPr="00B94141">
        <w:t>.</w:t>
      </w:r>
    </w:p>
    <w:p w14:paraId="5ABABD84" w14:textId="4EAAEB05" w:rsidR="00390154" w:rsidRPr="00B94141" w:rsidRDefault="00390154" w:rsidP="00074FA0">
      <w:pPr>
        <w:tabs>
          <w:tab w:val="clear" w:pos="567"/>
          <w:tab w:val="clear" w:pos="1134"/>
          <w:tab w:val="clear" w:pos="1701"/>
          <w:tab w:val="clear" w:pos="2268"/>
          <w:tab w:val="clear" w:pos="2835"/>
          <w:tab w:val="left" w:pos="6237"/>
        </w:tabs>
        <w:spacing w:before="840"/>
        <w:jc w:val="both"/>
        <w:rPr>
          <w:szCs w:val="24"/>
        </w:rPr>
      </w:pPr>
      <w:r w:rsidRPr="00B94141">
        <w:rPr>
          <w:szCs w:val="24"/>
        </w:rPr>
        <w:t>The Secretary-General</w:t>
      </w:r>
      <w:r w:rsidR="00EA358F" w:rsidRPr="00B94141">
        <w:rPr>
          <w:szCs w:val="24"/>
        </w:rPr>
        <w:t>:</w:t>
      </w:r>
      <w:r w:rsidRPr="00B94141">
        <w:rPr>
          <w:szCs w:val="24"/>
        </w:rPr>
        <w:tab/>
        <w:t>The Chair:</w:t>
      </w:r>
    </w:p>
    <w:p w14:paraId="49055415" w14:textId="27471C2D" w:rsidR="00390154" w:rsidRDefault="00390154" w:rsidP="00390154">
      <w:pPr>
        <w:tabs>
          <w:tab w:val="clear" w:pos="567"/>
          <w:tab w:val="clear" w:pos="1134"/>
          <w:tab w:val="clear" w:pos="1701"/>
          <w:tab w:val="clear" w:pos="2268"/>
          <w:tab w:val="clear" w:pos="2835"/>
          <w:tab w:val="left" w:pos="6237"/>
        </w:tabs>
        <w:spacing w:before="0" w:after="120"/>
        <w:jc w:val="both"/>
        <w:rPr>
          <w:szCs w:val="24"/>
        </w:rPr>
      </w:pPr>
      <w:r w:rsidRPr="00B94141">
        <w:rPr>
          <w:szCs w:val="24"/>
        </w:rPr>
        <w:t>D. BOGDAN-MARTIN</w:t>
      </w:r>
      <w:r w:rsidRPr="00B94141">
        <w:rPr>
          <w:szCs w:val="24"/>
        </w:rPr>
        <w:tab/>
      </w:r>
      <w:r w:rsidR="00FD7127" w:rsidRPr="00B94141">
        <w:rPr>
          <w:szCs w:val="24"/>
        </w:rPr>
        <w:t>C. FLUTUR</w:t>
      </w:r>
    </w:p>
    <w:p w14:paraId="16B1BF92" w14:textId="2B558B42" w:rsidR="00711DF0" w:rsidRPr="00C42F66" w:rsidRDefault="00C42F66" w:rsidP="00C42F66">
      <w:pPr>
        <w:spacing w:before="720"/>
        <w:jc w:val="center"/>
      </w:pPr>
      <w:r>
        <w:t>______________</w:t>
      </w:r>
    </w:p>
    <w:sectPr w:rsidR="00711DF0" w:rsidRPr="00C42F66" w:rsidSect="00AF00D0">
      <w:headerReference w:type="even" r:id="rId31"/>
      <w:headerReference w:type="default" r:id="rId32"/>
      <w:footerReference w:type="even" r:id="rId33"/>
      <w:footerReference w:type="default" r:id="rId34"/>
      <w:headerReference w:type="first" r:id="rId35"/>
      <w:footerReference w:type="first" r:id="rId36"/>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B500" w14:textId="77777777" w:rsidR="003C1AAC" w:rsidRDefault="003C1AAC">
      <w:r>
        <w:separator/>
      </w:r>
    </w:p>
  </w:endnote>
  <w:endnote w:type="continuationSeparator" w:id="0">
    <w:p w14:paraId="7F196FD2" w14:textId="77777777" w:rsidR="003C1AAC" w:rsidRDefault="003C1AAC">
      <w:r>
        <w:continuationSeparator/>
      </w:r>
    </w:p>
  </w:endnote>
  <w:endnote w:type="continuationNotice" w:id="1">
    <w:p w14:paraId="74EEAA84" w14:textId="77777777" w:rsidR="003C1AAC" w:rsidRDefault="003C1A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28CE" w14:textId="77777777" w:rsidR="00937D36" w:rsidRDefault="00937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F00D0" w:rsidRPr="000C7AD9" w14:paraId="50AFB848" w14:textId="77777777" w:rsidTr="000E09E2">
      <w:trPr>
        <w:jc w:val="center"/>
      </w:trPr>
      <w:tc>
        <w:tcPr>
          <w:tcW w:w="1803" w:type="dxa"/>
          <w:vAlign w:val="center"/>
        </w:tcPr>
        <w:p w14:paraId="6EC76EBA" w14:textId="77777777" w:rsidR="00AF00D0" w:rsidRPr="00AF00D0" w:rsidRDefault="00AF00D0" w:rsidP="00AF00D0">
          <w:pPr>
            <w:pStyle w:val="Footer"/>
            <w:rPr>
              <w:rFonts w:eastAsia="Times New Roman" w:cs="Times New Roman"/>
              <w:szCs w:val="20"/>
            </w:rPr>
          </w:pPr>
        </w:p>
      </w:tc>
      <w:tc>
        <w:tcPr>
          <w:tcW w:w="8261" w:type="dxa"/>
        </w:tcPr>
        <w:p w14:paraId="73EFC6EF" w14:textId="781380F3" w:rsidR="00AF00D0" w:rsidRPr="000C7AD9" w:rsidRDefault="00AF00D0" w:rsidP="00937D36">
          <w:pPr>
            <w:pStyle w:val="Footer"/>
            <w:tabs>
              <w:tab w:val="clear" w:pos="5954"/>
              <w:tab w:val="left" w:pos="6742"/>
            </w:tabs>
            <w:rPr>
              <w:rFonts w:eastAsia="Times New Roman" w:cs="Times New Roman"/>
              <w:b/>
              <w:bCs/>
              <w:sz w:val="18"/>
              <w:szCs w:val="18"/>
            </w:rPr>
          </w:pPr>
          <w:r w:rsidRPr="000C7AD9">
            <w:rPr>
              <w:rFonts w:eastAsia="Times New Roman" w:cs="Times New Roman"/>
              <w:bCs/>
              <w:sz w:val="18"/>
              <w:szCs w:val="18"/>
            </w:rPr>
            <w:tab/>
            <w:t>C2</w:t>
          </w:r>
          <w:r w:rsidR="00AE67FC" w:rsidRPr="000C7AD9">
            <w:rPr>
              <w:rFonts w:eastAsia="Times New Roman" w:cs="Times New Roman"/>
              <w:bCs/>
              <w:sz w:val="18"/>
              <w:szCs w:val="18"/>
            </w:rPr>
            <w:t>5</w:t>
          </w:r>
          <w:r w:rsidRPr="000C7AD9">
            <w:rPr>
              <w:rFonts w:eastAsia="Times New Roman" w:cs="Times New Roman"/>
              <w:bCs/>
              <w:sz w:val="18"/>
              <w:szCs w:val="18"/>
            </w:rPr>
            <w:t>/</w:t>
          </w:r>
          <w:r w:rsidR="00711DF0">
            <w:rPr>
              <w:rFonts w:eastAsia="Times New Roman" w:cs="Times New Roman"/>
              <w:bCs/>
              <w:sz w:val="18"/>
              <w:szCs w:val="18"/>
            </w:rPr>
            <w:t>110</w:t>
          </w:r>
          <w:r w:rsidRPr="000C7AD9">
            <w:rPr>
              <w:rFonts w:eastAsia="Times New Roman" w:cs="Times New Roman"/>
              <w:bCs/>
              <w:sz w:val="18"/>
              <w:szCs w:val="18"/>
            </w:rPr>
            <w:t>-E</w:t>
          </w:r>
          <w:r w:rsidRPr="000C7AD9">
            <w:rPr>
              <w:rFonts w:eastAsia="Times New Roman" w:cs="Times New Roman"/>
              <w:bCs/>
              <w:sz w:val="18"/>
              <w:szCs w:val="18"/>
            </w:rPr>
            <w:tab/>
          </w:r>
          <w:r w:rsidRPr="000C7AD9">
            <w:rPr>
              <w:sz w:val="18"/>
              <w:szCs w:val="18"/>
            </w:rPr>
            <w:fldChar w:fldCharType="begin"/>
          </w:r>
          <w:r w:rsidRPr="000C7AD9">
            <w:rPr>
              <w:rFonts w:eastAsia="Times New Roman" w:cs="Times New Roman"/>
              <w:sz w:val="18"/>
              <w:szCs w:val="18"/>
            </w:rPr>
            <w:instrText>PAGE</w:instrText>
          </w:r>
          <w:r w:rsidRPr="000C7AD9">
            <w:rPr>
              <w:sz w:val="18"/>
              <w:szCs w:val="18"/>
            </w:rPr>
            <w:fldChar w:fldCharType="separate"/>
          </w:r>
          <w:r w:rsidRPr="000C7AD9">
            <w:rPr>
              <w:rFonts w:eastAsia="Times New Roman" w:cs="Times New Roman"/>
              <w:sz w:val="18"/>
              <w:szCs w:val="18"/>
            </w:rPr>
            <w:t>1</w:t>
          </w:r>
          <w:r w:rsidRPr="000C7AD9">
            <w:rPr>
              <w:sz w:val="18"/>
              <w:szCs w:val="18"/>
            </w:rPr>
            <w:fldChar w:fldCharType="end"/>
          </w:r>
        </w:p>
      </w:tc>
    </w:tr>
  </w:tbl>
  <w:p w14:paraId="518C160F" w14:textId="77777777" w:rsidR="00AF00D0" w:rsidRPr="00AF00D0" w:rsidRDefault="00AF00D0" w:rsidP="00AF0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79"/>
    </w:tblGrid>
    <w:tr w:rsidR="003A3BDC" w:rsidRPr="00784011" w14:paraId="41A75AFB" w14:textId="77777777" w:rsidTr="000C76A9">
      <w:trPr>
        <w:jc w:val="center"/>
      </w:trPr>
      <w:tc>
        <w:tcPr>
          <w:tcW w:w="1985" w:type="dxa"/>
          <w:vAlign w:val="center"/>
        </w:tcPr>
        <w:p w14:paraId="018CF727" w14:textId="6F31118D" w:rsidR="003A3BDC" w:rsidRDefault="000C76A9" w:rsidP="003A3BDC">
          <w:pPr>
            <w:pStyle w:val="Header"/>
            <w:jc w:val="left"/>
            <w:rPr>
              <w:noProof/>
            </w:rPr>
          </w:pPr>
          <w:hyperlink r:id="rId1" w:history="1">
            <w:r w:rsidRPr="000C76A9">
              <w:rPr>
                <w:rStyle w:val="Hyperlink"/>
              </w:rPr>
              <w:t>council.itu.int/2025</w:t>
            </w:r>
          </w:hyperlink>
        </w:p>
      </w:tc>
      <w:tc>
        <w:tcPr>
          <w:tcW w:w="8079" w:type="dxa"/>
        </w:tcPr>
        <w:p w14:paraId="17F23351" w14:textId="59828768" w:rsidR="003A3BDC" w:rsidRPr="000C7AD9" w:rsidRDefault="003A3BDC" w:rsidP="00711DF0">
          <w:pPr>
            <w:pStyle w:val="Header"/>
            <w:tabs>
              <w:tab w:val="left" w:pos="6415"/>
              <w:tab w:val="right" w:pos="8505"/>
              <w:tab w:val="right" w:pos="9639"/>
            </w:tabs>
            <w:jc w:val="left"/>
            <w:rPr>
              <w:rFonts w:ascii="Arial" w:hAnsi="Arial" w:cs="Arial"/>
              <w:b/>
              <w:bCs/>
              <w:szCs w:val="18"/>
            </w:rPr>
          </w:pPr>
          <w:r w:rsidRPr="000C7AD9">
            <w:rPr>
              <w:bCs/>
              <w:szCs w:val="18"/>
            </w:rPr>
            <w:tab/>
            <w:t>C2</w:t>
          </w:r>
          <w:r w:rsidR="000C76A9" w:rsidRPr="000C7AD9">
            <w:rPr>
              <w:bCs/>
              <w:szCs w:val="18"/>
            </w:rPr>
            <w:t>5</w:t>
          </w:r>
          <w:r w:rsidRPr="000C7AD9">
            <w:rPr>
              <w:bCs/>
              <w:szCs w:val="18"/>
            </w:rPr>
            <w:t>/</w:t>
          </w:r>
          <w:r w:rsidR="00711DF0">
            <w:rPr>
              <w:bCs/>
              <w:szCs w:val="18"/>
            </w:rPr>
            <w:t>110</w:t>
          </w:r>
          <w:r w:rsidRPr="000C7AD9">
            <w:rPr>
              <w:bCs/>
              <w:szCs w:val="18"/>
            </w:rPr>
            <w:t>-E</w:t>
          </w:r>
          <w:r w:rsidRPr="000C7AD9">
            <w:rPr>
              <w:bCs/>
              <w:szCs w:val="18"/>
            </w:rPr>
            <w:tab/>
          </w:r>
          <w:r w:rsidRPr="000C7AD9">
            <w:rPr>
              <w:szCs w:val="18"/>
            </w:rPr>
            <w:fldChar w:fldCharType="begin"/>
          </w:r>
          <w:r w:rsidRPr="000C7AD9">
            <w:rPr>
              <w:szCs w:val="18"/>
            </w:rPr>
            <w:instrText>PAGE</w:instrText>
          </w:r>
          <w:r w:rsidRPr="000C7AD9">
            <w:rPr>
              <w:szCs w:val="18"/>
            </w:rPr>
            <w:fldChar w:fldCharType="separate"/>
          </w:r>
          <w:r w:rsidRPr="000C7AD9">
            <w:rPr>
              <w:szCs w:val="18"/>
            </w:rPr>
            <w:t>1</w:t>
          </w:r>
          <w:r w:rsidRPr="000C7AD9">
            <w:rPr>
              <w:noProof/>
              <w:szCs w:val="18"/>
            </w:rPr>
            <w:fldChar w:fldCharType="end"/>
          </w:r>
        </w:p>
      </w:tc>
    </w:tr>
  </w:tbl>
  <w:p w14:paraId="4E1884F8" w14:textId="77777777" w:rsidR="00EA1D83" w:rsidRPr="003A3BDC" w:rsidRDefault="00EA1D83" w:rsidP="003A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8535" w14:textId="77777777" w:rsidR="003C1AAC" w:rsidRDefault="003C1AAC">
      <w:r>
        <w:t>____________________</w:t>
      </w:r>
    </w:p>
  </w:footnote>
  <w:footnote w:type="continuationSeparator" w:id="0">
    <w:p w14:paraId="75AA41A0" w14:textId="77777777" w:rsidR="003C1AAC" w:rsidRDefault="003C1AAC">
      <w:r>
        <w:continuationSeparator/>
      </w:r>
    </w:p>
  </w:footnote>
  <w:footnote w:type="continuationNotice" w:id="1">
    <w:p w14:paraId="06967721" w14:textId="77777777" w:rsidR="003C1AAC" w:rsidRDefault="003C1AA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6672" w14:textId="77777777" w:rsidR="00937D36" w:rsidRDefault="00937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13A6" w14:textId="77777777" w:rsidR="00937D36" w:rsidRDefault="00937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905336" w:rsidRPr="00784011" w14:paraId="439FF91B" w14:textId="77777777" w:rsidTr="000E09E2">
      <w:trPr>
        <w:trHeight w:val="1104"/>
        <w:jc w:val="center"/>
      </w:trPr>
      <w:tc>
        <w:tcPr>
          <w:tcW w:w="4390" w:type="dxa"/>
          <w:vAlign w:val="center"/>
        </w:tcPr>
        <w:p w14:paraId="688532F9" w14:textId="7EE325E6" w:rsidR="00905336" w:rsidRPr="009621F8" w:rsidRDefault="000C76A9" w:rsidP="00905336">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6B31D1AD" wp14:editId="7145D4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59017ABC" w14:textId="77777777" w:rsidR="00905336" w:rsidRDefault="00905336" w:rsidP="00905336">
          <w:pPr>
            <w:pStyle w:val="Header"/>
            <w:jc w:val="right"/>
            <w:rPr>
              <w:rFonts w:ascii="Arial" w:hAnsi="Arial" w:cs="Arial"/>
              <w:b/>
              <w:bCs/>
              <w:color w:val="009CD6"/>
              <w:szCs w:val="18"/>
            </w:rPr>
          </w:pPr>
        </w:p>
        <w:p w14:paraId="28CE56F0" w14:textId="77777777" w:rsidR="00905336" w:rsidRDefault="00905336" w:rsidP="00905336">
          <w:pPr>
            <w:pStyle w:val="Header"/>
            <w:jc w:val="right"/>
            <w:rPr>
              <w:rFonts w:ascii="Arial" w:hAnsi="Arial" w:cs="Arial"/>
              <w:b/>
              <w:bCs/>
              <w:color w:val="009CD6"/>
              <w:szCs w:val="18"/>
            </w:rPr>
          </w:pPr>
        </w:p>
        <w:p w14:paraId="0EEA0A76" w14:textId="77777777" w:rsidR="00905336" w:rsidRPr="00784011" w:rsidRDefault="00905336" w:rsidP="0090533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7B71BF44" w14:textId="03F66972" w:rsidR="00EA1D83" w:rsidRDefault="00197DD2">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BA838C0" wp14:editId="6920FF90">
              <wp:simplePos x="0" y="0"/>
              <wp:positionH relativeFrom="page">
                <wp:posOffset>24130</wp:posOffset>
              </wp:positionH>
              <wp:positionV relativeFrom="topMargin">
                <wp:posOffset>652780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9024E" id="Rectangle 5" o:spid="_x0000_s1026" style="position:absolute;margin-left:1.9pt;margin-top:51.4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351884950">
    <w:abstractNumId w:val="2"/>
  </w:num>
  <w:num w:numId="3" w16cid:durableId="1210730298">
    <w:abstractNumId w:val="1"/>
  </w:num>
  <w:num w:numId="4" w16cid:durableId="942224820">
    <w:abstractNumId w:val="13"/>
  </w:num>
  <w:num w:numId="5" w16cid:durableId="1478301495">
    <w:abstractNumId w:val="6"/>
  </w:num>
  <w:num w:numId="6" w16cid:durableId="2045328376">
    <w:abstractNumId w:val="7"/>
  </w:num>
  <w:num w:numId="7" w16cid:durableId="650913780">
    <w:abstractNumId w:val="12"/>
  </w:num>
  <w:num w:numId="8" w16cid:durableId="1079475666">
    <w:abstractNumId w:val="5"/>
  </w:num>
  <w:num w:numId="9" w16cid:durableId="108011777">
    <w:abstractNumId w:val="10"/>
  </w:num>
  <w:num w:numId="10" w16cid:durableId="449980474">
    <w:abstractNumId w:val="14"/>
  </w:num>
  <w:num w:numId="11" w16cid:durableId="768937311">
    <w:abstractNumId w:val="3"/>
  </w:num>
  <w:num w:numId="12" w16cid:durableId="422576947">
    <w:abstractNumId w:val="8"/>
  </w:num>
  <w:num w:numId="13" w16cid:durableId="1855724044">
    <w:abstractNumId w:val="11"/>
  </w:num>
  <w:num w:numId="14" w16cid:durableId="752051971">
    <w:abstractNumId w:val="4"/>
  </w:num>
  <w:num w:numId="15" w16cid:durableId="2034186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4B87"/>
    <w:rsid w:val="000210D4"/>
    <w:rsid w:val="00041C0F"/>
    <w:rsid w:val="0004698E"/>
    <w:rsid w:val="00047E35"/>
    <w:rsid w:val="00063016"/>
    <w:rsid w:val="00066795"/>
    <w:rsid w:val="00074BA0"/>
    <w:rsid w:val="00074FA0"/>
    <w:rsid w:val="00076AF6"/>
    <w:rsid w:val="000853F3"/>
    <w:rsid w:val="00085CF2"/>
    <w:rsid w:val="00093212"/>
    <w:rsid w:val="00093A91"/>
    <w:rsid w:val="00094460"/>
    <w:rsid w:val="000A7BB9"/>
    <w:rsid w:val="000A7E2C"/>
    <w:rsid w:val="000B1705"/>
    <w:rsid w:val="000B2D1B"/>
    <w:rsid w:val="000C76A9"/>
    <w:rsid w:val="000C7AD9"/>
    <w:rsid w:val="000D75B2"/>
    <w:rsid w:val="0010202B"/>
    <w:rsid w:val="001121F5"/>
    <w:rsid w:val="0012078E"/>
    <w:rsid w:val="0013114B"/>
    <w:rsid w:val="001400DC"/>
    <w:rsid w:val="00140CE1"/>
    <w:rsid w:val="00153171"/>
    <w:rsid w:val="0015770D"/>
    <w:rsid w:val="00170C41"/>
    <w:rsid w:val="001722A2"/>
    <w:rsid w:val="0017539C"/>
    <w:rsid w:val="00175AC2"/>
    <w:rsid w:val="0017609F"/>
    <w:rsid w:val="00177DFC"/>
    <w:rsid w:val="001836BB"/>
    <w:rsid w:val="0018777C"/>
    <w:rsid w:val="00193DAC"/>
    <w:rsid w:val="00194073"/>
    <w:rsid w:val="00197DD2"/>
    <w:rsid w:val="001A1BB3"/>
    <w:rsid w:val="001A7D1D"/>
    <w:rsid w:val="001A7D6A"/>
    <w:rsid w:val="001B0A82"/>
    <w:rsid w:val="001B51DD"/>
    <w:rsid w:val="001C5020"/>
    <w:rsid w:val="001C628E"/>
    <w:rsid w:val="001D5DEB"/>
    <w:rsid w:val="001E06D2"/>
    <w:rsid w:val="001E0F7B"/>
    <w:rsid w:val="001F074A"/>
    <w:rsid w:val="001F1A27"/>
    <w:rsid w:val="002062F9"/>
    <w:rsid w:val="002119FD"/>
    <w:rsid w:val="002130E0"/>
    <w:rsid w:val="00226032"/>
    <w:rsid w:val="00231A68"/>
    <w:rsid w:val="00241CD1"/>
    <w:rsid w:val="0025056D"/>
    <w:rsid w:val="0025197E"/>
    <w:rsid w:val="002521BA"/>
    <w:rsid w:val="00253187"/>
    <w:rsid w:val="00253BA0"/>
    <w:rsid w:val="00264425"/>
    <w:rsid w:val="002655A3"/>
    <w:rsid w:val="00265875"/>
    <w:rsid w:val="0027303B"/>
    <w:rsid w:val="0028109B"/>
    <w:rsid w:val="00283617"/>
    <w:rsid w:val="002878C0"/>
    <w:rsid w:val="002A2188"/>
    <w:rsid w:val="002B1F58"/>
    <w:rsid w:val="002B33B1"/>
    <w:rsid w:val="002B512C"/>
    <w:rsid w:val="002B6471"/>
    <w:rsid w:val="002B671F"/>
    <w:rsid w:val="002C1C7A"/>
    <w:rsid w:val="002C49F1"/>
    <w:rsid w:val="002C54E2"/>
    <w:rsid w:val="002C6C2C"/>
    <w:rsid w:val="002D136B"/>
    <w:rsid w:val="002D5F25"/>
    <w:rsid w:val="0030160F"/>
    <w:rsid w:val="003017F4"/>
    <w:rsid w:val="00301934"/>
    <w:rsid w:val="003075D8"/>
    <w:rsid w:val="00312322"/>
    <w:rsid w:val="00316BAB"/>
    <w:rsid w:val="00320223"/>
    <w:rsid w:val="00322D0D"/>
    <w:rsid w:val="00327875"/>
    <w:rsid w:val="00341734"/>
    <w:rsid w:val="00361465"/>
    <w:rsid w:val="00361868"/>
    <w:rsid w:val="00374DD6"/>
    <w:rsid w:val="00383647"/>
    <w:rsid w:val="00386097"/>
    <w:rsid w:val="00386D4D"/>
    <w:rsid w:val="003877F5"/>
    <w:rsid w:val="00387CF9"/>
    <w:rsid w:val="00390154"/>
    <w:rsid w:val="003942D4"/>
    <w:rsid w:val="003958A8"/>
    <w:rsid w:val="003A3BDC"/>
    <w:rsid w:val="003A7542"/>
    <w:rsid w:val="003B36F3"/>
    <w:rsid w:val="003B773A"/>
    <w:rsid w:val="003C1AAC"/>
    <w:rsid w:val="003C2533"/>
    <w:rsid w:val="003C3960"/>
    <w:rsid w:val="003D5A7F"/>
    <w:rsid w:val="003D6F72"/>
    <w:rsid w:val="003F43A3"/>
    <w:rsid w:val="004016E2"/>
    <w:rsid w:val="0040435A"/>
    <w:rsid w:val="00410F8B"/>
    <w:rsid w:val="00413B31"/>
    <w:rsid w:val="0041576D"/>
    <w:rsid w:val="00416A24"/>
    <w:rsid w:val="00427A3E"/>
    <w:rsid w:val="00431D9E"/>
    <w:rsid w:val="00433C73"/>
    <w:rsid w:val="00433CE8"/>
    <w:rsid w:val="00434A5C"/>
    <w:rsid w:val="00436AE2"/>
    <w:rsid w:val="004438C2"/>
    <w:rsid w:val="004463AF"/>
    <w:rsid w:val="00446A30"/>
    <w:rsid w:val="004529FD"/>
    <w:rsid w:val="004544D9"/>
    <w:rsid w:val="00472BAD"/>
    <w:rsid w:val="004822C4"/>
    <w:rsid w:val="00484009"/>
    <w:rsid w:val="004906B2"/>
    <w:rsid w:val="00490E72"/>
    <w:rsid w:val="00491157"/>
    <w:rsid w:val="004921C8"/>
    <w:rsid w:val="0049489B"/>
    <w:rsid w:val="00495B0B"/>
    <w:rsid w:val="004A1980"/>
    <w:rsid w:val="004A1B8B"/>
    <w:rsid w:val="004B29CC"/>
    <w:rsid w:val="004B78C0"/>
    <w:rsid w:val="004B7E0F"/>
    <w:rsid w:val="004C4951"/>
    <w:rsid w:val="004D1851"/>
    <w:rsid w:val="004D599D"/>
    <w:rsid w:val="004E0E39"/>
    <w:rsid w:val="004E2EA5"/>
    <w:rsid w:val="004E3AEB"/>
    <w:rsid w:val="004E5849"/>
    <w:rsid w:val="004F2617"/>
    <w:rsid w:val="004F3803"/>
    <w:rsid w:val="004F7742"/>
    <w:rsid w:val="00500BFF"/>
    <w:rsid w:val="0050223C"/>
    <w:rsid w:val="00504212"/>
    <w:rsid w:val="0051181E"/>
    <w:rsid w:val="00512964"/>
    <w:rsid w:val="005162ED"/>
    <w:rsid w:val="005243FF"/>
    <w:rsid w:val="0053494E"/>
    <w:rsid w:val="00552181"/>
    <w:rsid w:val="0055581B"/>
    <w:rsid w:val="0056361C"/>
    <w:rsid w:val="00564FBC"/>
    <w:rsid w:val="00566BE4"/>
    <w:rsid w:val="00573EB5"/>
    <w:rsid w:val="005800BC"/>
    <w:rsid w:val="00582442"/>
    <w:rsid w:val="005B766E"/>
    <w:rsid w:val="005C0658"/>
    <w:rsid w:val="005D018B"/>
    <w:rsid w:val="005D2437"/>
    <w:rsid w:val="005D26C5"/>
    <w:rsid w:val="005D2E9C"/>
    <w:rsid w:val="005D3EFA"/>
    <w:rsid w:val="005D65B6"/>
    <w:rsid w:val="005E1795"/>
    <w:rsid w:val="005E3201"/>
    <w:rsid w:val="005F3269"/>
    <w:rsid w:val="005F6EA2"/>
    <w:rsid w:val="005F7951"/>
    <w:rsid w:val="00601AB4"/>
    <w:rsid w:val="006057F8"/>
    <w:rsid w:val="00611253"/>
    <w:rsid w:val="006215A1"/>
    <w:rsid w:val="006224F8"/>
    <w:rsid w:val="00623AE3"/>
    <w:rsid w:val="00624D20"/>
    <w:rsid w:val="00627E8B"/>
    <w:rsid w:val="0064233E"/>
    <w:rsid w:val="00642D44"/>
    <w:rsid w:val="00644AC8"/>
    <w:rsid w:val="0064737F"/>
    <w:rsid w:val="00650582"/>
    <w:rsid w:val="00651377"/>
    <w:rsid w:val="006535F1"/>
    <w:rsid w:val="0065557D"/>
    <w:rsid w:val="00655AF6"/>
    <w:rsid w:val="00657423"/>
    <w:rsid w:val="00660445"/>
    <w:rsid w:val="00660D50"/>
    <w:rsid w:val="006627D0"/>
    <w:rsid w:val="00662984"/>
    <w:rsid w:val="00665BDA"/>
    <w:rsid w:val="006714F4"/>
    <w:rsid w:val="006716BB"/>
    <w:rsid w:val="006812EF"/>
    <w:rsid w:val="006850BE"/>
    <w:rsid w:val="006918AC"/>
    <w:rsid w:val="006A51FC"/>
    <w:rsid w:val="006B1751"/>
    <w:rsid w:val="006B1859"/>
    <w:rsid w:val="006B3002"/>
    <w:rsid w:val="006B6680"/>
    <w:rsid w:val="006B6DCC"/>
    <w:rsid w:val="006C166C"/>
    <w:rsid w:val="006E107F"/>
    <w:rsid w:val="007015FD"/>
    <w:rsid w:val="00702DEF"/>
    <w:rsid w:val="00703142"/>
    <w:rsid w:val="007041DA"/>
    <w:rsid w:val="00705104"/>
    <w:rsid w:val="00706861"/>
    <w:rsid w:val="00711DF0"/>
    <w:rsid w:val="00712F32"/>
    <w:rsid w:val="00715501"/>
    <w:rsid w:val="00717C03"/>
    <w:rsid w:val="007244B9"/>
    <w:rsid w:val="00731D7F"/>
    <w:rsid w:val="007405E4"/>
    <w:rsid w:val="00742CCD"/>
    <w:rsid w:val="0074567B"/>
    <w:rsid w:val="00746BF7"/>
    <w:rsid w:val="0075051B"/>
    <w:rsid w:val="007522D9"/>
    <w:rsid w:val="00772264"/>
    <w:rsid w:val="007823D8"/>
    <w:rsid w:val="00793188"/>
    <w:rsid w:val="00794B3C"/>
    <w:rsid w:val="00794D34"/>
    <w:rsid w:val="00796CE5"/>
    <w:rsid w:val="007A5BA0"/>
    <w:rsid w:val="007C03A7"/>
    <w:rsid w:val="007C1150"/>
    <w:rsid w:val="007C129D"/>
    <w:rsid w:val="007C4D79"/>
    <w:rsid w:val="007F0392"/>
    <w:rsid w:val="007F28AF"/>
    <w:rsid w:val="007F3093"/>
    <w:rsid w:val="007F3AB5"/>
    <w:rsid w:val="007F59B3"/>
    <w:rsid w:val="007F5B7C"/>
    <w:rsid w:val="007F63F7"/>
    <w:rsid w:val="007F6ADD"/>
    <w:rsid w:val="008006B6"/>
    <w:rsid w:val="00813E5E"/>
    <w:rsid w:val="00824B00"/>
    <w:rsid w:val="00827485"/>
    <w:rsid w:val="0083581B"/>
    <w:rsid w:val="0084513E"/>
    <w:rsid w:val="0085632E"/>
    <w:rsid w:val="00863874"/>
    <w:rsid w:val="00864AFF"/>
    <w:rsid w:val="00865925"/>
    <w:rsid w:val="00881A82"/>
    <w:rsid w:val="00885029"/>
    <w:rsid w:val="008A2630"/>
    <w:rsid w:val="008A72F5"/>
    <w:rsid w:val="008B4A6A"/>
    <w:rsid w:val="008C2D09"/>
    <w:rsid w:val="008C7E27"/>
    <w:rsid w:val="008D5EAE"/>
    <w:rsid w:val="008D70E8"/>
    <w:rsid w:val="008E5A4A"/>
    <w:rsid w:val="008F3B8B"/>
    <w:rsid w:val="008F49C8"/>
    <w:rsid w:val="008F4F2E"/>
    <w:rsid w:val="008F7448"/>
    <w:rsid w:val="0090147A"/>
    <w:rsid w:val="00905336"/>
    <w:rsid w:val="009156F1"/>
    <w:rsid w:val="009173EF"/>
    <w:rsid w:val="009215DC"/>
    <w:rsid w:val="00925D91"/>
    <w:rsid w:val="00932906"/>
    <w:rsid w:val="00934E89"/>
    <w:rsid w:val="00936B01"/>
    <w:rsid w:val="009370FB"/>
    <w:rsid w:val="00937D36"/>
    <w:rsid w:val="00944A7E"/>
    <w:rsid w:val="00955D43"/>
    <w:rsid w:val="009570B9"/>
    <w:rsid w:val="00961B0B"/>
    <w:rsid w:val="0096298C"/>
    <w:rsid w:val="00962D33"/>
    <w:rsid w:val="00966555"/>
    <w:rsid w:val="0097167A"/>
    <w:rsid w:val="009A0395"/>
    <w:rsid w:val="009A18D9"/>
    <w:rsid w:val="009B38C3"/>
    <w:rsid w:val="009C2762"/>
    <w:rsid w:val="009D3E5D"/>
    <w:rsid w:val="009D4F14"/>
    <w:rsid w:val="009E17BD"/>
    <w:rsid w:val="009E485A"/>
    <w:rsid w:val="009F1180"/>
    <w:rsid w:val="00A03942"/>
    <w:rsid w:val="00A04CEC"/>
    <w:rsid w:val="00A11232"/>
    <w:rsid w:val="00A11B1A"/>
    <w:rsid w:val="00A27F92"/>
    <w:rsid w:val="00A31F3F"/>
    <w:rsid w:val="00A32257"/>
    <w:rsid w:val="00A36D20"/>
    <w:rsid w:val="00A514A4"/>
    <w:rsid w:val="00A55622"/>
    <w:rsid w:val="00A60015"/>
    <w:rsid w:val="00A70A90"/>
    <w:rsid w:val="00A73841"/>
    <w:rsid w:val="00A77544"/>
    <w:rsid w:val="00A83502"/>
    <w:rsid w:val="00A90E7E"/>
    <w:rsid w:val="00AB1A38"/>
    <w:rsid w:val="00AB2A25"/>
    <w:rsid w:val="00AB3CF1"/>
    <w:rsid w:val="00AC1BE6"/>
    <w:rsid w:val="00AD127C"/>
    <w:rsid w:val="00AD15B3"/>
    <w:rsid w:val="00AD3606"/>
    <w:rsid w:val="00AD4A3D"/>
    <w:rsid w:val="00AE1DFF"/>
    <w:rsid w:val="00AE67FC"/>
    <w:rsid w:val="00AF00D0"/>
    <w:rsid w:val="00AF1C48"/>
    <w:rsid w:val="00AF2F6B"/>
    <w:rsid w:val="00AF302F"/>
    <w:rsid w:val="00AF6E49"/>
    <w:rsid w:val="00B04A67"/>
    <w:rsid w:val="00B0583C"/>
    <w:rsid w:val="00B15867"/>
    <w:rsid w:val="00B17D78"/>
    <w:rsid w:val="00B2144B"/>
    <w:rsid w:val="00B27D64"/>
    <w:rsid w:val="00B321C2"/>
    <w:rsid w:val="00B32A93"/>
    <w:rsid w:val="00B40A81"/>
    <w:rsid w:val="00B44910"/>
    <w:rsid w:val="00B464CD"/>
    <w:rsid w:val="00B72267"/>
    <w:rsid w:val="00B76EB6"/>
    <w:rsid w:val="00B7737B"/>
    <w:rsid w:val="00B77B40"/>
    <w:rsid w:val="00B824C8"/>
    <w:rsid w:val="00B84B9D"/>
    <w:rsid w:val="00B94141"/>
    <w:rsid w:val="00BB2F00"/>
    <w:rsid w:val="00BB3B78"/>
    <w:rsid w:val="00BC251A"/>
    <w:rsid w:val="00BD032B"/>
    <w:rsid w:val="00BD207C"/>
    <w:rsid w:val="00BE2640"/>
    <w:rsid w:val="00BE53BC"/>
    <w:rsid w:val="00BE5FDA"/>
    <w:rsid w:val="00BE7DC7"/>
    <w:rsid w:val="00C01189"/>
    <w:rsid w:val="00C13AED"/>
    <w:rsid w:val="00C34972"/>
    <w:rsid w:val="00C374DE"/>
    <w:rsid w:val="00C41521"/>
    <w:rsid w:val="00C42F66"/>
    <w:rsid w:val="00C43CDF"/>
    <w:rsid w:val="00C4602D"/>
    <w:rsid w:val="00C47AD4"/>
    <w:rsid w:val="00C52D81"/>
    <w:rsid w:val="00C55198"/>
    <w:rsid w:val="00C62FC6"/>
    <w:rsid w:val="00C72166"/>
    <w:rsid w:val="00C81318"/>
    <w:rsid w:val="00CA6393"/>
    <w:rsid w:val="00CB18FF"/>
    <w:rsid w:val="00CB1AD4"/>
    <w:rsid w:val="00CB3D47"/>
    <w:rsid w:val="00CC4287"/>
    <w:rsid w:val="00CC4859"/>
    <w:rsid w:val="00CC6698"/>
    <w:rsid w:val="00CC6EC4"/>
    <w:rsid w:val="00CD0C08"/>
    <w:rsid w:val="00CD2596"/>
    <w:rsid w:val="00CD7065"/>
    <w:rsid w:val="00CE03FB"/>
    <w:rsid w:val="00CE433C"/>
    <w:rsid w:val="00CF0161"/>
    <w:rsid w:val="00CF0AC4"/>
    <w:rsid w:val="00CF124B"/>
    <w:rsid w:val="00CF2978"/>
    <w:rsid w:val="00CF33F3"/>
    <w:rsid w:val="00CF5223"/>
    <w:rsid w:val="00D01158"/>
    <w:rsid w:val="00D06183"/>
    <w:rsid w:val="00D12AC3"/>
    <w:rsid w:val="00D15E83"/>
    <w:rsid w:val="00D22C42"/>
    <w:rsid w:val="00D52518"/>
    <w:rsid w:val="00D52E70"/>
    <w:rsid w:val="00D62639"/>
    <w:rsid w:val="00D65041"/>
    <w:rsid w:val="00D65BC1"/>
    <w:rsid w:val="00D661DE"/>
    <w:rsid w:val="00D70025"/>
    <w:rsid w:val="00D7206C"/>
    <w:rsid w:val="00D73BE7"/>
    <w:rsid w:val="00D74C0A"/>
    <w:rsid w:val="00D75B94"/>
    <w:rsid w:val="00D760E5"/>
    <w:rsid w:val="00D81098"/>
    <w:rsid w:val="00D8227D"/>
    <w:rsid w:val="00D84504"/>
    <w:rsid w:val="00D92689"/>
    <w:rsid w:val="00D95648"/>
    <w:rsid w:val="00DB1936"/>
    <w:rsid w:val="00DB384B"/>
    <w:rsid w:val="00DB6BDD"/>
    <w:rsid w:val="00DF0189"/>
    <w:rsid w:val="00DF2135"/>
    <w:rsid w:val="00DF5B1D"/>
    <w:rsid w:val="00E0064B"/>
    <w:rsid w:val="00E01D66"/>
    <w:rsid w:val="00E06FD5"/>
    <w:rsid w:val="00E10E80"/>
    <w:rsid w:val="00E124F0"/>
    <w:rsid w:val="00E13863"/>
    <w:rsid w:val="00E21A49"/>
    <w:rsid w:val="00E224F8"/>
    <w:rsid w:val="00E227F3"/>
    <w:rsid w:val="00E23618"/>
    <w:rsid w:val="00E23832"/>
    <w:rsid w:val="00E335C6"/>
    <w:rsid w:val="00E545C6"/>
    <w:rsid w:val="00E60F04"/>
    <w:rsid w:val="00E65B24"/>
    <w:rsid w:val="00E854E4"/>
    <w:rsid w:val="00E86DBF"/>
    <w:rsid w:val="00E94CDB"/>
    <w:rsid w:val="00E96D2A"/>
    <w:rsid w:val="00EA1D83"/>
    <w:rsid w:val="00EA358F"/>
    <w:rsid w:val="00EA43F9"/>
    <w:rsid w:val="00EA4666"/>
    <w:rsid w:val="00EA52B7"/>
    <w:rsid w:val="00EB0D6F"/>
    <w:rsid w:val="00EB2232"/>
    <w:rsid w:val="00EC5337"/>
    <w:rsid w:val="00ED6829"/>
    <w:rsid w:val="00ED6D46"/>
    <w:rsid w:val="00ED7E64"/>
    <w:rsid w:val="00EE49E8"/>
    <w:rsid w:val="00EE5E41"/>
    <w:rsid w:val="00F0029F"/>
    <w:rsid w:val="00F00569"/>
    <w:rsid w:val="00F043FB"/>
    <w:rsid w:val="00F10639"/>
    <w:rsid w:val="00F16724"/>
    <w:rsid w:val="00F16BAB"/>
    <w:rsid w:val="00F2150A"/>
    <w:rsid w:val="00F231D8"/>
    <w:rsid w:val="00F23238"/>
    <w:rsid w:val="00F24BB9"/>
    <w:rsid w:val="00F2696D"/>
    <w:rsid w:val="00F32D3D"/>
    <w:rsid w:val="00F44C00"/>
    <w:rsid w:val="00F45D2C"/>
    <w:rsid w:val="00F46644"/>
    <w:rsid w:val="00F46C5F"/>
    <w:rsid w:val="00F57722"/>
    <w:rsid w:val="00F60CA7"/>
    <w:rsid w:val="00F632C0"/>
    <w:rsid w:val="00F658AF"/>
    <w:rsid w:val="00F66005"/>
    <w:rsid w:val="00F74710"/>
    <w:rsid w:val="00F82E1E"/>
    <w:rsid w:val="00F94A63"/>
    <w:rsid w:val="00F96FD5"/>
    <w:rsid w:val="00FA1C28"/>
    <w:rsid w:val="00FB1279"/>
    <w:rsid w:val="00FB6B76"/>
    <w:rsid w:val="00FB7596"/>
    <w:rsid w:val="00FC664C"/>
    <w:rsid w:val="00FD7127"/>
    <w:rsid w:val="00FE4077"/>
    <w:rsid w:val="00FE500D"/>
    <w:rsid w:val="00FE6522"/>
    <w:rsid w:val="00FE664D"/>
    <w:rsid w:val="00FE77D2"/>
    <w:rsid w:val="00FF121E"/>
    <w:rsid w:val="058AC576"/>
    <w:rsid w:val="0CFD9E88"/>
    <w:rsid w:val="19AA7067"/>
    <w:rsid w:val="19CC6159"/>
    <w:rsid w:val="1C796D00"/>
    <w:rsid w:val="1E2D52C8"/>
    <w:rsid w:val="28EA9D13"/>
    <w:rsid w:val="3BD6A6F4"/>
    <w:rsid w:val="4022AFA4"/>
    <w:rsid w:val="42CF1146"/>
    <w:rsid w:val="481758D4"/>
    <w:rsid w:val="4A193E98"/>
    <w:rsid w:val="56C39A5B"/>
    <w:rsid w:val="56D196FD"/>
    <w:rsid w:val="5D22BD84"/>
    <w:rsid w:val="62D8C77F"/>
    <w:rsid w:val="63EF51C3"/>
    <w:rsid w:val="72634E97"/>
    <w:rsid w:val="7286C27E"/>
    <w:rsid w:val="778B5FA9"/>
    <w:rsid w:val="7A27DD6A"/>
    <w:rsid w:val="7F82D1F1"/>
    <w:rsid w:val="7F8E2677"/>
    <w:rsid w:val="7FF38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287E0054-B899-4984-802C-A6F1570A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AD127C"/>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4F14"/>
    <w:rPr>
      <w:color w:val="605E5C"/>
      <w:shd w:val="clear" w:color="auto" w:fill="E1DFDD"/>
    </w:rPr>
  </w:style>
  <w:style w:type="paragraph" w:styleId="ListParagraph">
    <w:name w:val="List Paragraph"/>
    <w:basedOn w:val="Normal"/>
    <w:uiPriority w:val="34"/>
    <w:qFormat/>
    <w:rsid w:val="0039015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5D018B"/>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8D70E8"/>
    <w:rPr>
      <w:sz w:val="16"/>
      <w:szCs w:val="16"/>
    </w:rPr>
  </w:style>
  <w:style w:type="paragraph" w:styleId="CommentText">
    <w:name w:val="annotation text"/>
    <w:basedOn w:val="Normal"/>
    <w:link w:val="CommentTextChar"/>
    <w:uiPriority w:val="99"/>
    <w:unhideWhenUsed/>
    <w:rsid w:val="008D70E8"/>
    <w:pPr>
      <w:suppressAutoHyphens/>
      <w:overflowPunct/>
      <w:autoSpaceDE/>
      <w:autoSpaceDN/>
      <w:adjustRightInd/>
    </w:pPr>
    <w:rPr>
      <w:sz w:val="20"/>
    </w:rPr>
  </w:style>
  <w:style w:type="character" w:customStyle="1" w:styleId="CommentTextChar">
    <w:name w:val="Comment Text Char"/>
    <w:basedOn w:val="DefaultParagraphFont"/>
    <w:link w:val="CommentText"/>
    <w:uiPriority w:val="99"/>
    <w:rsid w:val="008D70E8"/>
    <w:rPr>
      <w:rFonts w:ascii="Calibri" w:hAnsi="Calibri"/>
      <w:lang w:val="en-GB" w:eastAsia="en-US"/>
    </w:rPr>
  </w:style>
  <w:style w:type="character" w:customStyle="1" w:styleId="apple-converted-space">
    <w:name w:val="apple-converted-space"/>
    <w:basedOn w:val="DefaultParagraphFont"/>
    <w:rsid w:val="00047E35"/>
  </w:style>
  <w:style w:type="paragraph" w:styleId="Revision">
    <w:name w:val="Revision"/>
    <w:hidden/>
    <w:uiPriority w:val="99"/>
    <w:semiHidden/>
    <w:rsid w:val="004B7E0F"/>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D8227D"/>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D8227D"/>
    <w:rPr>
      <w:rFonts w:ascii="Calibri" w:hAnsi="Calibri"/>
      <w:b/>
      <w:bCs/>
      <w:lang w:val="en-GB" w:eastAsia="en-US"/>
    </w:rPr>
  </w:style>
  <w:style w:type="character" w:styleId="Mention">
    <w:name w:val="Mention"/>
    <w:basedOn w:val="DefaultParagraphFont"/>
    <w:uiPriority w:val="99"/>
    <w:unhideWhenUsed/>
    <w:rsid w:val="00D822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3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79/en" TargetMode="External"/><Relationship Id="rId18" Type="http://schemas.openxmlformats.org/officeDocument/2006/relationships/hyperlink" Target="https://www.itu.int/md/S25-CL-C-0025/en" TargetMode="External"/><Relationship Id="rId26" Type="http://schemas.openxmlformats.org/officeDocument/2006/relationships/hyperlink" Target="https://www.itu.int/md/S25-CL-C-0025/en" TargetMode="External"/><Relationship Id="rId21" Type="http://schemas.openxmlformats.org/officeDocument/2006/relationships/hyperlink" Target="https://www.itu.int/md/S25-CL-C-0079/e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5-CL-C-0029/en" TargetMode="External"/><Relationship Id="rId17" Type="http://schemas.openxmlformats.org/officeDocument/2006/relationships/hyperlink" Target="https://www.itu.int/md/S25-CL-C-0052/en" TargetMode="External"/><Relationship Id="rId25" Type="http://schemas.openxmlformats.org/officeDocument/2006/relationships/hyperlink" Target="https://www.itu.int/md/S25-CL-C-0052/e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S25-CL-C-0053/en" TargetMode="External"/><Relationship Id="rId20" Type="http://schemas.openxmlformats.org/officeDocument/2006/relationships/hyperlink" Target="https://www.itu.int/md/S25-CL-C-0029/en" TargetMode="External"/><Relationship Id="rId29" Type="http://schemas.openxmlformats.org/officeDocument/2006/relationships/hyperlink" Target="https://www.itu.int/md/D22-TDAG32-INF-0004/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31/en" TargetMode="External"/><Relationship Id="rId24" Type="http://schemas.openxmlformats.org/officeDocument/2006/relationships/hyperlink" Target="https://www.itu.int/md/S25-CL-C-0053/e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5-CL-C-0005/en" TargetMode="External"/><Relationship Id="rId23" Type="http://schemas.openxmlformats.org/officeDocument/2006/relationships/hyperlink" Target="https://www.itu.int/md/S25-CL-C-0005/en" TargetMode="External"/><Relationship Id="rId28" Type="http://schemas.openxmlformats.org/officeDocument/2006/relationships/hyperlink" Target="https://www.itu.int/md/D22-TDAG32-C-0024/e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tu.int/md/S25-CL-C-0031/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91/en" TargetMode="External"/><Relationship Id="rId22" Type="http://schemas.openxmlformats.org/officeDocument/2006/relationships/hyperlink" Target="https://www.itu.int/md/S25-CL-C-0091/en" TargetMode="External"/><Relationship Id="rId27" Type="http://schemas.openxmlformats.org/officeDocument/2006/relationships/hyperlink" Target="https://www.itu.int/md/D22-TDAG32-C-0002/" TargetMode="External"/><Relationship Id="rId30" Type="http://schemas.openxmlformats.org/officeDocument/2006/relationships/hyperlink" Target="https://www.itu.int/md/S25-CL-C-0066/en"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63BD71D923694AB04A041A1BC45D17" ma:contentTypeVersion="8" ma:contentTypeDescription="Create a new document." ma:contentTypeScope="" ma:versionID="de0513f2ad6dc4e5b16b5c2bfd599a2f">
  <xsd:schema xmlns:xsd="http://www.w3.org/2001/XMLSchema" xmlns:xs="http://www.w3.org/2001/XMLSchema" xmlns:p="http://schemas.microsoft.com/office/2006/metadata/properties" xmlns:ns2="c08476b2-9c57-4f48-ac56-b4cf077e331d" targetNamespace="http://schemas.microsoft.com/office/2006/metadata/properties" ma:root="true" ma:fieldsID="77c64819d5a3bbe6d44ee0d056f8d7ad" ns2:_="">
    <xsd:import namespace="c08476b2-9c57-4f48-ac56-b4cf077e3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76b2-9c57-4f48-ac56-b4cf077e3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234F0C96-A37C-4F44-BF33-21127A1643FB}">
  <ds:schemaRefs>
    <ds:schemaRef ds:uri="http://schemas.microsoft.com/sharepoint/v3/contenttype/forms"/>
  </ds:schemaRefs>
</ds:datastoreItem>
</file>

<file path=customXml/itemProps3.xml><?xml version="1.0" encoding="utf-8"?>
<ds:datastoreItem xmlns:ds="http://schemas.openxmlformats.org/officeDocument/2006/customXml" ds:itemID="{0117C09E-7F0E-4902-8DBD-FCD22B13F606}">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c08476b2-9c57-4f48-ac56-b4cf077e331d"/>
    <ds:schemaRef ds:uri="http://www.w3.org/XML/1998/namespace"/>
    <ds:schemaRef ds:uri="http://purl.org/dc/dcmitype/"/>
  </ds:schemaRefs>
</ds:datastoreItem>
</file>

<file path=customXml/itemProps4.xml><?xml version="1.0" encoding="utf-8"?>
<ds:datastoreItem xmlns:ds="http://schemas.openxmlformats.org/officeDocument/2006/customXml" ds:itemID="{1318C313-E7E8-47F0-BD7B-F35ED26C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76b2-9c57-4f48-ac56-b4cf077e3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3249</Words>
  <Characters>19967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Summary record of the fourth plenary meeting of Council-25</vt:lpstr>
    </vt:vector>
  </TitlesOfParts>
  <Manager/>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fourth plenary meeting of Council-25</dc:title>
  <dc:subject>ITU Council 2025</dc:subject>
  <cp:keywords>C2025, C25, Council-25</cp:keywords>
  <dc:description/>
  <dcterms:created xsi:type="dcterms:W3CDTF">2025-08-08T10:06:00Z</dcterms:created>
  <dcterms:modified xsi:type="dcterms:W3CDTF">2025-08-15T11:41:00Z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0x0101006163BD71D923694AB04A041A1BC45D17</vt:lpwstr>
  </property>
  <property fmtid="{D5CDD505-2E9C-101B-9397-08002B2CF9AE}" pid="3" name="MediaServiceImageTags">
    <vt:lpwstr/>
  </property>
  <property fmtid="{D5CDD505-2E9C-101B-9397-08002B2CF9AE}" pid="4" name="GrammarlyDocumentId">
    <vt:lpwstr>b383d557-4464-46dc-94dd-8a7751ddcea6</vt:lpwstr>
  </property>
</Properties>
</file>