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6"/>
        <w:gridCol w:w="2985"/>
      </w:tblGrid>
      <w:tr w:rsidR="007B0AA0" w14:paraId="092B236D" w14:textId="77777777" w:rsidTr="00191333">
        <w:tc>
          <w:tcPr>
            <w:tcW w:w="6086" w:type="dxa"/>
          </w:tcPr>
          <w:p w14:paraId="557984F0" w14:textId="040975BA" w:rsidR="007B0AA0" w:rsidRPr="007B0AA0" w:rsidRDefault="007B0AA0" w:rsidP="00F363FE">
            <w:pPr>
              <w:spacing w:before="60" w:after="60" w:line="260" w:lineRule="exact"/>
              <w:rPr>
                <w:b/>
                <w:bCs/>
                <w:rtl/>
                <w:lang w:bidi="ar-EG"/>
              </w:rPr>
            </w:pPr>
          </w:p>
        </w:tc>
        <w:tc>
          <w:tcPr>
            <w:tcW w:w="2985" w:type="dxa"/>
          </w:tcPr>
          <w:p w14:paraId="31EDC1A8" w14:textId="653AF1A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CE0A96">
              <w:rPr>
                <w:b/>
                <w:bCs/>
                <w:lang w:bidi="ar-EG"/>
              </w:rPr>
              <w:t>110</w:t>
            </w:r>
            <w:r w:rsidRPr="007B0AA0">
              <w:rPr>
                <w:b/>
                <w:bCs/>
                <w:lang w:bidi="ar-EG"/>
              </w:rPr>
              <w:t>-A</w:t>
            </w:r>
          </w:p>
        </w:tc>
      </w:tr>
      <w:tr w:rsidR="007B0AA0" w14:paraId="290E45BE" w14:textId="77777777" w:rsidTr="00191333">
        <w:tc>
          <w:tcPr>
            <w:tcW w:w="6086" w:type="dxa"/>
          </w:tcPr>
          <w:p w14:paraId="56FAB475" w14:textId="77777777" w:rsidR="007B0AA0" w:rsidRPr="007B0AA0" w:rsidRDefault="007B0AA0" w:rsidP="00F363FE">
            <w:pPr>
              <w:spacing w:before="60" w:after="60" w:line="260" w:lineRule="exact"/>
              <w:rPr>
                <w:b/>
                <w:bCs/>
                <w:rtl/>
                <w:lang w:bidi="ar-EG"/>
              </w:rPr>
            </w:pPr>
          </w:p>
        </w:tc>
        <w:tc>
          <w:tcPr>
            <w:tcW w:w="2985" w:type="dxa"/>
          </w:tcPr>
          <w:p w14:paraId="6AE9DE9E" w14:textId="6EA787FD" w:rsidR="007B0AA0" w:rsidRPr="007B0AA0" w:rsidRDefault="00191333" w:rsidP="00F363FE">
            <w:pPr>
              <w:spacing w:before="60" w:after="60" w:line="260" w:lineRule="exact"/>
              <w:rPr>
                <w:b/>
                <w:bCs/>
                <w:rtl/>
                <w:lang w:bidi="ar-EG"/>
              </w:rPr>
            </w:pPr>
            <w:r>
              <w:rPr>
                <w:rFonts w:hint="cs"/>
                <w:b/>
                <w:bCs/>
                <w:rtl/>
              </w:rPr>
              <w:t>‏</w:t>
            </w:r>
            <w:r w:rsidR="0023305D">
              <w:rPr>
                <w:rFonts w:hint="cs"/>
                <w:b/>
                <w:bCs/>
                <w:rtl/>
              </w:rPr>
              <w:t>15</w:t>
            </w:r>
            <w:r w:rsidRPr="00531EEF">
              <w:rPr>
                <w:rFonts w:hint="cs"/>
                <w:b/>
                <w:bCs/>
                <w:rtl/>
              </w:rPr>
              <w:t xml:space="preserve">‏ </w:t>
            </w:r>
            <w:r w:rsidR="0023305D">
              <w:rPr>
                <w:rFonts w:hint="cs"/>
                <w:b/>
                <w:bCs/>
                <w:rtl/>
              </w:rPr>
              <w:t>أغسطس</w:t>
            </w:r>
            <w:r>
              <w:rPr>
                <w:rFonts w:hint="cs"/>
                <w:b/>
                <w:bCs/>
                <w:rtl/>
              </w:rPr>
              <w:t xml:space="preserve">‏ </w:t>
            </w:r>
            <w:r>
              <w:rPr>
                <w:rFonts w:hint="cs"/>
                <w:b/>
                <w:bCs/>
              </w:rPr>
              <w:t>2025</w:t>
            </w:r>
          </w:p>
        </w:tc>
      </w:tr>
      <w:tr w:rsidR="007B0AA0" w14:paraId="6F1A0BE0" w14:textId="77777777" w:rsidTr="00191333">
        <w:tc>
          <w:tcPr>
            <w:tcW w:w="6086" w:type="dxa"/>
          </w:tcPr>
          <w:p w14:paraId="239644B2" w14:textId="77777777" w:rsidR="007B0AA0" w:rsidRPr="007B0AA0" w:rsidRDefault="007B0AA0" w:rsidP="00F363FE">
            <w:pPr>
              <w:spacing w:before="60" w:after="60" w:line="260" w:lineRule="exact"/>
              <w:rPr>
                <w:b/>
                <w:bCs/>
                <w:rtl/>
                <w:lang w:bidi="ar-EG"/>
              </w:rPr>
            </w:pPr>
          </w:p>
        </w:tc>
        <w:tc>
          <w:tcPr>
            <w:tcW w:w="2985" w:type="dxa"/>
          </w:tcPr>
          <w:p w14:paraId="56D61CC1"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7F5FB87" w14:textId="77777777" w:rsidTr="00191333">
        <w:tc>
          <w:tcPr>
            <w:tcW w:w="6086" w:type="dxa"/>
          </w:tcPr>
          <w:p w14:paraId="55468291" w14:textId="77777777" w:rsidR="007B0AA0" w:rsidRDefault="007B0AA0" w:rsidP="00F363FE">
            <w:pPr>
              <w:spacing w:before="60" w:after="60" w:line="260" w:lineRule="exact"/>
              <w:rPr>
                <w:lang w:bidi="ar-EG"/>
              </w:rPr>
            </w:pPr>
          </w:p>
        </w:tc>
        <w:tc>
          <w:tcPr>
            <w:tcW w:w="2985" w:type="dxa"/>
          </w:tcPr>
          <w:p w14:paraId="0D0BC7A0" w14:textId="77777777" w:rsidR="007B0AA0" w:rsidRDefault="007B0AA0" w:rsidP="00F363FE">
            <w:pPr>
              <w:spacing w:before="60" w:after="60" w:line="260" w:lineRule="exact"/>
              <w:rPr>
                <w:rtl/>
                <w:lang w:bidi="ar-EG"/>
              </w:rPr>
            </w:pPr>
          </w:p>
        </w:tc>
      </w:tr>
      <w:tr w:rsidR="007B0AA0" w14:paraId="081E9187" w14:textId="77777777" w:rsidTr="00191333">
        <w:tc>
          <w:tcPr>
            <w:tcW w:w="9071" w:type="dxa"/>
            <w:gridSpan w:val="2"/>
          </w:tcPr>
          <w:p w14:paraId="52BF1893" w14:textId="4393B003" w:rsidR="007B0AA0" w:rsidRDefault="00191333" w:rsidP="00191333">
            <w:pPr>
              <w:pStyle w:val="Source"/>
              <w:rPr>
                <w:lang w:bidi="ar-EG"/>
              </w:rPr>
            </w:pPr>
            <w:r>
              <w:rPr>
                <w:rtl/>
                <w:lang w:bidi="ar-EG"/>
              </w:rPr>
              <w:t>محضر موجز</w:t>
            </w:r>
            <w:r>
              <w:rPr>
                <w:rtl/>
                <w:lang w:bidi="ar-EG"/>
              </w:rPr>
              <w:br/>
              <w:t>للجلسة العامة</w:t>
            </w:r>
            <w:r>
              <w:rPr>
                <w:rFonts w:hint="cs"/>
                <w:rtl/>
              </w:rPr>
              <w:t xml:space="preserve"> </w:t>
            </w:r>
            <w:r w:rsidR="00CE0A96">
              <w:rPr>
                <w:rFonts w:hint="cs"/>
                <w:rtl/>
                <w:lang w:bidi="ar-EG"/>
              </w:rPr>
              <w:t>الرابعة</w:t>
            </w:r>
          </w:p>
        </w:tc>
      </w:tr>
      <w:tr w:rsidR="007B0AA0" w14:paraId="79EB09D0" w14:textId="77777777" w:rsidTr="00191333">
        <w:tc>
          <w:tcPr>
            <w:tcW w:w="9071" w:type="dxa"/>
            <w:gridSpan w:val="2"/>
          </w:tcPr>
          <w:p w14:paraId="46FABFB0" w14:textId="77777777" w:rsidR="001D4C79" w:rsidRDefault="00CE0A96" w:rsidP="00CE0A96">
            <w:pPr>
              <w:jc w:val="center"/>
              <w:rPr>
                <w:rtl/>
                <w:lang w:bidi="ar-EG"/>
              </w:rPr>
            </w:pPr>
            <w:r>
              <w:rPr>
                <w:rFonts w:hint="cs"/>
                <w:rtl/>
              </w:rPr>
              <w:t>الإثنين</w:t>
            </w:r>
            <w:r w:rsidR="00FE18C2">
              <w:rPr>
                <w:rFonts w:hint="cs"/>
                <w:rtl/>
              </w:rPr>
              <w:t>،</w:t>
            </w:r>
            <w:r w:rsidR="00FE18C2" w:rsidRPr="00FE18C2">
              <w:rPr>
                <w:rtl/>
              </w:rPr>
              <w:t xml:space="preserve"> </w:t>
            </w:r>
            <w:r>
              <w:t>23</w:t>
            </w:r>
            <w:r w:rsidR="00FE18C2" w:rsidRPr="00FE18C2">
              <w:rPr>
                <w:rtl/>
              </w:rPr>
              <w:t xml:space="preserve"> يونيو </w:t>
            </w:r>
            <w:r>
              <w:t>2025</w:t>
            </w:r>
            <w:r w:rsidR="00FE18C2" w:rsidRPr="00FE18C2">
              <w:rPr>
                <w:rtl/>
              </w:rPr>
              <w:t xml:space="preserve">، من الساعة </w:t>
            </w:r>
            <w:r>
              <w:t>09</w:t>
            </w:r>
            <w:r w:rsidR="00FE18C2">
              <w:t>:30</w:t>
            </w:r>
            <w:r w:rsidR="00FE18C2" w:rsidRPr="00FE18C2">
              <w:rPr>
                <w:rtl/>
              </w:rPr>
              <w:t xml:space="preserve"> إلى الساعة </w:t>
            </w:r>
            <w:r>
              <w:t>12:35</w:t>
            </w:r>
          </w:p>
          <w:p w14:paraId="17C19E85" w14:textId="000E7DBF" w:rsidR="007B0AA0" w:rsidRPr="005546CF" w:rsidRDefault="007714B6" w:rsidP="007714B6">
            <w:pPr>
              <w:jc w:val="center"/>
            </w:pPr>
            <w:r w:rsidRPr="007714B6">
              <w:rPr>
                <w:b/>
                <w:bCs/>
                <w:rtl/>
              </w:rPr>
              <w:t>الرئيسة</w:t>
            </w:r>
            <w:r>
              <w:rPr>
                <w:rtl/>
              </w:rPr>
              <w:t>: السيدة ك. فلوتور (رومانيا)</w:t>
            </w:r>
          </w:p>
        </w:tc>
      </w:tr>
    </w:tbl>
    <w:p w14:paraId="21FE2EE0" w14:textId="77777777" w:rsidR="00E61BE8" w:rsidRDefault="00E61BE8" w:rsidP="00E61BE8">
      <w:pPr>
        <w:rPr>
          <w:rtl/>
          <w:lang w:bidi="ar-EG"/>
        </w:rPr>
      </w:pPr>
    </w:p>
    <w:tbl>
      <w:tblPr>
        <w:bidiVisual/>
        <w:tblW w:w="5000" w:type="pct"/>
        <w:jc w:val="center"/>
        <w:tblLayout w:type="fixed"/>
        <w:tblLook w:val="04A0" w:firstRow="1" w:lastRow="0" w:firstColumn="1" w:lastColumn="0" w:noHBand="0" w:noVBand="1"/>
      </w:tblPr>
      <w:tblGrid>
        <w:gridCol w:w="439"/>
        <w:gridCol w:w="6791"/>
        <w:gridCol w:w="1841"/>
      </w:tblGrid>
      <w:tr w:rsidR="00191333" w:rsidRPr="00191333" w14:paraId="3D361F9B" w14:textId="77777777" w:rsidTr="003A1E24">
        <w:trPr>
          <w:jc w:val="center"/>
        </w:trPr>
        <w:tc>
          <w:tcPr>
            <w:tcW w:w="242" w:type="pct"/>
          </w:tcPr>
          <w:p w14:paraId="277FC4A9" w14:textId="77777777" w:rsidR="00191333" w:rsidRPr="00B84E7D" w:rsidRDefault="00191333" w:rsidP="009578B0">
            <w:pPr>
              <w:spacing w:before="80" w:after="80" w:line="280" w:lineRule="exact"/>
              <w:rPr>
                <w:position w:val="2"/>
                <w:lang w:bidi="ar-EG"/>
              </w:rPr>
            </w:pPr>
            <w:bookmarkStart w:id="0" w:name="_Hlk141438382"/>
            <w:r w:rsidRPr="00B84E7D">
              <w:rPr>
                <w:position w:val="2"/>
                <w:rtl/>
              </w:rPr>
              <w:br w:type="page"/>
            </w:r>
            <w:r w:rsidRPr="00B84E7D">
              <w:rPr>
                <w:position w:val="2"/>
                <w:rtl/>
              </w:rPr>
              <w:br w:type="page"/>
            </w:r>
          </w:p>
        </w:tc>
        <w:tc>
          <w:tcPr>
            <w:tcW w:w="3743" w:type="pct"/>
            <w:hideMark/>
          </w:tcPr>
          <w:p w14:paraId="6BA860DB" w14:textId="77777777" w:rsidR="00191333" w:rsidRPr="00B84E7D" w:rsidRDefault="00191333" w:rsidP="009578B0">
            <w:pPr>
              <w:spacing w:before="80" w:after="80" w:line="280" w:lineRule="exact"/>
              <w:rPr>
                <w:b/>
                <w:bCs/>
                <w:position w:val="2"/>
                <w:lang w:bidi="ar-EG"/>
              </w:rPr>
            </w:pPr>
            <w:r w:rsidRPr="00B84E7D">
              <w:rPr>
                <w:b/>
                <w:bCs/>
                <w:position w:val="2"/>
                <w:rtl/>
              </w:rPr>
              <w:t>المواضيع التي نوقشت</w:t>
            </w:r>
          </w:p>
        </w:tc>
        <w:tc>
          <w:tcPr>
            <w:tcW w:w="1015" w:type="pct"/>
            <w:hideMark/>
          </w:tcPr>
          <w:p w14:paraId="3598AD1E" w14:textId="77777777" w:rsidR="00191333" w:rsidRPr="00B84E7D" w:rsidRDefault="00191333" w:rsidP="009578B0">
            <w:pPr>
              <w:spacing w:before="80" w:after="80" w:line="280" w:lineRule="exact"/>
              <w:jc w:val="center"/>
              <w:rPr>
                <w:b/>
                <w:bCs/>
                <w:position w:val="2"/>
                <w:lang w:bidi="ar-EG"/>
              </w:rPr>
            </w:pPr>
            <w:r w:rsidRPr="00B84E7D">
              <w:rPr>
                <w:b/>
                <w:bCs/>
                <w:position w:val="2"/>
                <w:rtl/>
              </w:rPr>
              <w:t>الوثائق</w:t>
            </w:r>
          </w:p>
        </w:tc>
      </w:tr>
      <w:tr w:rsidR="00CE0A96" w:rsidRPr="00191333" w14:paraId="71AA5DD9" w14:textId="77777777" w:rsidTr="003A1E24">
        <w:trPr>
          <w:trHeight w:val="20"/>
          <w:jc w:val="center"/>
        </w:trPr>
        <w:tc>
          <w:tcPr>
            <w:tcW w:w="242" w:type="pct"/>
            <w:hideMark/>
          </w:tcPr>
          <w:p w14:paraId="606750A1" w14:textId="77777777" w:rsidR="00CE0A96" w:rsidRPr="00B84E7D" w:rsidRDefault="00CE0A96" w:rsidP="00CE0A96">
            <w:pPr>
              <w:spacing w:before="80" w:after="80" w:line="280" w:lineRule="exact"/>
              <w:rPr>
                <w:position w:val="2"/>
                <w:lang w:bidi="ar-EG"/>
              </w:rPr>
            </w:pPr>
            <w:bookmarkStart w:id="1" w:name="_Hlk203750205"/>
            <w:r w:rsidRPr="00B84E7D">
              <w:rPr>
                <w:position w:val="2"/>
                <w:lang w:bidi="ar-EG"/>
              </w:rPr>
              <w:t>1</w:t>
            </w:r>
          </w:p>
        </w:tc>
        <w:tc>
          <w:tcPr>
            <w:tcW w:w="3743" w:type="pct"/>
          </w:tcPr>
          <w:p w14:paraId="768D09BA" w14:textId="51DC9BE3" w:rsidR="00CE0A96" w:rsidRPr="00B84E7D" w:rsidRDefault="003A1E24" w:rsidP="003A1E24">
            <w:pPr>
              <w:spacing w:before="80" w:after="80" w:line="280" w:lineRule="exact"/>
              <w:rPr>
                <w:position w:val="2"/>
                <w:lang w:bidi="ar-EG"/>
              </w:rPr>
            </w:pPr>
            <w:r w:rsidRPr="00B84E7D">
              <w:rPr>
                <w:position w:val="2"/>
                <w:rtl/>
                <w:lang w:bidi="ar-EG"/>
              </w:rPr>
              <w:t>تقرير من رئيس فريق العمل التابع للمجلس والمعني بالخطتين الاستراتيجية</w:t>
            </w:r>
            <w:r w:rsidRPr="00B84E7D">
              <w:rPr>
                <w:rFonts w:hint="cs"/>
                <w:position w:val="2"/>
                <w:rtl/>
              </w:rPr>
              <w:t xml:space="preserve"> </w:t>
            </w:r>
            <w:r w:rsidRPr="00B84E7D">
              <w:rPr>
                <w:position w:val="2"/>
                <w:rtl/>
                <w:lang w:bidi="ar-EG"/>
              </w:rPr>
              <w:t>والمالية للفترة</w:t>
            </w:r>
            <w:r w:rsidRPr="00B84E7D">
              <w:rPr>
                <w:rFonts w:hint="cs"/>
                <w:position w:val="2"/>
                <w:rtl/>
                <w:lang w:bidi="ar-EG"/>
              </w:rPr>
              <w:t xml:space="preserve"> </w:t>
            </w:r>
            <w:r w:rsidRPr="00B84E7D">
              <w:rPr>
                <w:position w:val="2"/>
                <w:lang w:bidi="ar-EG"/>
              </w:rPr>
              <w:t>2031-2028</w:t>
            </w:r>
          </w:p>
        </w:tc>
        <w:tc>
          <w:tcPr>
            <w:tcW w:w="1015" w:type="pct"/>
          </w:tcPr>
          <w:p w14:paraId="1BBB0B3A" w14:textId="38F46CF6" w:rsidR="00CE0A96" w:rsidRPr="00B84E7D" w:rsidRDefault="00CE0A96" w:rsidP="00CE0A96">
            <w:pPr>
              <w:spacing w:before="80" w:after="80" w:line="280" w:lineRule="exact"/>
              <w:jc w:val="center"/>
              <w:rPr>
                <w:position w:val="2"/>
                <w:u w:val="single"/>
                <w:lang w:val="en-GB" w:bidi="ar-EG"/>
              </w:rPr>
            </w:pPr>
            <w:hyperlink r:id="rId8" w:history="1">
              <w:r w:rsidRPr="00B84E7D">
                <w:rPr>
                  <w:rStyle w:val="Hyperlink"/>
                  <w:position w:val="2"/>
                  <w:lang w:eastAsia="en-GB"/>
                </w:rPr>
                <w:t>C25/31</w:t>
              </w:r>
            </w:hyperlink>
          </w:p>
        </w:tc>
      </w:tr>
      <w:tr w:rsidR="00CE0A96" w:rsidRPr="00191333" w14:paraId="36C9CBBC" w14:textId="77777777" w:rsidTr="003A1E24">
        <w:trPr>
          <w:trHeight w:val="20"/>
          <w:jc w:val="center"/>
        </w:trPr>
        <w:tc>
          <w:tcPr>
            <w:tcW w:w="242" w:type="pct"/>
          </w:tcPr>
          <w:p w14:paraId="2FDF4D5C" w14:textId="77777777" w:rsidR="00CE0A96" w:rsidRPr="00B84E7D" w:rsidRDefault="00CE0A96" w:rsidP="00CE0A96">
            <w:pPr>
              <w:spacing w:before="80" w:after="80" w:line="280" w:lineRule="exact"/>
              <w:rPr>
                <w:position w:val="2"/>
                <w:lang w:bidi="ar-EG"/>
              </w:rPr>
            </w:pPr>
            <w:r w:rsidRPr="00B84E7D">
              <w:rPr>
                <w:position w:val="2"/>
                <w:lang w:bidi="ar-EG"/>
              </w:rPr>
              <w:t>2</w:t>
            </w:r>
          </w:p>
        </w:tc>
        <w:tc>
          <w:tcPr>
            <w:tcW w:w="3743" w:type="pct"/>
          </w:tcPr>
          <w:p w14:paraId="24A7A242" w14:textId="1A6867C2" w:rsidR="00CE0A96" w:rsidRPr="00B84E7D" w:rsidRDefault="003A1E24" w:rsidP="00CE0A96">
            <w:pPr>
              <w:spacing w:before="80" w:after="80" w:line="280" w:lineRule="exact"/>
              <w:rPr>
                <w:position w:val="2"/>
                <w:rtl/>
                <w:lang w:bidi="ar-EG"/>
              </w:rPr>
            </w:pPr>
            <w:r w:rsidRPr="00B84E7D">
              <w:rPr>
                <w:position w:val="2"/>
                <w:rtl/>
                <w:lang w:bidi="ar-EG"/>
              </w:rPr>
              <w:t>مبادئ توجيهية لتنسيق قرارات ومقررات مؤتمر المندوبين المفوضين</w:t>
            </w:r>
          </w:p>
        </w:tc>
        <w:tc>
          <w:tcPr>
            <w:tcW w:w="1015" w:type="pct"/>
            <w:vAlign w:val="center"/>
          </w:tcPr>
          <w:p w14:paraId="4E087DAA" w14:textId="76B1A964" w:rsidR="00CE0A96" w:rsidRPr="002E51D3" w:rsidRDefault="00CE0A96" w:rsidP="00CE0A96">
            <w:pPr>
              <w:spacing w:before="80" w:after="80" w:line="280" w:lineRule="exact"/>
              <w:jc w:val="center"/>
              <w:rPr>
                <w:position w:val="2"/>
                <w:u w:val="single"/>
                <w:lang w:val="en-GB" w:bidi="ar-EG"/>
              </w:rPr>
            </w:pPr>
            <w:hyperlink r:id="rId9" w:history="1">
              <w:r w:rsidRPr="002E51D3">
                <w:rPr>
                  <w:rStyle w:val="Hyperlink"/>
                  <w:position w:val="2"/>
                </w:rPr>
                <w:t>C25/29</w:t>
              </w:r>
            </w:hyperlink>
            <w:r w:rsidRPr="002E51D3">
              <w:rPr>
                <w:rFonts w:hint="cs"/>
                <w:position w:val="2"/>
                <w:rtl/>
              </w:rPr>
              <w:t xml:space="preserve">، </w:t>
            </w:r>
            <w:hyperlink r:id="rId10" w:history="1">
              <w:r w:rsidRPr="002E51D3">
                <w:rPr>
                  <w:rStyle w:val="Hyperlink"/>
                  <w:position w:val="2"/>
                </w:rPr>
                <w:t>C25/79</w:t>
              </w:r>
            </w:hyperlink>
            <w:r w:rsidRPr="002E51D3">
              <w:rPr>
                <w:rFonts w:hint="cs"/>
                <w:position w:val="2"/>
                <w:rtl/>
              </w:rPr>
              <w:t xml:space="preserve">، </w:t>
            </w:r>
            <w:hyperlink r:id="rId11" w:history="1">
              <w:r w:rsidRPr="002E51D3">
                <w:rPr>
                  <w:rStyle w:val="Hyperlink"/>
                  <w:position w:val="2"/>
                </w:rPr>
                <w:t>C25/91</w:t>
              </w:r>
            </w:hyperlink>
          </w:p>
        </w:tc>
      </w:tr>
      <w:tr w:rsidR="00CE0A96" w:rsidRPr="00191333" w14:paraId="7875A704" w14:textId="77777777" w:rsidTr="003A1E24">
        <w:trPr>
          <w:trHeight w:val="20"/>
          <w:jc w:val="center"/>
        </w:trPr>
        <w:tc>
          <w:tcPr>
            <w:tcW w:w="242" w:type="pct"/>
          </w:tcPr>
          <w:p w14:paraId="7699B121" w14:textId="77777777" w:rsidR="00CE0A96" w:rsidRPr="00B84E7D" w:rsidRDefault="00CE0A96" w:rsidP="00CE0A96">
            <w:pPr>
              <w:spacing w:before="80" w:after="80" w:line="280" w:lineRule="exact"/>
              <w:rPr>
                <w:position w:val="2"/>
                <w:lang w:bidi="ar-EG"/>
              </w:rPr>
            </w:pPr>
            <w:r w:rsidRPr="00B84E7D">
              <w:rPr>
                <w:position w:val="2"/>
                <w:lang w:bidi="ar-EG"/>
              </w:rPr>
              <w:t>3</w:t>
            </w:r>
          </w:p>
        </w:tc>
        <w:tc>
          <w:tcPr>
            <w:tcW w:w="3743" w:type="pct"/>
          </w:tcPr>
          <w:p w14:paraId="012D23EC" w14:textId="7297A3F1" w:rsidR="00CE0A96" w:rsidRPr="00B84E7D" w:rsidRDefault="003A1E24" w:rsidP="003A1E24">
            <w:pPr>
              <w:spacing w:before="80" w:after="80" w:line="280" w:lineRule="exact"/>
              <w:rPr>
                <w:position w:val="2"/>
                <w:rtl/>
                <w:lang w:bidi="ar-EG"/>
              </w:rPr>
            </w:pPr>
            <w:r w:rsidRPr="00B84E7D">
              <w:rPr>
                <w:position w:val="2"/>
                <w:rtl/>
                <w:lang w:bidi="ar-EG"/>
              </w:rPr>
              <w:t>الأعمال التحضيرية للمنتدى العالمي لسياسات الاتصالات/تكنولوجيا المعلومات</w:t>
            </w:r>
            <w:r w:rsidRPr="00B84E7D">
              <w:rPr>
                <w:rFonts w:hint="cs"/>
                <w:position w:val="2"/>
                <w:rtl/>
              </w:rPr>
              <w:t xml:space="preserve"> </w:t>
            </w:r>
            <w:r w:rsidRPr="00B84E7D">
              <w:rPr>
                <w:position w:val="2"/>
                <w:rtl/>
                <w:lang w:bidi="ar-EG"/>
              </w:rPr>
              <w:t>والاتصالات لعام</w:t>
            </w:r>
            <w:r w:rsidRPr="00B84E7D">
              <w:rPr>
                <w:rFonts w:hint="cs"/>
                <w:position w:val="2"/>
                <w:rtl/>
                <w:lang w:bidi="ar-EG"/>
              </w:rPr>
              <w:t xml:space="preserve"> </w:t>
            </w:r>
            <w:r w:rsidRPr="00B84E7D">
              <w:rPr>
                <w:rFonts w:hint="cs"/>
                <w:position w:val="2"/>
                <w:lang w:bidi="ar-EG"/>
              </w:rPr>
              <w:t>2026</w:t>
            </w:r>
            <w:r w:rsidRPr="00B84E7D">
              <w:rPr>
                <w:rFonts w:hint="cs"/>
                <w:position w:val="2"/>
                <w:rtl/>
                <w:lang w:bidi="ar-EG"/>
              </w:rPr>
              <w:t xml:space="preserve"> </w:t>
            </w:r>
            <w:r w:rsidRPr="00B84E7D">
              <w:rPr>
                <w:position w:val="2"/>
                <w:lang w:bidi="ar-EG"/>
              </w:rPr>
              <w:t>(WTPF-26)</w:t>
            </w:r>
          </w:p>
        </w:tc>
        <w:tc>
          <w:tcPr>
            <w:tcW w:w="1015" w:type="pct"/>
          </w:tcPr>
          <w:p w14:paraId="3BC7BB9F" w14:textId="3AED1E76" w:rsidR="00CE0A96" w:rsidRPr="00B84E7D" w:rsidRDefault="00CE0A96" w:rsidP="00CE0A96">
            <w:pPr>
              <w:spacing w:before="80" w:after="80" w:line="280" w:lineRule="exact"/>
              <w:jc w:val="center"/>
              <w:rPr>
                <w:position w:val="2"/>
                <w:u w:val="single"/>
                <w:rtl/>
                <w:lang w:val="en-GB" w:bidi="ar-EG"/>
              </w:rPr>
            </w:pPr>
            <w:hyperlink r:id="rId12" w:history="1">
              <w:r w:rsidRPr="00B84E7D">
                <w:rPr>
                  <w:rStyle w:val="Hyperlink"/>
                  <w:position w:val="2"/>
                </w:rPr>
                <w:t>C25/5(Rev.1)</w:t>
              </w:r>
              <w:r w:rsidRPr="00B84E7D">
                <w:rPr>
                  <w:rStyle w:val="Hyperlink"/>
                  <w:position w:val="2"/>
                </w:rPr>
                <w:br/>
              </w:r>
              <w:r w:rsidRPr="00B84E7D">
                <w:rPr>
                  <w:rStyle w:val="Hyperlink"/>
                  <w:rFonts w:hint="cs"/>
                  <w:position w:val="2"/>
                  <w:rtl/>
                </w:rPr>
                <w:t>+</w:t>
              </w:r>
            </w:hyperlink>
            <w:r w:rsidRPr="00B84E7D">
              <w:rPr>
                <w:rStyle w:val="Hyperlink"/>
                <w:rFonts w:hint="cs"/>
                <w:position w:val="2"/>
                <w:rtl/>
              </w:rPr>
              <w:t xml:space="preserve"> </w:t>
            </w:r>
            <w:r w:rsidR="004E35DE">
              <w:rPr>
                <w:rStyle w:val="Hyperlink"/>
                <w:rFonts w:hint="cs"/>
                <w:position w:val="2"/>
                <w:rtl/>
              </w:rPr>
              <w:t>الإضافة 1</w:t>
            </w:r>
          </w:p>
        </w:tc>
      </w:tr>
      <w:tr w:rsidR="00CE0A96" w:rsidRPr="00191333" w14:paraId="0918D1AC" w14:textId="77777777" w:rsidTr="003A1E24">
        <w:trPr>
          <w:trHeight w:val="20"/>
          <w:jc w:val="center"/>
        </w:trPr>
        <w:tc>
          <w:tcPr>
            <w:tcW w:w="242" w:type="pct"/>
          </w:tcPr>
          <w:p w14:paraId="54952B1B" w14:textId="77777777" w:rsidR="00CE0A96" w:rsidRPr="00B84E7D" w:rsidRDefault="00CE0A96" w:rsidP="00CE0A96">
            <w:pPr>
              <w:spacing w:before="80" w:after="80" w:line="280" w:lineRule="exact"/>
              <w:rPr>
                <w:position w:val="2"/>
                <w:lang w:bidi="ar-EG"/>
              </w:rPr>
            </w:pPr>
            <w:r w:rsidRPr="00B84E7D">
              <w:rPr>
                <w:position w:val="2"/>
                <w:lang w:bidi="ar-EG"/>
              </w:rPr>
              <w:t>4</w:t>
            </w:r>
          </w:p>
        </w:tc>
        <w:tc>
          <w:tcPr>
            <w:tcW w:w="3743" w:type="pct"/>
          </w:tcPr>
          <w:p w14:paraId="79A37EF3" w14:textId="3BEE4E69" w:rsidR="00CE0A96" w:rsidRPr="00B84E7D" w:rsidRDefault="003A1E24" w:rsidP="003A1E24">
            <w:pPr>
              <w:spacing w:before="80" w:after="80" w:line="280" w:lineRule="exact"/>
              <w:rPr>
                <w:spacing w:val="-2"/>
                <w:position w:val="2"/>
                <w:lang w:bidi="ar-EG"/>
              </w:rPr>
            </w:pPr>
            <w:r w:rsidRPr="00B84E7D">
              <w:rPr>
                <w:spacing w:val="-2"/>
                <w:position w:val="2"/>
                <w:rtl/>
                <w:lang w:bidi="ar-EG"/>
              </w:rPr>
              <w:t>استعراض نواتج القمة العالمية لمجتمع المعلومات بعد مرور عشرين عاماً على</w:t>
            </w:r>
            <w:r w:rsidRPr="00B84E7D">
              <w:rPr>
                <w:rFonts w:hint="cs"/>
                <w:spacing w:val="-2"/>
                <w:position w:val="2"/>
                <w:rtl/>
              </w:rPr>
              <w:t xml:space="preserve"> </w:t>
            </w:r>
            <w:r w:rsidRPr="00B84E7D">
              <w:rPr>
                <w:spacing w:val="-2"/>
                <w:position w:val="2"/>
                <w:rtl/>
                <w:lang w:bidi="ar-EG"/>
              </w:rPr>
              <w:t>انعقادها</w:t>
            </w:r>
            <w:r w:rsidRPr="00B84E7D">
              <w:rPr>
                <w:rFonts w:hint="cs"/>
                <w:spacing w:val="-2"/>
                <w:position w:val="2"/>
                <w:rtl/>
                <w:lang w:bidi="ar-EG"/>
              </w:rPr>
              <w:t> </w:t>
            </w:r>
            <w:r w:rsidRPr="00B84E7D">
              <w:rPr>
                <w:spacing w:val="-2"/>
                <w:position w:val="2"/>
                <w:lang w:bidi="ar-EG"/>
              </w:rPr>
              <w:t>(WSIS+20)</w:t>
            </w:r>
            <w:r w:rsidRPr="00B84E7D">
              <w:rPr>
                <w:spacing w:val="-2"/>
                <w:position w:val="2"/>
                <w:rtl/>
                <w:lang w:bidi="ar-EG"/>
              </w:rPr>
              <w:t xml:space="preserve"> - دعوة الاتحاد لتقديم مساهمات: ملخص</w:t>
            </w:r>
            <w:r w:rsidRPr="00B84E7D">
              <w:rPr>
                <w:rFonts w:hint="cs"/>
                <w:spacing w:val="-2"/>
                <w:position w:val="2"/>
                <w:rtl/>
                <w:lang w:bidi="ar-EG"/>
              </w:rPr>
              <w:t xml:space="preserve"> </w:t>
            </w:r>
            <w:r w:rsidRPr="00B84E7D">
              <w:rPr>
                <w:spacing w:val="-2"/>
                <w:position w:val="2"/>
                <w:rtl/>
                <w:lang w:bidi="ar-EG"/>
              </w:rPr>
              <w:t>المساهمات المستلمة</w:t>
            </w:r>
          </w:p>
        </w:tc>
        <w:tc>
          <w:tcPr>
            <w:tcW w:w="1015" w:type="pct"/>
          </w:tcPr>
          <w:p w14:paraId="104A2FCF" w14:textId="568208EB" w:rsidR="00CE0A96" w:rsidRPr="00B84E7D" w:rsidRDefault="00CE0A96" w:rsidP="00CE0A96">
            <w:pPr>
              <w:spacing w:before="80" w:after="80" w:line="280" w:lineRule="exact"/>
              <w:jc w:val="center"/>
              <w:rPr>
                <w:position w:val="2"/>
                <w:u w:val="single"/>
                <w:lang w:val="en-GB" w:bidi="ar-EG"/>
              </w:rPr>
            </w:pPr>
            <w:hyperlink r:id="rId13" w:history="1">
              <w:r w:rsidRPr="00B84E7D">
                <w:rPr>
                  <w:rStyle w:val="Hyperlink"/>
                  <w:position w:val="2"/>
                </w:rPr>
                <w:t>C25/53</w:t>
              </w:r>
            </w:hyperlink>
          </w:p>
        </w:tc>
      </w:tr>
      <w:tr w:rsidR="00CE0A96" w:rsidRPr="00191333" w14:paraId="1DE87F75" w14:textId="77777777" w:rsidTr="003A1E24">
        <w:trPr>
          <w:trHeight w:val="20"/>
          <w:jc w:val="center"/>
        </w:trPr>
        <w:tc>
          <w:tcPr>
            <w:tcW w:w="242" w:type="pct"/>
          </w:tcPr>
          <w:p w14:paraId="1830732D" w14:textId="77777777" w:rsidR="00CE0A96" w:rsidRPr="00B84E7D" w:rsidRDefault="00CE0A96" w:rsidP="00CE0A96">
            <w:pPr>
              <w:spacing w:before="80" w:after="80" w:line="280" w:lineRule="exact"/>
              <w:rPr>
                <w:position w:val="2"/>
                <w:lang w:bidi="ar-EG"/>
              </w:rPr>
            </w:pPr>
            <w:r w:rsidRPr="00B84E7D">
              <w:rPr>
                <w:position w:val="2"/>
                <w:lang w:bidi="ar-EG"/>
              </w:rPr>
              <w:t>5</w:t>
            </w:r>
          </w:p>
        </w:tc>
        <w:tc>
          <w:tcPr>
            <w:tcW w:w="3743" w:type="pct"/>
          </w:tcPr>
          <w:p w14:paraId="15BF47F6" w14:textId="54C074F2" w:rsidR="00CE0A96" w:rsidRPr="00B84E7D" w:rsidRDefault="003A1E24" w:rsidP="00CE0A96">
            <w:pPr>
              <w:spacing w:before="80" w:after="80" w:line="280" w:lineRule="exact"/>
              <w:rPr>
                <w:position w:val="2"/>
                <w:lang w:bidi="ar-EG"/>
              </w:rPr>
            </w:pPr>
            <w:r w:rsidRPr="00B84E7D">
              <w:rPr>
                <w:position w:val="2"/>
                <w:rtl/>
                <w:lang w:bidi="ar-EG"/>
              </w:rPr>
              <w:t>معلومات محدَّثة عن خطة عمل الاتحاد لتنفيذ الميثاق الرقمي العالمي</w:t>
            </w:r>
          </w:p>
        </w:tc>
        <w:tc>
          <w:tcPr>
            <w:tcW w:w="1015" w:type="pct"/>
          </w:tcPr>
          <w:p w14:paraId="66386E33" w14:textId="559D08DE" w:rsidR="00CE0A96" w:rsidRPr="00B84E7D" w:rsidRDefault="00CE0A96" w:rsidP="00CE0A96">
            <w:pPr>
              <w:spacing w:before="80" w:after="80" w:line="280" w:lineRule="exact"/>
              <w:jc w:val="center"/>
              <w:rPr>
                <w:position w:val="2"/>
                <w:u w:val="single"/>
                <w:lang w:val="en-GB" w:bidi="ar-EG"/>
              </w:rPr>
            </w:pPr>
            <w:hyperlink r:id="rId14" w:history="1">
              <w:r w:rsidRPr="00B84E7D">
                <w:rPr>
                  <w:rStyle w:val="Hyperlink"/>
                  <w:position w:val="2"/>
                </w:rPr>
                <w:t>C25/52</w:t>
              </w:r>
            </w:hyperlink>
          </w:p>
        </w:tc>
      </w:tr>
      <w:tr w:rsidR="00CE0A96" w:rsidRPr="00191333" w14:paraId="71AC83EB" w14:textId="77777777" w:rsidTr="003A1E24">
        <w:trPr>
          <w:trHeight w:val="20"/>
          <w:jc w:val="center"/>
        </w:trPr>
        <w:tc>
          <w:tcPr>
            <w:tcW w:w="242" w:type="pct"/>
          </w:tcPr>
          <w:p w14:paraId="7B6E78AD" w14:textId="77777777" w:rsidR="00CE0A96" w:rsidRPr="00B84E7D" w:rsidRDefault="00CE0A96" w:rsidP="00CE0A96">
            <w:pPr>
              <w:spacing w:before="80" w:after="80" w:line="280" w:lineRule="exact"/>
              <w:rPr>
                <w:position w:val="2"/>
                <w:lang w:bidi="ar-EG"/>
              </w:rPr>
            </w:pPr>
            <w:r w:rsidRPr="00B84E7D">
              <w:rPr>
                <w:position w:val="2"/>
                <w:lang w:bidi="ar-EG"/>
              </w:rPr>
              <w:t>6</w:t>
            </w:r>
          </w:p>
        </w:tc>
        <w:tc>
          <w:tcPr>
            <w:tcW w:w="3743" w:type="pct"/>
          </w:tcPr>
          <w:p w14:paraId="5818887F" w14:textId="17996C9B" w:rsidR="00CE0A96" w:rsidRPr="00B84E7D" w:rsidRDefault="003A1E24" w:rsidP="00CE0A96">
            <w:pPr>
              <w:spacing w:before="80" w:after="80" w:line="280" w:lineRule="exact"/>
              <w:rPr>
                <w:position w:val="2"/>
                <w:lang w:bidi="ar-EG"/>
              </w:rPr>
            </w:pPr>
            <w:r w:rsidRPr="00B84E7D">
              <w:rPr>
                <w:position w:val="2"/>
                <w:rtl/>
                <w:lang w:bidi="ar-EG"/>
              </w:rPr>
              <w:t>تقوية الحضور الإقليمي للاتحاد</w:t>
            </w:r>
          </w:p>
        </w:tc>
        <w:tc>
          <w:tcPr>
            <w:tcW w:w="1015" w:type="pct"/>
          </w:tcPr>
          <w:p w14:paraId="40394F85" w14:textId="046A2344" w:rsidR="00CE0A96" w:rsidRPr="00B84E7D" w:rsidRDefault="00CE0A96" w:rsidP="00CE0A96">
            <w:pPr>
              <w:spacing w:before="80" w:after="80" w:line="280" w:lineRule="exact"/>
              <w:jc w:val="center"/>
              <w:rPr>
                <w:position w:val="2"/>
                <w:lang w:bidi="ar-EG"/>
              </w:rPr>
            </w:pPr>
            <w:hyperlink r:id="rId15" w:history="1">
              <w:r w:rsidRPr="00B84E7D">
                <w:rPr>
                  <w:rStyle w:val="Hyperlink"/>
                  <w:position w:val="2"/>
                </w:rPr>
                <w:t>C25/25(Rev.1)</w:t>
              </w:r>
            </w:hyperlink>
          </w:p>
        </w:tc>
      </w:tr>
      <w:bookmarkEnd w:id="0"/>
      <w:bookmarkEnd w:id="1"/>
    </w:tbl>
    <w:p w14:paraId="2F5905A4" w14:textId="77777777" w:rsidR="00F50E3F" w:rsidRDefault="00F50E3F" w:rsidP="0043260A">
      <w:pPr>
        <w:rPr>
          <w:rtl/>
          <w:lang w:bidi="ar-EG"/>
        </w:rPr>
      </w:pPr>
      <w:r>
        <w:rPr>
          <w:rtl/>
          <w:lang w:bidi="ar-EG"/>
        </w:rPr>
        <w:br w:type="page"/>
      </w:r>
    </w:p>
    <w:p w14:paraId="23C08FD2" w14:textId="77777777" w:rsidR="001D4C79" w:rsidRDefault="003A1E24" w:rsidP="003A1E24">
      <w:pPr>
        <w:pStyle w:val="Heading1"/>
        <w:rPr>
          <w:rtl/>
          <w:lang w:bidi="ar-EG"/>
        </w:rPr>
      </w:pPr>
      <w:r>
        <w:rPr>
          <w:lang w:bidi="ar-EG"/>
        </w:rPr>
        <w:lastRenderedPageBreak/>
        <w:t>1</w:t>
      </w:r>
      <w:r>
        <w:rPr>
          <w:rtl/>
          <w:lang w:bidi="ar-EG"/>
        </w:rPr>
        <w:tab/>
        <w:t>تقرير من رئيس فريق العمل التابع للمجلس والمعني بالخطتين الاستراتيجية</w:t>
      </w:r>
      <w:r>
        <w:rPr>
          <w:rFonts w:hint="cs"/>
          <w:rtl/>
        </w:rPr>
        <w:t xml:space="preserve"> </w:t>
      </w:r>
      <w:r>
        <w:rPr>
          <w:rtl/>
          <w:lang w:bidi="ar-EG"/>
        </w:rPr>
        <w:t>والمالية للفترة</w:t>
      </w:r>
      <w:r>
        <w:rPr>
          <w:rFonts w:hint="cs"/>
          <w:rtl/>
          <w:lang w:bidi="ar-EG"/>
        </w:rPr>
        <w:t xml:space="preserve"> </w:t>
      </w:r>
      <w:r>
        <w:rPr>
          <w:lang w:bidi="ar-EG"/>
        </w:rPr>
        <w:t>2031-2028</w:t>
      </w:r>
      <w:r w:rsidR="000C3ED9">
        <w:rPr>
          <w:rFonts w:hint="cs"/>
          <w:rtl/>
        </w:rPr>
        <w:t xml:space="preserve"> (الوثيقة </w:t>
      </w:r>
      <w:hyperlink r:id="rId16" w:history="1">
        <w:r w:rsidR="000C3ED9" w:rsidRPr="00B94141">
          <w:rPr>
            <w:rStyle w:val="Hyperlink"/>
          </w:rPr>
          <w:t>C25/31</w:t>
        </w:r>
      </w:hyperlink>
      <w:r w:rsidR="000C3ED9">
        <w:rPr>
          <w:rFonts w:hint="cs"/>
          <w:rtl/>
        </w:rPr>
        <w:t>)</w:t>
      </w:r>
    </w:p>
    <w:p w14:paraId="2AEC5D3D" w14:textId="1C988F5C" w:rsidR="006E6843" w:rsidRDefault="006E6843" w:rsidP="006E6843">
      <w:pPr>
        <w:rPr>
          <w:rtl/>
          <w:lang w:bidi="ar-EG"/>
        </w:rPr>
      </w:pPr>
      <w:r>
        <w:rPr>
          <w:lang w:bidi="ar-EG"/>
        </w:rPr>
        <w:t>1.1</w:t>
      </w:r>
      <w:r>
        <w:rPr>
          <w:rtl/>
          <w:lang w:bidi="ar-EG"/>
        </w:rPr>
        <w:tab/>
        <w:t xml:space="preserve">قدم رئيس فريق العمل التابع للمجلس </w:t>
      </w:r>
      <w:r w:rsidR="00D36C8F">
        <w:rPr>
          <w:rFonts w:hint="cs"/>
          <w:rtl/>
        </w:rPr>
        <w:t>و</w:t>
      </w:r>
      <w:r>
        <w:rPr>
          <w:rtl/>
          <w:lang w:bidi="ar-EG"/>
        </w:rPr>
        <w:t xml:space="preserve">المعني بالخطتين الاستراتيجية والمالية </w:t>
      </w:r>
      <w:r>
        <w:rPr>
          <w:lang w:bidi="ar-EG"/>
        </w:rPr>
        <w:t>(CWG-SFP)</w:t>
      </w:r>
      <w:r>
        <w:rPr>
          <w:rtl/>
          <w:lang w:bidi="ar-EG"/>
        </w:rPr>
        <w:t xml:space="preserve"> للفترة</w:t>
      </w:r>
      <w:r w:rsidR="00D36C8F">
        <w:rPr>
          <w:rFonts w:hint="cs"/>
          <w:rtl/>
          <w:lang w:bidi="ar-EG"/>
        </w:rPr>
        <w:t> </w:t>
      </w:r>
      <w:r w:rsidR="00D36C8F">
        <w:rPr>
          <w:lang w:bidi="ar-EG"/>
        </w:rPr>
        <w:t>2031-2028</w:t>
      </w:r>
      <w:r>
        <w:rPr>
          <w:rtl/>
          <w:lang w:bidi="ar-EG"/>
        </w:rPr>
        <w:t xml:space="preserve"> الوثيقة </w:t>
      </w:r>
      <w:r>
        <w:rPr>
          <w:lang w:bidi="ar-EG"/>
        </w:rPr>
        <w:t>C25/31</w:t>
      </w:r>
      <w:r>
        <w:rPr>
          <w:rtl/>
          <w:lang w:bidi="ar-EG"/>
        </w:rPr>
        <w:t xml:space="preserve"> التي تعرض التقدم الذي أحرزه الفريق </w:t>
      </w:r>
      <w:r>
        <w:rPr>
          <w:lang w:bidi="ar-EG"/>
        </w:rPr>
        <w:t>CWG-SFP</w:t>
      </w:r>
      <w:r>
        <w:rPr>
          <w:rtl/>
          <w:lang w:bidi="ar-EG"/>
        </w:rPr>
        <w:t xml:space="preserve"> منذ عام </w:t>
      </w:r>
      <w:r>
        <w:rPr>
          <w:lang w:bidi="ar-EG"/>
        </w:rPr>
        <w:t>2024</w:t>
      </w:r>
      <w:r>
        <w:rPr>
          <w:rtl/>
          <w:lang w:bidi="ar-EG"/>
        </w:rPr>
        <w:t xml:space="preserve">. وقد اجتمع الفريق في أكتوبر </w:t>
      </w:r>
      <w:r>
        <w:rPr>
          <w:lang w:bidi="ar-EG"/>
        </w:rPr>
        <w:t>2024</w:t>
      </w:r>
      <w:r>
        <w:rPr>
          <w:rtl/>
          <w:lang w:bidi="ar-EG"/>
        </w:rPr>
        <w:t xml:space="preserve"> وفبراير </w:t>
      </w:r>
      <w:r>
        <w:rPr>
          <w:lang w:bidi="ar-EG"/>
        </w:rPr>
        <w:t>2025</w:t>
      </w:r>
      <w:r>
        <w:rPr>
          <w:rtl/>
          <w:lang w:bidi="ar-EG"/>
        </w:rPr>
        <w:t xml:space="preserve"> وعزز التعاون مع الدول الأعضاء والأفرقة الاستشارية الثلاثة للقطاعات (التي تُبلّغ بانتظام وتُدعى للمشاركة في العملية من خلال بيانات الاتصال)، والفريق المشترك بين القطاعات التابع للأمانة، برئاسة نائب الأمينة العامة، ووكالات منظومة الأمم المتحدة التي دُعيت أيض</w:t>
      </w:r>
      <w:r w:rsidR="00D36C8F">
        <w:rPr>
          <w:rtl/>
          <w:lang w:bidi="ar-EG"/>
        </w:rPr>
        <w:t>اً</w:t>
      </w:r>
      <w:r>
        <w:rPr>
          <w:rtl/>
          <w:lang w:bidi="ar-EG"/>
        </w:rPr>
        <w:t xml:space="preserve"> لعرض تجاربها الخاصة عند صياغة خططها الاستراتيجية</w:t>
      </w:r>
      <w:r w:rsidR="00D36C8F">
        <w:rPr>
          <w:rFonts w:hint="cs"/>
          <w:rtl/>
          <w:lang w:bidi="ar-EG"/>
        </w:rPr>
        <w:t>.</w:t>
      </w:r>
      <w:r>
        <w:rPr>
          <w:rtl/>
          <w:lang w:bidi="ar-EG"/>
        </w:rPr>
        <w:t xml:space="preserve"> وعمل الفريق أيضا</w:t>
      </w:r>
      <w:r w:rsidR="00D36C8F">
        <w:rPr>
          <w:rFonts w:hint="cs"/>
          <w:rtl/>
          <w:lang w:bidi="ar-EG"/>
        </w:rPr>
        <w:t>ً</w:t>
      </w:r>
      <w:r>
        <w:rPr>
          <w:rtl/>
          <w:lang w:bidi="ar-EG"/>
        </w:rPr>
        <w:t xml:space="preserve"> بشكل وثيق مع أفرقة الإحصاءات التابعة للاتحاد، التي كانت خبرتها ضرورية في قياس التقدم المحرز والتأثير. ولم تكن الخطتان الاستراتيجية والمالية مجرد أدوات للتخطيط وإنما أيضا</w:t>
      </w:r>
      <w:r w:rsidR="00D36C8F">
        <w:rPr>
          <w:rFonts w:hint="cs"/>
          <w:rtl/>
          <w:lang w:bidi="ar-EG"/>
        </w:rPr>
        <w:t>ً</w:t>
      </w:r>
      <w:r>
        <w:rPr>
          <w:rtl/>
          <w:lang w:bidi="ar-EG"/>
        </w:rPr>
        <w:t xml:space="preserve"> وسيلة لتتبع التنفيذ وتوجيه التحسين المستمر.</w:t>
      </w:r>
    </w:p>
    <w:p w14:paraId="48C1C87F" w14:textId="53509BC6" w:rsidR="006E6843" w:rsidRDefault="006E6843" w:rsidP="006E6843">
      <w:pPr>
        <w:rPr>
          <w:rtl/>
          <w:lang w:bidi="ar-EG"/>
        </w:rPr>
      </w:pPr>
      <w:r>
        <w:rPr>
          <w:lang w:bidi="ar-EG"/>
        </w:rPr>
        <w:t>2.1</w:t>
      </w:r>
      <w:r>
        <w:rPr>
          <w:rtl/>
          <w:lang w:bidi="ar-EG"/>
        </w:rPr>
        <w:tab/>
        <w:t xml:space="preserve">وأعرب أعضاء المجلس عن تقديرهم للتقدم المحرز في إعداد مشروعي الخطتين الاستراتيجية والمالية ورحبوا بمستوى التعاون مع الدول الأعضاء. وأشار أحد المراقبين إلى أن تيسير استخدام الطيف والموارد المدارية، على النحو المنصوص عليه في المادة </w:t>
      </w:r>
      <w:r>
        <w:rPr>
          <w:lang w:bidi="ar-EG"/>
        </w:rPr>
        <w:t>44</w:t>
      </w:r>
      <w:r>
        <w:rPr>
          <w:rtl/>
          <w:lang w:bidi="ar-EG"/>
        </w:rPr>
        <w:t xml:space="preserve"> من دستور الاتحاد، هو نشاط أساسي للاتحاد وينبغي ألا يصنَّف على أنه أولوية "محورية"، وقال علاوة</w:t>
      </w:r>
      <w:r w:rsidR="00D36C8F">
        <w:rPr>
          <w:rFonts w:hint="cs"/>
          <w:rtl/>
          <w:lang w:bidi="ar-EG"/>
        </w:rPr>
        <w:t>ً</w:t>
      </w:r>
      <w:r>
        <w:rPr>
          <w:rtl/>
          <w:lang w:bidi="ar-EG"/>
        </w:rPr>
        <w:t xml:space="preserve"> على ذلك إن بعض مؤشرات النتائج المسندة إليه ليست مناسبة.</w:t>
      </w:r>
    </w:p>
    <w:p w14:paraId="764F6BE1" w14:textId="50AD26A9" w:rsidR="001D4C79" w:rsidRDefault="006E6843" w:rsidP="006E6843">
      <w:pPr>
        <w:rPr>
          <w:rtl/>
          <w:lang w:bidi="ar-EG"/>
        </w:rPr>
      </w:pPr>
      <w:r>
        <w:rPr>
          <w:lang w:bidi="ar-EG"/>
        </w:rPr>
        <w:t>3.1</w:t>
      </w:r>
      <w:r>
        <w:rPr>
          <w:rtl/>
          <w:lang w:bidi="ar-EG"/>
        </w:rPr>
        <w:tab/>
        <w:t xml:space="preserve">وقال رئيس الفريق </w:t>
      </w:r>
      <w:r>
        <w:rPr>
          <w:lang w:bidi="ar-EG"/>
        </w:rPr>
        <w:t>CWG-SFP</w:t>
      </w:r>
      <w:r>
        <w:rPr>
          <w:rtl/>
          <w:lang w:bidi="ar-EG"/>
        </w:rPr>
        <w:t>، ردا</w:t>
      </w:r>
      <w:r w:rsidR="00D36C8F">
        <w:rPr>
          <w:rFonts w:hint="cs"/>
          <w:rtl/>
          <w:lang w:bidi="ar-EG"/>
        </w:rPr>
        <w:t>ً</w:t>
      </w:r>
      <w:r>
        <w:rPr>
          <w:rtl/>
          <w:lang w:bidi="ar-EG"/>
        </w:rPr>
        <w:t xml:space="preserve"> على أسئلة وتعليقات أعضاء المجلس، إن نتائج المشاورة عبر الإنترنت أدرجت في تقارير الفريق. ومن شأن مدخلات الأفرقة الاستشارية للقطاعات أن ترشد في تحديد أولويات القطاعات وكيفية قياسها. وبالنسبة لاجتماع سبتمبر </w:t>
      </w:r>
      <w:r>
        <w:rPr>
          <w:lang w:bidi="ar-EG"/>
        </w:rPr>
        <w:t>2025</w:t>
      </w:r>
      <w:r>
        <w:rPr>
          <w:rtl/>
          <w:lang w:bidi="ar-EG"/>
        </w:rPr>
        <w:t xml:space="preserve"> للفريق </w:t>
      </w:r>
      <w:r>
        <w:rPr>
          <w:lang w:bidi="ar-EG"/>
        </w:rPr>
        <w:t>CWG-SFP</w:t>
      </w:r>
      <w:r>
        <w:rPr>
          <w:rtl/>
          <w:lang w:bidi="ar-EG"/>
        </w:rPr>
        <w:t>، ستُعدّ الأمانة أطرا</w:t>
      </w:r>
      <w:r w:rsidR="00D36C8F">
        <w:rPr>
          <w:rFonts w:hint="cs"/>
          <w:rtl/>
          <w:lang w:bidi="ar-EG"/>
        </w:rPr>
        <w:t>ً</w:t>
      </w:r>
      <w:r>
        <w:rPr>
          <w:rtl/>
          <w:lang w:bidi="ar-EG"/>
        </w:rPr>
        <w:t xml:space="preserve"> لمشروعي الخطتين الاستراتيجية والمالية، مع روابط واضحة بين الخطط الاستراتيجية والمالية والتشغيلية. وستُقدَّم </w:t>
      </w:r>
      <w:r w:rsidR="00CC6920">
        <w:rPr>
          <w:rFonts w:hint="cs"/>
          <w:rtl/>
          <w:lang w:bidi="ar-EG"/>
        </w:rPr>
        <w:t>إ</w:t>
      </w:r>
      <w:r w:rsidR="00D36C8F">
        <w:rPr>
          <w:rFonts w:hint="cs"/>
          <w:rtl/>
          <w:lang w:bidi="ar-EG"/>
        </w:rPr>
        <w:t>حاطات</w:t>
      </w:r>
      <w:r>
        <w:rPr>
          <w:rtl/>
          <w:lang w:bidi="ar-EG"/>
        </w:rPr>
        <w:t xml:space="preserve"> إلى الأفرقة الاستشارية للقطاعات وكجزء من العمليات التحضيرية للمؤتمر العالمي لتنمية الاتصالات ومؤتمر المندوبين المفوضين</w:t>
      </w:r>
      <w:r w:rsidR="004E35DE">
        <w:rPr>
          <w:rFonts w:hint="cs"/>
          <w:rtl/>
          <w:lang w:bidi="ar-EG"/>
        </w:rPr>
        <w:t> </w:t>
      </w:r>
      <w:r w:rsidR="004E35DE">
        <w:rPr>
          <w:lang w:bidi="ar-EG"/>
        </w:rPr>
        <w:t>(PP)</w:t>
      </w:r>
      <w:r>
        <w:rPr>
          <w:rtl/>
          <w:lang w:bidi="ar-EG"/>
        </w:rPr>
        <w:t xml:space="preserve">. وتُعقد جلسة إعلامية بعد تلك الجلسة العامة لتقديم مزيد من المعلومات عن التقدم المحرز والخطوات المتخذة نحو الانتهاء من مشروعي الخطتين الاستراتيجية والمالية قبل تقديمهما إلى دورة المجلس لعام </w:t>
      </w:r>
      <w:r>
        <w:rPr>
          <w:lang w:bidi="ar-EG"/>
        </w:rPr>
        <w:t>2026</w:t>
      </w:r>
      <w:r>
        <w:rPr>
          <w:rtl/>
          <w:lang w:bidi="ar-EG"/>
        </w:rPr>
        <w:t>.</w:t>
      </w:r>
    </w:p>
    <w:p w14:paraId="14A5CBC3" w14:textId="63B70F0C" w:rsidR="006A56EB" w:rsidRDefault="006A56EB" w:rsidP="000C3ED9">
      <w:pPr>
        <w:rPr>
          <w:rtl/>
          <w:lang w:bidi="ar-EG"/>
        </w:rPr>
      </w:pPr>
      <w:r>
        <w:rPr>
          <w:lang w:bidi="ar-EG"/>
        </w:rPr>
        <w:t>4.1</w:t>
      </w:r>
      <w:r>
        <w:rPr>
          <w:rtl/>
          <w:lang w:bidi="ar-EG"/>
        </w:rPr>
        <w:tab/>
      </w:r>
      <w:r w:rsidRPr="000C1483">
        <w:rPr>
          <w:b/>
          <w:bCs/>
          <w:rtl/>
        </w:rPr>
        <w:t>و</w:t>
      </w:r>
      <w:r w:rsidR="002E65E7">
        <w:rPr>
          <w:rFonts w:hint="cs"/>
          <w:b/>
          <w:bCs/>
          <w:rtl/>
        </w:rPr>
        <w:t xml:space="preserve">أخذ </w:t>
      </w:r>
      <w:r w:rsidRPr="00280A83">
        <w:rPr>
          <w:rtl/>
        </w:rPr>
        <w:t xml:space="preserve">المجلس </w:t>
      </w:r>
      <w:r w:rsidRPr="00280A83">
        <w:rPr>
          <w:b/>
          <w:bCs/>
          <w:rtl/>
        </w:rPr>
        <w:t xml:space="preserve">علماً </w:t>
      </w:r>
      <w:r w:rsidRPr="00280A83">
        <w:rPr>
          <w:rtl/>
        </w:rPr>
        <w:t>بالتقرير الوارد</w:t>
      </w:r>
      <w:r>
        <w:rPr>
          <w:rFonts w:hint="cs"/>
          <w:rtl/>
        </w:rPr>
        <w:t xml:space="preserve"> </w:t>
      </w:r>
      <w:r w:rsidRPr="00280A83">
        <w:rPr>
          <w:rtl/>
        </w:rPr>
        <w:t>في الوثيق</w:t>
      </w:r>
      <w:r>
        <w:rPr>
          <w:rFonts w:hint="cs"/>
          <w:rtl/>
        </w:rPr>
        <w:t>ة</w:t>
      </w:r>
      <w:r w:rsidRPr="00280A83">
        <w:rPr>
          <w:rtl/>
        </w:rPr>
        <w:t xml:space="preserve"> </w:t>
      </w:r>
      <w:r w:rsidR="00EC1E12">
        <w:t>C25/31</w:t>
      </w:r>
      <w:r w:rsidR="00EC1E12">
        <w:rPr>
          <w:rFonts w:hint="cs"/>
          <w:rtl/>
        </w:rPr>
        <w:t>.</w:t>
      </w:r>
    </w:p>
    <w:p w14:paraId="3612FA84" w14:textId="55E312E5" w:rsidR="003A1E24" w:rsidRPr="00191333" w:rsidRDefault="003A1E24" w:rsidP="003A1E24">
      <w:pPr>
        <w:pStyle w:val="Heading1"/>
        <w:rPr>
          <w:rtl/>
        </w:rPr>
      </w:pPr>
      <w:r>
        <w:rPr>
          <w:lang w:bidi="ar-EG"/>
        </w:rPr>
        <w:t>2</w:t>
      </w:r>
      <w:r>
        <w:rPr>
          <w:rtl/>
          <w:lang w:bidi="ar-EG"/>
        </w:rPr>
        <w:tab/>
      </w:r>
      <w:r w:rsidRPr="003A1E24">
        <w:rPr>
          <w:rtl/>
          <w:lang w:bidi="ar-EG"/>
        </w:rPr>
        <w:t>مبادئ توجيهية لتنسيق قرارات ومقررات مؤتمر المندوبين المفوضين</w:t>
      </w:r>
      <w:r>
        <w:rPr>
          <w:rFonts w:hint="cs"/>
          <w:rtl/>
        </w:rPr>
        <w:t xml:space="preserve"> (الوثائق </w:t>
      </w:r>
      <w:hyperlink r:id="rId17" w:history="1">
        <w:r w:rsidRPr="00B94141">
          <w:rPr>
            <w:rStyle w:val="Hyperlink"/>
          </w:rPr>
          <w:t>C25/29</w:t>
        </w:r>
      </w:hyperlink>
      <w:r>
        <w:rPr>
          <w:rFonts w:hint="cs"/>
          <w:rtl/>
        </w:rPr>
        <w:t xml:space="preserve"> و</w:t>
      </w:r>
      <w:hyperlink r:id="rId18" w:history="1">
        <w:r w:rsidRPr="00B94141">
          <w:rPr>
            <w:rStyle w:val="Hyperlink"/>
          </w:rPr>
          <w:t>C25/79</w:t>
        </w:r>
      </w:hyperlink>
      <w:r>
        <w:rPr>
          <w:rFonts w:hint="cs"/>
          <w:rtl/>
        </w:rPr>
        <w:t xml:space="preserve"> و</w:t>
      </w:r>
      <w:hyperlink r:id="rId19" w:history="1">
        <w:r w:rsidRPr="00B94141">
          <w:rPr>
            <w:rStyle w:val="Hyperlink"/>
          </w:rPr>
          <w:t>C25/91</w:t>
        </w:r>
      </w:hyperlink>
      <w:r>
        <w:rPr>
          <w:rFonts w:hint="cs"/>
          <w:rtl/>
        </w:rPr>
        <w:t>)</w:t>
      </w:r>
    </w:p>
    <w:p w14:paraId="63A1C969" w14:textId="77777777" w:rsidR="00A649F5" w:rsidRDefault="006E6843" w:rsidP="006E6843">
      <w:pPr>
        <w:rPr>
          <w:rtl/>
          <w:lang w:bidi="ar-EG"/>
        </w:rPr>
      </w:pPr>
      <w:r>
        <w:rPr>
          <w:lang w:bidi="ar-EG"/>
        </w:rPr>
        <w:t>1.2</w:t>
      </w:r>
      <w:r>
        <w:rPr>
          <w:rtl/>
          <w:lang w:bidi="ar-EG"/>
        </w:rPr>
        <w:tab/>
        <w:t xml:space="preserve">قدم ممثل عن الأمانة العامة الوثيقة </w:t>
      </w:r>
      <w:r>
        <w:rPr>
          <w:lang w:bidi="ar-EG"/>
        </w:rPr>
        <w:t>C25/29</w:t>
      </w:r>
      <w:r>
        <w:rPr>
          <w:rtl/>
          <w:lang w:bidi="ar-EG"/>
        </w:rPr>
        <w:t xml:space="preserve"> التي تحتوي على مبادئ توجيهية مقترحة وغير ملزمة لتنسيق قرارات ومقررات مؤتمر المندوبين المفوضين، على النحو الذي اتفق عليه فريق العمل التابع للمجلس المعني بالخطتين الاستراتيجية والمالية </w:t>
      </w:r>
      <w:r>
        <w:rPr>
          <w:lang w:bidi="ar-EG"/>
        </w:rPr>
        <w:t>(CWG-SFP)</w:t>
      </w:r>
      <w:r>
        <w:rPr>
          <w:rtl/>
          <w:lang w:bidi="ar-EG"/>
        </w:rPr>
        <w:t>.</w:t>
      </w:r>
    </w:p>
    <w:p w14:paraId="5A6B4A2D" w14:textId="7EF15394" w:rsidR="00A649F5" w:rsidRPr="00904750" w:rsidRDefault="006E6843" w:rsidP="006E6843">
      <w:pPr>
        <w:rPr>
          <w:spacing w:val="-2"/>
          <w:rtl/>
          <w:lang w:bidi="ar-EG"/>
        </w:rPr>
      </w:pPr>
      <w:r w:rsidRPr="00904750">
        <w:rPr>
          <w:spacing w:val="-2"/>
          <w:lang w:bidi="ar-EG"/>
        </w:rPr>
        <w:t>2.2</w:t>
      </w:r>
      <w:r w:rsidRPr="00904750">
        <w:rPr>
          <w:spacing w:val="-2"/>
          <w:rtl/>
          <w:lang w:bidi="ar-EG"/>
        </w:rPr>
        <w:tab/>
        <w:t xml:space="preserve">وقدم عضو المجلس من المملكة العربية السعودية المساهمة متعددة البلدان الواردة في الوثيقة </w:t>
      </w:r>
      <w:r w:rsidRPr="00904750">
        <w:rPr>
          <w:spacing w:val="-2"/>
          <w:lang w:bidi="ar-EG"/>
        </w:rPr>
        <w:t>C25/91</w:t>
      </w:r>
      <w:r w:rsidRPr="00904750">
        <w:rPr>
          <w:spacing w:val="-2"/>
          <w:rtl/>
          <w:lang w:bidi="ar-EG"/>
        </w:rPr>
        <w:t xml:space="preserve"> نيابة</w:t>
      </w:r>
      <w:r w:rsidR="00904750" w:rsidRPr="00904750">
        <w:rPr>
          <w:rFonts w:hint="cs"/>
          <w:spacing w:val="-2"/>
          <w:rtl/>
          <w:lang w:bidi="ar-EG"/>
        </w:rPr>
        <w:t>ً</w:t>
      </w:r>
      <w:r w:rsidRPr="00904750">
        <w:rPr>
          <w:spacing w:val="-2"/>
          <w:rtl/>
          <w:lang w:bidi="ar-EG"/>
        </w:rPr>
        <w:t xml:space="preserve"> عن ستة بلدان. وقدمت هذه المساهمة مدخلات إضافية بشأن المبادئ التوجيهية، مشددة</w:t>
      </w:r>
      <w:r w:rsidR="00904750" w:rsidRPr="00904750">
        <w:rPr>
          <w:rFonts w:hint="cs"/>
          <w:spacing w:val="-2"/>
          <w:rtl/>
          <w:lang w:bidi="ar-EG"/>
        </w:rPr>
        <w:t>ً</w:t>
      </w:r>
      <w:r w:rsidRPr="00904750">
        <w:rPr>
          <w:spacing w:val="-2"/>
          <w:rtl/>
          <w:lang w:bidi="ar-EG"/>
        </w:rPr>
        <w:t xml:space="preserve"> على ضرورة توخي الحذر في أي جهود لتبسيط القرارات القائمة. واقتُرح أن يواصل الفريق </w:t>
      </w:r>
      <w:r w:rsidRPr="00904750">
        <w:rPr>
          <w:spacing w:val="-2"/>
          <w:lang w:bidi="ar-EG"/>
        </w:rPr>
        <w:t>CWG-SFP</w:t>
      </w:r>
      <w:r w:rsidRPr="00904750">
        <w:rPr>
          <w:spacing w:val="-2"/>
          <w:rtl/>
          <w:lang w:bidi="ar-EG"/>
        </w:rPr>
        <w:t xml:space="preserve"> النظر في المبادئ التوجيهية في ضوء هذه المساهمة.</w:t>
      </w:r>
    </w:p>
    <w:p w14:paraId="4545023A" w14:textId="77777777" w:rsidR="00A649F5" w:rsidRDefault="006E6843" w:rsidP="006E6843">
      <w:pPr>
        <w:rPr>
          <w:rtl/>
          <w:lang w:bidi="ar-EG"/>
        </w:rPr>
      </w:pPr>
      <w:r>
        <w:rPr>
          <w:lang w:bidi="ar-EG"/>
        </w:rPr>
        <w:t>3.2</w:t>
      </w:r>
      <w:r>
        <w:rPr>
          <w:rtl/>
          <w:lang w:bidi="ar-EG"/>
        </w:rPr>
        <w:tab/>
        <w:t xml:space="preserve">وقدم المراقب عن الاتحاد الروسي الوثيقة </w:t>
      </w:r>
      <w:r>
        <w:rPr>
          <w:lang w:bidi="ar-EG"/>
        </w:rPr>
        <w:t>C25/79</w:t>
      </w:r>
      <w:r>
        <w:rPr>
          <w:rtl/>
          <w:lang w:bidi="ar-EG"/>
        </w:rPr>
        <w:t xml:space="preserve">، التي تقترح تدابير إضافية لتبسيط قرارات ومقررات مؤتمر المندوبين المفوضين والقطاعات. وتمثل أحد النهج في زيادة المحتوى الخاص بكل قطاع في نتائج مؤتمر المندوبين المفوضين لتفادي الحاجة إلى نتائج قطاعية مماثلة، ويمكن تجربة ذلك في عدد محدود من القرارات. ويمكن لقيام فريق التنسيق بين القطاعات بإنشاء فريق مقرر أن يساعد في تنسيق الأعمال التحضيرية لمؤتمر المندوبين المفوضين عام </w:t>
      </w:r>
      <w:r>
        <w:rPr>
          <w:lang w:bidi="ar-EG"/>
        </w:rPr>
        <w:t>2026</w:t>
      </w:r>
      <w:r>
        <w:rPr>
          <w:rtl/>
          <w:lang w:bidi="ar-EG"/>
        </w:rPr>
        <w:t xml:space="preserve"> عبر القطاعات.</w:t>
      </w:r>
    </w:p>
    <w:p w14:paraId="79E7DC23" w14:textId="5BE07C21" w:rsidR="00A649F5" w:rsidRDefault="006E6843" w:rsidP="006E6843">
      <w:pPr>
        <w:rPr>
          <w:rtl/>
          <w:lang w:bidi="ar-EG"/>
        </w:rPr>
      </w:pPr>
      <w:r>
        <w:rPr>
          <w:lang w:bidi="ar-EG"/>
        </w:rPr>
        <w:t>4.2</w:t>
      </w:r>
      <w:r>
        <w:rPr>
          <w:rtl/>
          <w:lang w:bidi="ar-EG"/>
        </w:rPr>
        <w:tab/>
        <w:t>وقال عضو المجلس من إيطاليا إن فريق التنسيق بين القطاعات وافق على هذا المبدأ وعين بالفعل مقررا</w:t>
      </w:r>
      <w:r w:rsidR="00A0159A">
        <w:rPr>
          <w:rFonts w:hint="cs"/>
          <w:rtl/>
          <w:lang w:bidi="ar-EG"/>
        </w:rPr>
        <w:t>ً</w:t>
      </w:r>
      <w:r>
        <w:rPr>
          <w:rtl/>
          <w:lang w:bidi="ar-EG"/>
        </w:rPr>
        <w:t xml:space="preserve"> لدراسة المسألة وتقديم تقرير إلى الفريق. وبالإضافة إلى ذلك، سلط الضوء على أن الموقع الإلكتروني لفريق التنسيق بين القطاعات يحتوي على خارطة ارتباطات القرارات، وجدولا</w:t>
      </w:r>
      <w:r w:rsidR="00A0159A">
        <w:rPr>
          <w:rFonts w:hint="cs"/>
          <w:rtl/>
          <w:lang w:bidi="ar-EG"/>
        </w:rPr>
        <w:t>ً</w:t>
      </w:r>
      <w:r>
        <w:rPr>
          <w:rtl/>
          <w:lang w:bidi="ar-EG"/>
        </w:rPr>
        <w:t xml:space="preserve"> يربط بين القرارات عبر مختلف القطاعات. وذكر عضو المجلس أيضا</w:t>
      </w:r>
      <w:r w:rsidR="00A0159A">
        <w:rPr>
          <w:rFonts w:hint="cs"/>
          <w:rtl/>
          <w:lang w:bidi="ar-EG"/>
        </w:rPr>
        <w:t>ً</w:t>
      </w:r>
      <w:r>
        <w:rPr>
          <w:rtl/>
          <w:lang w:bidi="ar-EG"/>
        </w:rPr>
        <w:t xml:space="preserve"> أن فريق التنسيق بين القطاعات أقر المقترحات الواردة في الوثيقة </w:t>
      </w:r>
      <w:r>
        <w:rPr>
          <w:lang w:bidi="ar-EG"/>
        </w:rPr>
        <w:t>C25/91</w:t>
      </w:r>
      <w:r>
        <w:rPr>
          <w:rtl/>
          <w:lang w:bidi="ar-EG"/>
        </w:rPr>
        <w:t>، التي سبق أن عُرضت على الفريق.</w:t>
      </w:r>
    </w:p>
    <w:p w14:paraId="2FCF7BDC" w14:textId="4E06E204" w:rsidR="00A649F5" w:rsidRDefault="006E6843" w:rsidP="00CC6920">
      <w:pPr>
        <w:keepLines/>
        <w:rPr>
          <w:rtl/>
          <w:lang w:bidi="ar-EG"/>
        </w:rPr>
      </w:pPr>
      <w:r>
        <w:rPr>
          <w:lang w:bidi="ar-EG"/>
        </w:rPr>
        <w:lastRenderedPageBreak/>
        <w:t>5.2</w:t>
      </w:r>
      <w:r>
        <w:rPr>
          <w:rtl/>
          <w:lang w:bidi="ar-EG"/>
        </w:rPr>
        <w:tab/>
        <w:t>ورحب أعضاء في المجلس ومراقبون بالمبادئ التوجيهية شريطة أن تظل غير ملزمة ولا تحد من قدرة الدول الأعضاء على اقتراح تعديلات أو قرارات أو مقررات جديدة. وقالوا إن الجهود المبذولة لتنسيق القرارات واختصارها إيجابية، ولكن وضع نموذج شامل لن يكون مناسبا</w:t>
      </w:r>
      <w:r w:rsidR="00A0159A">
        <w:rPr>
          <w:rFonts w:hint="cs"/>
          <w:rtl/>
          <w:lang w:bidi="ar-EG"/>
        </w:rPr>
        <w:t>ً</w:t>
      </w:r>
      <w:r>
        <w:rPr>
          <w:rtl/>
          <w:lang w:bidi="ar-EG"/>
        </w:rPr>
        <w:t>؛ وينبغي أن يكون المحتوى والسياق أهم الاعتبارات. واتفق عدد من أعضاء المجلس على أن القرارات ينبغي ألا تلغى لمجرد عدم وجود تقارير أو مراجعات حديثة. واقترح أحد المراقبين عرض المبادئ التوجيهية في حلقات دراسية إلكترونية إقليمية.</w:t>
      </w:r>
    </w:p>
    <w:p w14:paraId="41A30C02" w14:textId="7919A019" w:rsidR="00A649F5" w:rsidRDefault="006E6843" w:rsidP="006E6843">
      <w:pPr>
        <w:rPr>
          <w:rtl/>
          <w:lang w:bidi="ar-EG"/>
        </w:rPr>
      </w:pPr>
      <w:r>
        <w:rPr>
          <w:lang w:bidi="ar-EG"/>
        </w:rPr>
        <w:t>6.2</w:t>
      </w:r>
      <w:r>
        <w:rPr>
          <w:rtl/>
          <w:lang w:bidi="ar-EG"/>
        </w:rPr>
        <w:tab/>
        <w:t>ورحب أعضاء المجلس أيضا</w:t>
      </w:r>
      <w:r w:rsidR="00A0159A">
        <w:rPr>
          <w:rFonts w:hint="cs"/>
          <w:rtl/>
          <w:lang w:bidi="ar-EG"/>
        </w:rPr>
        <w:t>ً</w:t>
      </w:r>
      <w:r>
        <w:rPr>
          <w:rtl/>
          <w:lang w:bidi="ar-EG"/>
        </w:rPr>
        <w:t xml:space="preserve"> بالمساهمة الواردة في الوثيقة </w:t>
      </w:r>
      <w:r>
        <w:rPr>
          <w:lang w:bidi="ar-EG"/>
        </w:rPr>
        <w:t>C25/79</w:t>
      </w:r>
      <w:r>
        <w:rPr>
          <w:rtl/>
          <w:lang w:bidi="ar-EG"/>
        </w:rPr>
        <w:t xml:space="preserve"> وشددوا على أهمية التعاون بين القطاعات لتحسين اتساق القرارات. وكذلك فإن المشاركة المبكرة لمنظمات الاتصالات الإقليمية في العملية التحضيرية يمكن أن تساعد في ذلك. وطلب أحد أعضاء المجلس أن تقوم الأمانة بتجميع قائمة بالقرارات وفق صلتها بمَحاور محددة للمساعدة في تحديد أوجه التباين والازدواجية.</w:t>
      </w:r>
    </w:p>
    <w:p w14:paraId="60B5BA07" w14:textId="4933AE64" w:rsidR="006E6843" w:rsidRDefault="006E6843" w:rsidP="006E6843">
      <w:pPr>
        <w:rPr>
          <w:rtl/>
          <w:lang w:bidi="ar-EG"/>
        </w:rPr>
      </w:pPr>
      <w:r>
        <w:rPr>
          <w:lang w:bidi="ar-EG"/>
        </w:rPr>
        <w:t>7.2</w:t>
      </w:r>
      <w:r>
        <w:rPr>
          <w:rtl/>
          <w:lang w:bidi="ar-EG"/>
        </w:rPr>
        <w:tab/>
        <w:t>وشدد أحد أعضاء المجلس على أن الدول الأعضاء أن ينبغي تلتزم باتباع المبادئ التوجيهية بأكبر قدر ممكن لكي تكون فعالة. وينبغي أيضا</w:t>
      </w:r>
      <w:r w:rsidR="00A0159A">
        <w:rPr>
          <w:rFonts w:hint="cs"/>
          <w:rtl/>
          <w:lang w:bidi="ar-EG"/>
        </w:rPr>
        <w:t>ً</w:t>
      </w:r>
      <w:r>
        <w:rPr>
          <w:rtl/>
          <w:lang w:bidi="ar-EG"/>
        </w:rPr>
        <w:t xml:space="preserve"> أن تنظر بعناية في الآثار المالية المترتبة على المقترحات المقدمة إلى مؤتمرات الاتحاد.</w:t>
      </w:r>
    </w:p>
    <w:p w14:paraId="0AB180B5" w14:textId="5EB618D4" w:rsidR="006A56EB" w:rsidRDefault="006E6843" w:rsidP="006E6843">
      <w:pPr>
        <w:rPr>
          <w:rtl/>
          <w:lang w:bidi="ar-EG"/>
        </w:rPr>
      </w:pPr>
      <w:r>
        <w:rPr>
          <w:lang w:bidi="ar-EG"/>
        </w:rPr>
        <w:t>8.2</w:t>
      </w:r>
      <w:r>
        <w:rPr>
          <w:rtl/>
          <w:lang w:bidi="ar-EG"/>
        </w:rPr>
        <w:tab/>
        <w:t>واقترحت الرئيسة أن يأخذ المجلس علما</w:t>
      </w:r>
      <w:r w:rsidR="00A0159A">
        <w:rPr>
          <w:rFonts w:hint="cs"/>
          <w:rtl/>
          <w:lang w:bidi="ar-EG"/>
        </w:rPr>
        <w:t>ً</w:t>
      </w:r>
      <w:r>
        <w:rPr>
          <w:rtl/>
          <w:lang w:bidi="ar-EG"/>
        </w:rPr>
        <w:t xml:space="preserve"> بالوثيقة </w:t>
      </w:r>
      <w:r>
        <w:rPr>
          <w:lang w:bidi="ar-EG"/>
        </w:rPr>
        <w:t>C25/29</w:t>
      </w:r>
      <w:r>
        <w:rPr>
          <w:rtl/>
          <w:lang w:bidi="ar-EG"/>
        </w:rPr>
        <w:t xml:space="preserve"> وأن يوافق على إحالة الوثيقتين </w:t>
      </w:r>
      <w:r>
        <w:rPr>
          <w:lang w:bidi="ar-EG"/>
        </w:rPr>
        <w:t>C25/79</w:t>
      </w:r>
      <w:r>
        <w:rPr>
          <w:rtl/>
          <w:lang w:bidi="ar-EG"/>
        </w:rPr>
        <w:t xml:space="preserve"> و</w:t>
      </w:r>
      <w:r>
        <w:rPr>
          <w:lang w:bidi="ar-EG"/>
        </w:rPr>
        <w:t>C25/91</w:t>
      </w:r>
      <w:r>
        <w:rPr>
          <w:rtl/>
          <w:lang w:bidi="ar-EG"/>
        </w:rPr>
        <w:t xml:space="preserve"> إلى الفريق </w:t>
      </w:r>
      <w:r>
        <w:rPr>
          <w:lang w:bidi="ar-EG"/>
        </w:rPr>
        <w:t>CWG-SFP</w:t>
      </w:r>
      <w:r>
        <w:rPr>
          <w:rtl/>
          <w:lang w:bidi="ar-EG"/>
        </w:rPr>
        <w:t xml:space="preserve"> للنظر فيهما وأن يدعو فريق التنسيق بين القطاعات إلى تقديم مدخلات إلى فريق العمل </w:t>
      </w:r>
      <w:r>
        <w:rPr>
          <w:lang w:bidi="ar-EG"/>
        </w:rPr>
        <w:t>CWG-SFP</w:t>
      </w:r>
      <w:r>
        <w:rPr>
          <w:rtl/>
          <w:lang w:bidi="ar-EG"/>
        </w:rPr>
        <w:t>.</w:t>
      </w:r>
    </w:p>
    <w:p w14:paraId="4C95A17E" w14:textId="77777777" w:rsidR="00EC1E12" w:rsidRPr="00280A83" w:rsidRDefault="006A56EB" w:rsidP="00EC1E12">
      <w:pPr>
        <w:rPr>
          <w:lang w:val="ar-SA" w:bidi="ar-EG"/>
        </w:rPr>
      </w:pPr>
      <w:r>
        <w:rPr>
          <w:lang w:bidi="ar-EG"/>
        </w:rPr>
        <w:t>9.2</w:t>
      </w:r>
      <w:r>
        <w:rPr>
          <w:rtl/>
          <w:lang w:bidi="ar-EG"/>
        </w:rPr>
        <w:tab/>
      </w:r>
      <w:r w:rsidR="00EC1E12" w:rsidRPr="00280A83">
        <w:rPr>
          <w:b/>
          <w:bCs/>
          <w:rtl/>
        </w:rPr>
        <w:t xml:space="preserve">واتُّفق </w:t>
      </w:r>
      <w:r w:rsidR="00EC1E12" w:rsidRPr="00280A83">
        <w:rPr>
          <w:rtl/>
        </w:rPr>
        <w:t>على ذلك.</w:t>
      </w:r>
    </w:p>
    <w:p w14:paraId="11216C14" w14:textId="451169C4" w:rsidR="003A1E24" w:rsidRPr="00191333" w:rsidRDefault="003A1E24" w:rsidP="003A1E24">
      <w:pPr>
        <w:pStyle w:val="Heading1"/>
        <w:rPr>
          <w:rtl/>
          <w:lang w:bidi="ar-EG"/>
        </w:rPr>
      </w:pPr>
      <w:r>
        <w:rPr>
          <w:lang w:bidi="ar-EG"/>
        </w:rPr>
        <w:t>3</w:t>
      </w:r>
      <w:r>
        <w:rPr>
          <w:rtl/>
          <w:lang w:bidi="ar-EG"/>
        </w:rPr>
        <w:tab/>
        <w:t>الأعمال التحضيرية للمنتدى العالمي لسياسات الاتصالات/تكنولوجيا المعلومات</w:t>
      </w:r>
      <w:r>
        <w:rPr>
          <w:rFonts w:hint="cs"/>
          <w:rtl/>
        </w:rPr>
        <w:t xml:space="preserve"> </w:t>
      </w:r>
      <w:r>
        <w:rPr>
          <w:rtl/>
          <w:lang w:bidi="ar-EG"/>
        </w:rPr>
        <w:t>والاتصالات لعام</w:t>
      </w:r>
      <w:r>
        <w:rPr>
          <w:rFonts w:hint="cs"/>
          <w:rtl/>
          <w:lang w:bidi="ar-EG"/>
        </w:rPr>
        <w:t xml:space="preserve"> </w:t>
      </w:r>
      <w:r>
        <w:rPr>
          <w:rFonts w:hint="cs"/>
          <w:lang w:bidi="ar-EG"/>
        </w:rPr>
        <w:t>2026</w:t>
      </w:r>
      <w:r>
        <w:rPr>
          <w:rFonts w:hint="cs"/>
          <w:rtl/>
          <w:lang w:bidi="ar-EG"/>
        </w:rPr>
        <w:t xml:space="preserve"> </w:t>
      </w:r>
      <w:r>
        <w:rPr>
          <w:lang w:bidi="ar-EG"/>
        </w:rPr>
        <w:t>(WTPF-26)</w:t>
      </w:r>
      <w:r>
        <w:rPr>
          <w:rFonts w:hint="cs"/>
          <w:rtl/>
        </w:rPr>
        <w:t xml:space="preserve"> (الوثيقة </w:t>
      </w:r>
      <w:hyperlink r:id="rId20" w:history="1">
        <w:r w:rsidRPr="00711DF0">
          <w:rPr>
            <w:rStyle w:val="Hyperlink"/>
          </w:rPr>
          <w:t>C25/5(Rev.1)</w:t>
        </w:r>
      </w:hyperlink>
      <w:r>
        <w:rPr>
          <w:rStyle w:val="Hyperlink"/>
          <w:rFonts w:hint="cs"/>
          <w:rtl/>
        </w:rPr>
        <w:t xml:space="preserve"> و</w:t>
      </w:r>
      <w:r w:rsidR="004E35DE">
        <w:rPr>
          <w:rStyle w:val="Hyperlink"/>
          <w:rFonts w:hint="cs"/>
          <w:rtl/>
        </w:rPr>
        <w:t>الإضافة 1</w:t>
      </w:r>
      <w:r>
        <w:rPr>
          <w:rFonts w:hint="cs"/>
          <w:rtl/>
        </w:rPr>
        <w:t>)</w:t>
      </w:r>
    </w:p>
    <w:p w14:paraId="0D21048A" w14:textId="696ECA04" w:rsidR="006E6843" w:rsidRPr="00A0159A" w:rsidRDefault="006E6843" w:rsidP="006E6843">
      <w:pPr>
        <w:rPr>
          <w:spacing w:val="2"/>
          <w:rtl/>
          <w:lang w:bidi="ar-EG"/>
        </w:rPr>
      </w:pPr>
      <w:r w:rsidRPr="00A0159A">
        <w:rPr>
          <w:spacing w:val="2"/>
          <w:lang w:bidi="ar-EG"/>
        </w:rPr>
        <w:t>1.3</w:t>
      </w:r>
      <w:r w:rsidRPr="00A0159A">
        <w:rPr>
          <w:spacing w:val="2"/>
          <w:rtl/>
          <w:lang w:bidi="ar-EG"/>
        </w:rPr>
        <w:tab/>
        <w:t xml:space="preserve">قدم ممثل الأمانة العامة الوثيقة </w:t>
      </w:r>
      <w:r w:rsidRPr="00A0159A">
        <w:rPr>
          <w:spacing w:val="2"/>
          <w:lang w:bidi="ar-EG"/>
        </w:rPr>
        <w:t>C25/5(Rev.1)</w:t>
      </w:r>
      <w:r w:rsidRPr="00A0159A">
        <w:rPr>
          <w:spacing w:val="2"/>
          <w:rtl/>
          <w:lang w:bidi="ar-EG"/>
        </w:rPr>
        <w:t xml:space="preserve"> والإضافة </w:t>
      </w:r>
      <w:r w:rsidRPr="00A0159A">
        <w:rPr>
          <w:spacing w:val="2"/>
          <w:lang w:bidi="ar-EG"/>
        </w:rPr>
        <w:t>1</w:t>
      </w:r>
      <w:r w:rsidRPr="00A0159A">
        <w:rPr>
          <w:spacing w:val="2"/>
          <w:rtl/>
          <w:lang w:bidi="ar-EG"/>
        </w:rPr>
        <w:t xml:space="preserve">، اللتين توجزان التقدم المحرز والجدول الزمني المراجع للعملية التحضيرية للمنتدى العالمي لسياسات الاتصالات/تكنولوجيا المعلومات والاتصالات </w:t>
      </w:r>
      <w:r w:rsidRPr="00A0159A">
        <w:rPr>
          <w:spacing w:val="2"/>
          <w:lang w:bidi="ar-EG"/>
        </w:rPr>
        <w:t>(ICT)</w:t>
      </w:r>
      <w:r w:rsidRPr="00A0159A">
        <w:rPr>
          <w:spacing w:val="2"/>
          <w:rtl/>
          <w:lang w:bidi="ar-EG"/>
        </w:rPr>
        <w:t xml:space="preserve"> عام</w:t>
      </w:r>
      <w:r w:rsidR="00A0159A">
        <w:rPr>
          <w:rFonts w:hint="cs"/>
          <w:spacing w:val="2"/>
          <w:rtl/>
          <w:lang w:bidi="ar-EG"/>
        </w:rPr>
        <w:t> </w:t>
      </w:r>
      <w:r w:rsidRPr="00A0159A">
        <w:rPr>
          <w:spacing w:val="2"/>
          <w:lang w:bidi="ar-EG"/>
        </w:rPr>
        <w:t>2026</w:t>
      </w:r>
      <w:r w:rsidRPr="00A0159A">
        <w:rPr>
          <w:spacing w:val="2"/>
          <w:rtl/>
          <w:lang w:bidi="ar-EG"/>
        </w:rPr>
        <w:t xml:space="preserve"> </w:t>
      </w:r>
      <w:r w:rsidRPr="00A0159A">
        <w:rPr>
          <w:spacing w:val="2"/>
          <w:lang w:bidi="ar-EG"/>
        </w:rPr>
        <w:t>(WTPF-26)</w:t>
      </w:r>
      <w:r w:rsidRPr="00A0159A">
        <w:rPr>
          <w:spacing w:val="2"/>
          <w:rtl/>
          <w:lang w:bidi="ar-EG"/>
        </w:rPr>
        <w:t xml:space="preserve">، وتتضمن في الملحق مشروع مقرر بشأن عقد المنتدى. وتتضمن الإضافة </w:t>
      </w:r>
      <w:r w:rsidRPr="00A0159A">
        <w:rPr>
          <w:spacing w:val="2"/>
          <w:lang w:bidi="ar-EG"/>
        </w:rPr>
        <w:t>1</w:t>
      </w:r>
      <w:r w:rsidRPr="00A0159A">
        <w:rPr>
          <w:spacing w:val="2"/>
          <w:rtl/>
          <w:lang w:bidi="ar-EG"/>
        </w:rPr>
        <w:t xml:space="preserve"> للتقرير دعوة من جزر البهاما لاستضافة المنتدى </w:t>
      </w:r>
      <w:r w:rsidRPr="00A0159A">
        <w:rPr>
          <w:spacing w:val="2"/>
          <w:lang w:bidi="ar-EG"/>
        </w:rPr>
        <w:t>WTPF-26</w:t>
      </w:r>
      <w:r w:rsidRPr="00A0159A">
        <w:rPr>
          <w:spacing w:val="2"/>
          <w:rtl/>
          <w:lang w:bidi="ar-EG"/>
        </w:rPr>
        <w:t>.</w:t>
      </w:r>
    </w:p>
    <w:p w14:paraId="3E56F2E5" w14:textId="3B276D34" w:rsidR="00A649F5" w:rsidRDefault="006E6843" w:rsidP="006E6843">
      <w:pPr>
        <w:rPr>
          <w:rtl/>
          <w:lang w:bidi="ar-EG"/>
        </w:rPr>
      </w:pPr>
      <w:r>
        <w:rPr>
          <w:lang w:bidi="ar-EG"/>
        </w:rPr>
        <w:t>2.3</w:t>
      </w:r>
      <w:r>
        <w:rPr>
          <w:rtl/>
          <w:lang w:bidi="ar-EG"/>
        </w:rPr>
        <w:tab/>
        <w:t xml:space="preserve">وقال رئيس فريق الخبراء غير الرسمي </w:t>
      </w:r>
      <w:r>
        <w:rPr>
          <w:lang w:bidi="ar-EG"/>
        </w:rPr>
        <w:t>(IEG)</w:t>
      </w:r>
      <w:r>
        <w:rPr>
          <w:rtl/>
          <w:lang w:bidi="ar-EG"/>
        </w:rPr>
        <w:t xml:space="preserve"> إن أفرقة العمل الافتراضية اجتمعت، منذ مارس </w:t>
      </w:r>
      <w:r>
        <w:rPr>
          <w:lang w:bidi="ar-EG"/>
        </w:rPr>
        <w:t>2025</w:t>
      </w:r>
      <w:r>
        <w:rPr>
          <w:rtl/>
          <w:lang w:bidi="ar-EG"/>
        </w:rPr>
        <w:t xml:space="preserve">، بشأن المجالات المحورية الخمسة للمنتدى </w:t>
      </w:r>
      <w:r>
        <w:rPr>
          <w:lang w:bidi="ar-EG"/>
        </w:rPr>
        <w:t>WTPF-26</w:t>
      </w:r>
      <w:r>
        <w:rPr>
          <w:rtl/>
          <w:lang w:bidi="ar-EG"/>
        </w:rPr>
        <w:t>، سعي</w:t>
      </w:r>
      <w:r w:rsidR="00D36C8F">
        <w:rPr>
          <w:rtl/>
          <w:lang w:bidi="ar-EG"/>
        </w:rPr>
        <w:t>اً</w:t>
      </w:r>
      <w:r>
        <w:rPr>
          <w:rtl/>
          <w:lang w:bidi="ar-EG"/>
        </w:rPr>
        <w:t xml:space="preserve"> لصياغة نصوص أساسية توافقية لآراء المنتدى </w:t>
      </w:r>
      <w:r>
        <w:rPr>
          <w:lang w:bidi="ar-EG"/>
        </w:rPr>
        <w:t>WTPF-26</w:t>
      </w:r>
      <w:r>
        <w:rPr>
          <w:rtl/>
          <w:lang w:bidi="ar-EG"/>
        </w:rPr>
        <w:t xml:space="preserve">، وأعدت مشروع ثالث لتقرير الأمينة العامة إلى المنتدى </w:t>
      </w:r>
      <w:r>
        <w:rPr>
          <w:lang w:bidi="ar-EG"/>
        </w:rPr>
        <w:t>WTPF-26</w:t>
      </w:r>
      <w:r>
        <w:rPr>
          <w:rtl/>
          <w:lang w:bidi="ar-EG"/>
        </w:rPr>
        <w:t xml:space="preserve">. ودعي إلى تقديم تعليقات على النصوص الأساسية بحلول </w:t>
      </w:r>
      <w:r>
        <w:rPr>
          <w:lang w:bidi="ar-EG"/>
        </w:rPr>
        <w:t>7</w:t>
      </w:r>
      <w:r>
        <w:rPr>
          <w:rtl/>
          <w:lang w:bidi="ar-EG"/>
        </w:rPr>
        <w:t xml:space="preserve"> أغسطس </w:t>
      </w:r>
      <w:r>
        <w:rPr>
          <w:lang w:bidi="ar-EG"/>
        </w:rPr>
        <w:t>2025</w:t>
      </w:r>
      <w:r>
        <w:rPr>
          <w:rtl/>
          <w:lang w:bidi="ar-EG"/>
        </w:rPr>
        <w:t xml:space="preserve">، للنظر فيها في الاجتماع المقبل لفريق الخبراء غير الرسمي في سبتمبر </w:t>
      </w:r>
      <w:r>
        <w:rPr>
          <w:lang w:bidi="ar-EG"/>
        </w:rPr>
        <w:t>2025</w:t>
      </w:r>
      <w:r>
        <w:rPr>
          <w:rtl/>
          <w:lang w:bidi="ar-EG"/>
        </w:rPr>
        <w:t>.</w:t>
      </w:r>
    </w:p>
    <w:p w14:paraId="2919ACC4" w14:textId="1D22C978" w:rsidR="00A649F5" w:rsidRDefault="006E6843" w:rsidP="006E6843">
      <w:pPr>
        <w:rPr>
          <w:rtl/>
          <w:lang w:bidi="ar-EG"/>
        </w:rPr>
      </w:pPr>
      <w:r>
        <w:rPr>
          <w:lang w:bidi="ar-EG"/>
        </w:rPr>
        <w:t>3.3</w:t>
      </w:r>
      <w:r>
        <w:rPr>
          <w:rtl/>
          <w:lang w:bidi="ar-EG"/>
        </w:rPr>
        <w:tab/>
        <w:t>وقال عضو المجلس من جزر البهاما إنه يتشرف، نيابة</w:t>
      </w:r>
      <w:r w:rsidR="00A016FC">
        <w:rPr>
          <w:rFonts w:hint="cs"/>
          <w:rtl/>
          <w:lang w:bidi="ar-EG"/>
        </w:rPr>
        <w:t>ً</w:t>
      </w:r>
      <w:r>
        <w:rPr>
          <w:rtl/>
          <w:lang w:bidi="ar-EG"/>
        </w:rPr>
        <w:t xml:space="preserve"> عن حكومته، بأن يوجه دعوة رسمية لاستضافة المنتدى</w:t>
      </w:r>
      <w:r w:rsidR="00A016FC">
        <w:rPr>
          <w:rFonts w:hint="cs"/>
          <w:rtl/>
          <w:lang w:bidi="ar-EG"/>
        </w:rPr>
        <w:t> </w:t>
      </w:r>
      <w:r>
        <w:rPr>
          <w:lang w:bidi="ar-EG"/>
        </w:rPr>
        <w:t>WTPF-26</w:t>
      </w:r>
      <w:r>
        <w:rPr>
          <w:rtl/>
          <w:lang w:bidi="ar-EG"/>
        </w:rPr>
        <w:t>. وإن البهاما بوصفها دولة جزرية نامية صغيرة، تجلب منظورا</w:t>
      </w:r>
      <w:r w:rsidR="00A016FC">
        <w:rPr>
          <w:rFonts w:hint="cs"/>
          <w:rtl/>
          <w:lang w:bidi="ar-EG"/>
        </w:rPr>
        <w:t>ً</w:t>
      </w:r>
      <w:r>
        <w:rPr>
          <w:rtl/>
          <w:lang w:bidi="ar-EG"/>
        </w:rPr>
        <w:t xml:space="preserve"> فريدا</w:t>
      </w:r>
      <w:r w:rsidR="00A016FC">
        <w:rPr>
          <w:rFonts w:hint="cs"/>
          <w:rtl/>
          <w:lang w:bidi="ar-EG"/>
        </w:rPr>
        <w:t>ً</w:t>
      </w:r>
      <w:r>
        <w:rPr>
          <w:rtl/>
          <w:lang w:bidi="ar-EG"/>
        </w:rPr>
        <w:t xml:space="preserve"> لمواضيع المنتدى </w:t>
      </w:r>
      <w:r>
        <w:rPr>
          <w:lang w:bidi="ar-EG"/>
        </w:rPr>
        <w:t>WTPF-26</w:t>
      </w:r>
      <w:r>
        <w:rPr>
          <w:rtl/>
          <w:lang w:bidi="ar-EG"/>
        </w:rPr>
        <w:t>، ولا سيما البنية التحتية الرقمية القادرة على الصمود والتوصيلية الفضائية والتحول الرقمي الشامل للجميع. وقد اتخذت جزر البهاما خطوات سياساتية مدروسة لدعم النفاذ الشامل والاستعداد الساتلي والأمن السيبراني و</w:t>
      </w:r>
      <w:r w:rsidR="0023305D">
        <w:rPr>
          <w:rFonts w:hint="cs"/>
          <w:rtl/>
          <w:lang w:bidi="ar-EG"/>
        </w:rPr>
        <w:t>ال</w:t>
      </w:r>
      <w:r>
        <w:rPr>
          <w:rtl/>
          <w:lang w:bidi="ar-EG"/>
        </w:rPr>
        <w:t xml:space="preserve">تحول </w:t>
      </w:r>
      <w:r w:rsidR="0023305D">
        <w:rPr>
          <w:rFonts w:hint="cs"/>
          <w:rtl/>
          <w:lang w:bidi="ar-EG"/>
        </w:rPr>
        <w:t>الرقمي</w:t>
      </w:r>
      <w:r>
        <w:rPr>
          <w:rtl/>
          <w:lang w:bidi="ar-EG"/>
        </w:rPr>
        <w:t xml:space="preserve"> المراعي للبيئة، الأمر الذي من شأنه أن يثري الحوار ويلهم في المنتدى. وقد شاركت جزر البهاما في العملية التحضيرية من خلال رئاستها لفريق الخبراء غير الرسمي وستنظم المنتدى العالمي لسياسات الاتصالات/تكنولوجيا المعلومات والاتصالات عام </w:t>
      </w:r>
      <w:r>
        <w:rPr>
          <w:lang w:bidi="ar-EG"/>
        </w:rPr>
        <w:t>2026</w:t>
      </w:r>
      <w:r>
        <w:rPr>
          <w:rtl/>
          <w:lang w:bidi="ar-EG"/>
        </w:rPr>
        <w:t xml:space="preserve"> </w:t>
      </w:r>
      <w:r>
        <w:rPr>
          <w:lang w:bidi="ar-EG"/>
        </w:rPr>
        <w:t>(WTPF-26)</w:t>
      </w:r>
      <w:r>
        <w:rPr>
          <w:rtl/>
          <w:lang w:bidi="ar-EG"/>
        </w:rPr>
        <w:t xml:space="preserve"> على نحو ناجح وشامل للجميع.</w:t>
      </w:r>
    </w:p>
    <w:p w14:paraId="4855F751" w14:textId="77777777" w:rsidR="00A649F5" w:rsidRDefault="006E6843" w:rsidP="006E6843">
      <w:pPr>
        <w:rPr>
          <w:rtl/>
          <w:lang w:bidi="ar-EG"/>
        </w:rPr>
      </w:pPr>
      <w:r>
        <w:rPr>
          <w:lang w:bidi="ar-EG"/>
        </w:rPr>
        <w:t>4.3</w:t>
      </w:r>
      <w:r>
        <w:rPr>
          <w:rtl/>
          <w:lang w:bidi="ar-EG"/>
        </w:rPr>
        <w:tab/>
        <w:t xml:space="preserve">وأشاد أعضاء المجلس بالتوجيهات الممتازة التي قدمها رئيس فريق الخبراء غير الرسمي والعمل المنجز خلال العملية التحضيرية، بما في ذلك تحديد شعار المنتدى </w:t>
      </w:r>
      <w:r>
        <w:rPr>
          <w:lang w:bidi="ar-EG"/>
        </w:rPr>
        <w:t>WTPF-26</w:t>
      </w:r>
      <w:r>
        <w:rPr>
          <w:rtl/>
          <w:lang w:bidi="ar-EG"/>
        </w:rPr>
        <w:t xml:space="preserve"> ومواضيعه الخمسة. ورحبوا بدعوة البهاما لاستضافة المنتدى </w:t>
      </w:r>
      <w:r>
        <w:rPr>
          <w:lang w:bidi="ar-EG"/>
        </w:rPr>
        <w:t>WTPF-26</w:t>
      </w:r>
      <w:r>
        <w:rPr>
          <w:rtl/>
          <w:lang w:bidi="ar-EG"/>
        </w:rPr>
        <w:t>.</w:t>
      </w:r>
    </w:p>
    <w:p w14:paraId="37251CC3" w14:textId="77777777" w:rsidR="00A649F5" w:rsidRDefault="006E6843" w:rsidP="006E6843">
      <w:pPr>
        <w:rPr>
          <w:rtl/>
          <w:lang w:bidi="ar-EG"/>
        </w:rPr>
      </w:pPr>
      <w:r>
        <w:rPr>
          <w:lang w:bidi="ar-EG"/>
        </w:rPr>
        <w:t>5.3</w:t>
      </w:r>
      <w:r>
        <w:rPr>
          <w:rtl/>
          <w:lang w:bidi="ar-EG"/>
        </w:rPr>
        <w:tab/>
        <w:t>وأعربت الأمينة العامة عن امتنانها لحكومة البهاما على عرضها بشأن استضافة الحدث.</w:t>
      </w:r>
    </w:p>
    <w:p w14:paraId="5E0E5E65" w14:textId="110ADB7D" w:rsidR="006E6843" w:rsidRDefault="006E6843" w:rsidP="006E6843">
      <w:pPr>
        <w:rPr>
          <w:rtl/>
          <w:lang w:bidi="ar-EG"/>
        </w:rPr>
      </w:pPr>
      <w:r>
        <w:rPr>
          <w:lang w:bidi="ar-EG"/>
        </w:rPr>
        <w:t>6.3</w:t>
      </w:r>
      <w:r>
        <w:rPr>
          <w:rtl/>
          <w:lang w:bidi="ar-EG"/>
        </w:rPr>
        <w:tab/>
        <w:t>واقترحت الرئيس</w:t>
      </w:r>
      <w:r w:rsidR="00A016FC">
        <w:rPr>
          <w:rFonts w:hint="cs"/>
          <w:rtl/>
          <w:lang w:bidi="ar-EG"/>
        </w:rPr>
        <w:t>ة</w:t>
      </w:r>
      <w:r>
        <w:rPr>
          <w:rtl/>
          <w:lang w:bidi="ar-EG"/>
        </w:rPr>
        <w:t xml:space="preserve"> أن يأخذ المجلس علما</w:t>
      </w:r>
      <w:r w:rsidR="00A016FC">
        <w:rPr>
          <w:rFonts w:hint="cs"/>
          <w:rtl/>
          <w:lang w:bidi="ar-EG"/>
        </w:rPr>
        <w:t>ً</w:t>
      </w:r>
      <w:r>
        <w:rPr>
          <w:rtl/>
          <w:lang w:bidi="ar-EG"/>
        </w:rPr>
        <w:t xml:space="preserve"> بالعملية التحضيرية للمنتدى </w:t>
      </w:r>
      <w:r>
        <w:rPr>
          <w:lang w:bidi="ar-EG"/>
        </w:rPr>
        <w:t>WTPF-26</w:t>
      </w:r>
      <w:r>
        <w:rPr>
          <w:rtl/>
          <w:lang w:bidi="ar-EG"/>
        </w:rPr>
        <w:t xml:space="preserve"> وأن يوافق على مشروع المقرر الوارد في الوثيقة </w:t>
      </w:r>
      <w:r>
        <w:rPr>
          <w:lang w:bidi="ar-EG"/>
        </w:rPr>
        <w:t>C25/5(Rev.1)</w:t>
      </w:r>
      <w:r>
        <w:rPr>
          <w:rFonts w:hint="cs"/>
          <w:rtl/>
          <w:lang w:bidi="ar-EG"/>
        </w:rPr>
        <w:t>.</w:t>
      </w:r>
    </w:p>
    <w:p w14:paraId="17675349" w14:textId="1EEF514B" w:rsidR="00420C83" w:rsidRPr="00280A83" w:rsidRDefault="00420C83" w:rsidP="006E6843">
      <w:pPr>
        <w:rPr>
          <w:lang w:val="ar-SA" w:bidi="ar-EG"/>
        </w:rPr>
      </w:pPr>
      <w:r>
        <w:rPr>
          <w:lang w:bidi="ar-EG"/>
        </w:rPr>
        <w:t>7.3</w:t>
      </w:r>
      <w:r>
        <w:rPr>
          <w:rtl/>
          <w:lang w:bidi="ar-EG"/>
        </w:rPr>
        <w:tab/>
      </w:r>
      <w:r w:rsidRPr="00280A83">
        <w:rPr>
          <w:b/>
          <w:bCs/>
          <w:rtl/>
        </w:rPr>
        <w:t xml:space="preserve">واتُّفق </w:t>
      </w:r>
      <w:r w:rsidRPr="00280A83">
        <w:rPr>
          <w:rtl/>
        </w:rPr>
        <w:t>على ذلك.</w:t>
      </w:r>
    </w:p>
    <w:p w14:paraId="4A3BF1BD" w14:textId="13AB243B" w:rsidR="003A1E24" w:rsidRPr="003A1E24" w:rsidRDefault="003A1E24" w:rsidP="003A1E24">
      <w:pPr>
        <w:pStyle w:val="Heading1"/>
        <w:rPr>
          <w:rtl/>
          <w:lang w:bidi="ar-EG"/>
        </w:rPr>
      </w:pPr>
      <w:r>
        <w:rPr>
          <w:lang w:bidi="ar-EG"/>
        </w:rPr>
        <w:lastRenderedPageBreak/>
        <w:t>4</w:t>
      </w:r>
      <w:r>
        <w:rPr>
          <w:rtl/>
          <w:lang w:bidi="ar-EG"/>
        </w:rPr>
        <w:tab/>
      </w:r>
      <w:r w:rsidRPr="003A1E24">
        <w:rPr>
          <w:rtl/>
          <w:lang w:bidi="ar-EG"/>
        </w:rPr>
        <w:t>استعراض نواتج القمة العالمية لمجتمع المعلومات بعد مرور عشرين عاماً على</w:t>
      </w:r>
      <w:r>
        <w:rPr>
          <w:rFonts w:hint="eastAsia"/>
          <w:rtl/>
          <w:lang w:bidi="ar-EG"/>
        </w:rPr>
        <w:t> </w:t>
      </w:r>
      <w:r w:rsidRPr="003A1E24">
        <w:rPr>
          <w:rtl/>
          <w:lang w:bidi="ar-EG"/>
        </w:rPr>
        <w:t>انعقادها</w:t>
      </w:r>
      <w:r w:rsidRPr="003A1E24">
        <w:rPr>
          <w:rFonts w:hint="cs"/>
          <w:rtl/>
          <w:lang w:bidi="ar-EG"/>
        </w:rPr>
        <w:t> </w:t>
      </w:r>
      <w:r w:rsidRPr="003A1E24">
        <w:rPr>
          <w:lang w:bidi="ar-EG"/>
        </w:rPr>
        <w:t>(WSIS+20)</w:t>
      </w:r>
      <w:r w:rsidRPr="003A1E24">
        <w:rPr>
          <w:rtl/>
          <w:lang w:bidi="ar-EG"/>
        </w:rPr>
        <w:t xml:space="preserve"> - دعوة الاتحاد لتقديم مساهمات: ملخص</w:t>
      </w:r>
      <w:r w:rsidRPr="003A1E24">
        <w:rPr>
          <w:rFonts w:hint="cs"/>
          <w:rtl/>
          <w:lang w:bidi="ar-EG"/>
        </w:rPr>
        <w:t xml:space="preserve"> </w:t>
      </w:r>
      <w:r w:rsidRPr="003A1E24">
        <w:rPr>
          <w:rtl/>
          <w:lang w:bidi="ar-EG"/>
        </w:rPr>
        <w:t>المساهمات المستلمة</w:t>
      </w:r>
      <w:r>
        <w:rPr>
          <w:rFonts w:hint="cs"/>
          <w:rtl/>
        </w:rPr>
        <w:t xml:space="preserve"> (الوثيقة </w:t>
      </w:r>
      <w:hyperlink r:id="rId21" w:history="1">
        <w:r w:rsidRPr="00B94141">
          <w:rPr>
            <w:rStyle w:val="Hyperlink"/>
          </w:rPr>
          <w:t>C25/53</w:t>
        </w:r>
      </w:hyperlink>
      <w:r>
        <w:rPr>
          <w:rFonts w:hint="cs"/>
          <w:rtl/>
        </w:rPr>
        <w:t>)</w:t>
      </w:r>
    </w:p>
    <w:p w14:paraId="4A66B35D" w14:textId="6617C271" w:rsidR="00A649F5" w:rsidRDefault="00704FEF" w:rsidP="006E6843">
      <w:pPr>
        <w:rPr>
          <w:rtl/>
          <w:lang w:bidi="ar-EG"/>
        </w:rPr>
      </w:pPr>
      <w:r>
        <w:rPr>
          <w:lang w:bidi="ar-EG"/>
        </w:rPr>
        <w:t>1.4</w:t>
      </w:r>
      <w:r w:rsidR="006E6843" w:rsidRPr="00704FEF">
        <w:rPr>
          <w:rtl/>
          <w:lang w:bidi="ar-EG"/>
        </w:rPr>
        <w:tab/>
        <w:t xml:space="preserve">قدم ممثل عن الأمانة العامة الوثيقة </w:t>
      </w:r>
      <w:r w:rsidR="006E6843" w:rsidRPr="00704FEF">
        <w:rPr>
          <w:lang w:bidi="ar-EG"/>
        </w:rPr>
        <w:t>C25/53</w:t>
      </w:r>
      <w:r w:rsidR="006E6843" w:rsidRPr="00704FEF">
        <w:rPr>
          <w:rtl/>
          <w:lang w:bidi="ar-EG"/>
        </w:rPr>
        <w:t xml:space="preserve"> التي تعرض ملخصا</w:t>
      </w:r>
      <w:r>
        <w:rPr>
          <w:rFonts w:hint="cs"/>
          <w:rtl/>
          <w:lang w:bidi="ar-EG"/>
        </w:rPr>
        <w:t>ً</w:t>
      </w:r>
      <w:r w:rsidR="006E6843" w:rsidRPr="00704FEF">
        <w:rPr>
          <w:rtl/>
          <w:lang w:bidi="ar-EG"/>
        </w:rPr>
        <w:t xml:space="preserve"> للمساهمات الواردة استجابة لدعوة الاتحاد لتقديم آراء بشأن عمل الاتحاد في القمة العالمية لمجتمع المعلومات </w:t>
      </w:r>
      <w:r w:rsidR="006E6843" w:rsidRPr="00704FEF">
        <w:rPr>
          <w:lang w:bidi="ar-EG"/>
        </w:rPr>
        <w:t>(WSIS)</w:t>
      </w:r>
      <w:r w:rsidR="006E6843" w:rsidRPr="00704FEF">
        <w:rPr>
          <w:rtl/>
          <w:lang w:bidi="ar-EG"/>
        </w:rPr>
        <w:t xml:space="preserve">: استعراض </w:t>
      </w:r>
      <w:r w:rsidR="006E6843" w:rsidRPr="00704FEF">
        <w:rPr>
          <w:lang w:bidi="ar-EG"/>
        </w:rPr>
        <w:t>20</w:t>
      </w:r>
      <w:r w:rsidR="006E6843" w:rsidRPr="00704FEF">
        <w:rPr>
          <w:rtl/>
          <w:lang w:bidi="ar-EG"/>
        </w:rPr>
        <w:t xml:space="preserve"> عاما</w:t>
      </w:r>
      <w:r>
        <w:rPr>
          <w:rFonts w:hint="cs"/>
          <w:rtl/>
          <w:lang w:bidi="ar-EG"/>
        </w:rPr>
        <w:t>ً</w:t>
      </w:r>
      <w:r w:rsidR="006E6843" w:rsidRPr="00704FEF">
        <w:rPr>
          <w:rtl/>
          <w:lang w:bidi="ar-EG"/>
        </w:rPr>
        <w:t xml:space="preserve"> </w:t>
      </w:r>
      <w:r w:rsidR="006E6843" w:rsidRPr="00704FEF">
        <w:rPr>
          <w:lang w:bidi="ar-EG"/>
        </w:rPr>
        <w:t>(WSIS+20)</w:t>
      </w:r>
      <w:r w:rsidR="006E6843" w:rsidRPr="00704FEF">
        <w:rPr>
          <w:rtl/>
          <w:lang w:bidi="ar-EG"/>
        </w:rPr>
        <w:t>. وسلطت الردود الضوء على أن عملية القمة العالمية لمجتمع المعلومات أحرزت تقدما</w:t>
      </w:r>
      <w:r>
        <w:rPr>
          <w:rFonts w:hint="cs"/>
          <w:rtl/>
          <w:lang w:bidi="ar-EG"/>
        </w:rPr>
        <w:t>ً</w:t>
      </w:r>
      <w:r w:rsidR="006E6843" w:rsidRPr="00704FEF">
        <w:rPr>
          <w:rtl/>
          <w:lang w:bidi="ar-EG"/>
        </w:rPr>
        <w:t xml:space="preserve"> كبيرا</w:t>
      </w:r>
      <w:r>
        <w:rPr>
          <w:rFonts w:hint="cs"/>
          <w:rtl/>
          <w:lang w:bidi="ar-EG"/>
        </w:rPr>
        <w:t>ً</w:t>
      </w:r>
      <w:r w:rsidR="006E6843" w:rsidRPr="00704FEF">
        <w:rPr>
          <w:rtl/>
          <w:lang w:bidi="ar-EG"/>
        </w:rPr>
        <w:t xml:space="preserve"> على مدى </w:t>
      </w:r>
      <w:r w:rsidR="006E6843" w:rsidRPr="00704FEF">
        <w:rPr>
          <w:lang w:bidi="ar-EG"/>
        </w:rPr>
        <w:t>20</w:t>
      </w:r>
      <w:r w:rsidR="006E6843" w:rsidRPr="00704FEF">
        <w:rPr>
          <w:rtl/>
          <w:lang w:bidi="ar-EG"/>
        </w:rPr>
        <w:t xml:space="preserve"> عاما</w:t>
      </w:r>
      <w:r>
        <w:rPr>
          <w:rFonts w:hint="cs"/>
          <w:rtl/>
          <w:lang w:bidi="ar-EG"/>
        </w:rPr>
        <w:t>ً</w:t>
      </w:r>
      <w:r w:rsidR="006E6843" w:rsidRPr="00704FEF">
        <w:rPr>
          <w:rtl/>
          <w:lang w:bidi="ar-EG"/>
        </w:rPr>
        <w:t xml:space="preserve">، وقلصت الفجوة الرقمية وعززت التحول الرقمي الشامل للجميع. ويُعتبر الاتحاد الدولي للاتصالات أداةً فعّالة في عملية القمة العالمية لمجتمع المعلومات من خلال وظائفه المتعددة. وستقدَّم الوثيقة </w:t>
      </w:r>
      <w:r w:rsidR="006E6843" w:rsidRPr="00704FEF">
        <w:rPr>
          <w:lang w:bidi="ar-EG"/>
        </w:rPr>
        <w:t>C25/53</w:t>
      </w:r>
      <w:r w:rsidR="006E6843" w:rsidRPr="00704FEF">
        <w:rPr>
          <w:rtl/>
          <w:lang w:bidi="ar-EG"/>
        </w:rPr>
        <w:t xml:space="preserve"> إلى استعراض الجمعية العامة للأمم المتحدة </w:t>
      </w:r>
      <w:r w:rsidR="006E6843" w:rsidRPr="00704FEF">
        <w:rPr>
          <w:lang w:bidi="ar-EG"/>
        </w:rPr>
        <w:t>(UNGA)</w:t>
      </w:r>
      <w:r w:rsidR="006E6843" w:rsidRPr="00704FEF">
        <w:rPr>
          <w:rtl/>
          <w:lang w:bidi="ar-EG"/>
        </w:rPr>
        <w:t xml:space="preserve"> للقمة العالمية لمجتمع المعلومات بعد مرور عشرين عاماً على </w:t>
      </w:r>
      <w:r w:rsidRPr="003A1E24">
        <w:rPr>
          <w:rtl/>
          <w:lang w:bidi="ar-EG"/>
        </w:rPr>
        <w:t>انعقادها</w:t>
      </w:r>
      <w:r>
        <w:rPr>
          <w:rFonts w:hint="cs"/>
          <w:rtl/>
          <w:lang w:bidi="ar-EG"/>
        </w:rPr>
        <w:t xml:space="preserve"> </w:t>
      </w:r>
      <w:r>
        <w:rPr>
          <w:lang w:bidi="ar-EG"/>
        </w:rPr>
        <w:t>(WSIS+20)</w:t>
      </w:r>
      <w:r w:rsidR="006E6843" w:rsidRPr="00704FEF">
        <w:rPr>
          <w:rtl/>
          <w:lang w:bidi="ar-EG"/>
        </w:rPr>
        <w:t>.</w:t>
      </w:r>
    </w:p>
    <w:p w14:paraId="35435589" w14:textId="143E6C9F" w:rsidR="00A649F5" w:rsidRDefault="00704FEF" w:rsidP="006E6843">
      <w:pPr>
        <w:rPr>
          <w:rtl/>
          <w:lang w:bidi="ar-EG"/>
        </w:rPr>
      </w:pPr>
      <w:r>
        <w:rPr>
          <w:lang w:bidi="ar-EG"/>
        </w:rPr>
        <w:t>2.4</w:t>
      </w:r>
      <w:r w:rsidR="006E6843">
        <w:rPr>
          <w:rtl/>
          <w:lang w:bidi="ar-EG"/>
        </w:rPr>
        <w:tab/>
        <w:t xml:space="preserve">وقال رئيس فريق العمل التابع للمجلس والمعني بالقمة العالمية لمجتمع المعلومات وأهداف التنمية المستدامة </w:t>
      </w:r>
      <w:r w:rsidR="006E6843">
        <w:rPr>
          <w:lang w:bidi="ar-EG"/>
        </w:rPr>
        <w:t>(CWG-WSIS&amp;SDG)</w:t>
      </w:r>
      <w:r w:rsidR="006E6843">
        <w:rPr>
          <w:rtl/>
          <w:lang w:bidi="ar-EG"/>
        </w:rPr>
        <w:t xml:space="preserve"> إن الملخص يعبِّر بعناية عن وجهات نظر أعضاء الاتحاد وأصحاب المصلحة فيه، ويسلط الضوء على الإنجازات والتحديات التي تحققت حتى الآن ويحدد المسارات المحتملة للقمة العالمية لمجتمع المعلومات ودور الاتحاد فيها بعد عام </w:t>
      </w:r>
      <w:r w:rsidR="006E6843">
        <w:rPr>
          <w:lang w:bidi="ar-EG"/>
        </w:rPr>
        <w:t>2025</w:t>
      </w:r>
      <w:r w:rsidR="006E6843">
        <w:rPr>
          <w:rtl/>
          <w:lang w:bidi="ar-EG"/>
        </w:rPr>
        <w:t>.</w:t>
      </w:r>
    </w:p>
    <w:p w14:paraId="0FB34211" w14:textId="5DA5D2B9" w:rsidR="006E6843" w:rsidRDefault="00704FEF" w:rsidP="006E6843">
      <w:pPr>
        <w:rPr>
          <w:rtl/>
          <w:lang w:bidi="ar-EG"/>
        </w:rPr>
      </w:pPr>
      <w:r>
        <w:rPr>
          <w:lang w:bidi="ar-EG"/>
        </w:rPr>
        <w:t>3.4</w:t>
      </w:r>
      <w:r w:rsidR="006E6843">
        <w:rPr>
          <w:rtl/>
          <w:lang w:bidi="ar-EG"/>
        </w:rPr>
        <w:tab/>
        <w:t xml:space="preserve">وأقر أعضاء المجلس بأن القمة العالمية لمجتمع المعلومات منبر رئيسي لدعم التوصيلية والشمول الرقمي، ولا سيما في البلدان النامية، وبدور الاتحاد المهم متعدد الأوجه في عملية القمة، وأعربوا عن تأييدهم القوي لتقديم الملخص إلى استعراض الجمعية العامة للأمم المتحدة للقمة العالمية لمجتمع المعلومات بعد مرور عشرين عاماً على </w:t>
      </w:r>
      <w:r w:rsidRPr="003A1E24">
        <w:rPr>
          <w:rtl/>
          <w:lang w:bidi="ar-EG"/>
        </w:rPr>
        <w:t>انعقادها</w:t>
      </w:r>
      <w:r>
        <w:rPr>
          <w:rtl/>
          <w:lang w:bidi="ar-EG"/>
        </w:rPr>
        <w:t xml:space="preserve"> </w:t>
      </w:r>
      <w:r w:rsidR="006E6843">
        <w:rPr>
          <w:lang w:bidi="ar-EG"/>
        </w:rPr>
        <w:t>(WSIS+20)</w:t>
      </w:r>
      <w:r w:rsidR="006E6843">
        <w:rPr>
          <w:rtl/>
          <w:lang w:bidi="ar-EG"/>
        </w:rPr>
        <w:t>. غير أن عدداً من أعضاء المجلس شددوا على ضرورة إبراز جميع الآراء في التقرير، وهو أمر يصعب تحقيقه في مثل هذا الملخص القصير نظرا</w:t>
      </w:r>
      <w:r>
        <w:rPr>
          <w:rFonts w:hint="cs"/>
          <w:rtl/>
          <w:lang w:bidi="ar-EG"/>
        </w:rPr>
        <w:t>ً</w:t>
      </w:r>
      <w:r w:rsidR="006E6843">
        <w:rPr>
          <w:rtl/>
          <w:lang w:bidi="ar-EG"/>
        </w:rPr>
        <w:t xml:space="preserve"> لكثرة المساهمات؛ وبالتالي، اقتُرح أن تُلحق به فرادى المساهمات جميعها.</w:t>
      </w:r>
    </w:p>
    <w:p w14:paraId="59A2F660" w14:textId="1E759225" w:rsidR="00A649F5" w:rsidRDefault="00704FEF" w:rsidP="006E6843">
      <w:pPr>
        <w:rPr>
          <w:rtl/>
          <w:lang w:bidi="ar-EG"/>
        </w:rPr>
      </w:pPr>
      <w:r>
        <w:rPr>
          <w:lang w:bidi="ar-EG"/>
        </w:rPr>
        <w:t>4.4</w:t>
      </w:r>
      <w:r w:rsidR="006E6843">
        <w:rPr>
          <w:rtl/>
          <w:lang w:bidi="ar-EG"/>
        </w:rPr>
        <w:tab/>
        <w:t xml:space="preserve">وسلط أحد أعضاء المجلس الضوء على ضرورة أن تحافظ القمة العالمية لمجتمع المعلومات على ولايتها الفريدة وأن تعيد التأكيد على المبادئ والالتزامات المنصوص عليها في الميثاق الرقمي العالمي </w:t>
      </w:r>
      <w:r w:rsidR="006E6843">
        <w:rPr>
          <w:lang w:bidi="ar-EG"/>
        </w:rPr>
        <w:t>(GDC)</w:t>
      </w:r>
      <w:r w:rsidR="006E6843">
        <w:rPr>
          <w:rtl/>
          <w:lang w:bidi="ar-EG"/>
        </w:rPr>
        <w:t xml:space="preserve"> - وقال، ينبغي لهاتين العمليتين أن تكونا منفصلتين ومتكاملتين. وقال إنه يرى أن خطوط عمل القمة العالمية لمجتمع المعلومات لا</w:t>
      </w:r>
      <w:r>
        <w:rPr>
          <w:rFonts w:hint="cs"/>
          <w:rtl/>
          <w:lang w:bidi="ar-EG"/>
        </w:rPr>
        <w:t> </w:t>
      </w:r>
      <w:r w:rsidR="006E6843">
        <w:rPr>
          <w:rtl/>
          <w:lang w:bidi="ar-EG"/>
        </w:rPr>
        <w:t xml:space="preserve">تزال وثيقة الصلة وأن منتدى إدارة الإنترنت ينبغي أن تكون له ولاية دائمة، بعد أن أثبت قيمته على مدى </w:t>
      </w:r>
      <w:r w:rsidR="006E6843">
        <w:rPr>
          <w:lang w:bidi="ar-EG"/>
        </w:rPr>
        <w:t>20</w:t>
      </w:r>
      <w:r w:rsidR="006E6843">
        <w:rPr>
          <w:rtl/>
          <w:lang w:bidi="ar-EG"/>
        </w:rPr>
        <w:t xml:space="preserve"> عاما</w:t>
      </w:r>
      <w:r>
        <w:rPr>
          <w:rFonts w:hint="cs"/>
          <w:rtl/>
          <w:lang w:bidi="ar-EG"/>
        </w:rPr>
        <w:t>ً</w:t>
      </w:r>
      <w:r w:rsidR="006E6843">
        <w:rPr>
          <w:rtl/>
          <w:lang w:bidi="ar-EG"/>
        </w:rPr>
        <w:t>.</w:t>
      </w:r>
    </w:p>
    <w:p w14:paraId="38F6769F" w14:textId="4F624D3E" w:rsidR="00A649F5" w:rsidRDefault="00704FEF" w:rsidP="006E6843">
      <w:pPr>
        <w:rPr>
          <w:rtl/>
          <w:lang w:bidi="ar-EG"/>
        </w:rPr>
      </w:pPr>
      <w:r>
        <w:rPr>
          <w:lang w:bidi="ar-EG"/>
        </w:rPr>
        <w:t>5.4</w:t>
      </w:r>
      <w:r w:rsidR="006E6843">
        <w:rPr>
          <w:rtl/>
          <w:lang w:bidi="ar-EG"/>
        </w:rPr>
        <w:tab/>
        <w:t>وشدد العديد من أعضاء المجلس على ضرورة استمرار اضطلاع الاتحاد بدور رئيسي معترف به في عملية القمة العالمية لمجتمع المعلومات بالتعاون مع الكيانات الأخرى في منظومة الأمم المتحدة، مع تفادي الازدواجية.</w:t>
      </w:r>
    </w:p>
    <w:p w14:paraId="623603F8" w14:textId="54BF5C76" w:rsidR="00420C83" w:rsidRDefault="00704FEF" w:rsidP="006E6843">
      <w:pPr>
        <w:rPr>
          <w:rtl/>
          <w:lang w:bidi="ar-EG"/>
        </w:rPr>
      </w:pPr>
      <w:r>
        <w:rPr>
          <w:lang w:bidi="ar-EG"/>
        </w:rPr>
        <w:t>6.4</w:t>
      </w:r>
      <w:r w:rsidR="006E6843">
        <w:rPr>
          <w:rtl/>
          <w:lang w:bidi="ar-EG"/>
        </w:rPr>
        <w:tab/>
        <w:t>واقترحت الرئيسة أن يأخذ المجلس علما</w:t>
      </w:r>
      <w:r>
        <w:rPr>
          <w:rFonts w:hint="cs"/>
          <w:rtl/>
          <w:lang w:bidi="ar-EG"/>
        </w:rPr>
        <w:t>ً</w:t>
      </w:r>
      <w:r w:rsidR="006E6843">
        <w:rPr>
          <w:rtl/>
          <w:lang w:bidi="ar-EG"/>
        </w:rPr>
        <w:t xml:space="preserve"> بالتقرير الوارد في الوثيقة </w:t>
      </w:r>
      <w:r w:rsidR="006E6843">
        <w:rPr>
          <w:lang w:bidi="ar-EG"/>
        </w:rPr>
        <w:t>C25/53</w:t>
      </w:r>
      <w:r w:rsidR="006E6843">
        <w:rPr>
          <w:rtl/>
          <w:lang w:bidi="ar-EG"/>
        </w:rPr>
        <w:t xml:space="preserve"> وأن يقدَّم التقرير إلى الجمعية العامة للأمم المتحدة مشفوعا</w:t>
      </w:r>
      <w:r>
        <w:rPr>
          <w:rFonts w:hint="cs"/>
          <w:rtl/>
          <w:lang w:bidi="ar-EG"/>
        </w:rPr>
        <w:t>ً</w:t>
      </w:r>
      <w:r w:rsidR="006E6843">
        <w:rPr>
          <w:rtl/>
          <w:lang w:bidi="ar-EG"/>
        </w:rPr>
        <w:t>، في ملحقه، بتجميع لجميع فرادى المساهمات الواردة.</w:t>
      </w:r>
    </w:p>
    <w:p w14:paraId="4D432C3E" w14:textId="7048A2E1" w:rsidR="00420C83" w:rsidRPr="00280A83" w:rsidRDefault="00420C83" w:rsidP="00420C83">
      <w:pPr>
        <w:rPr>
          <w:lang w:val="ar-SA" w:bidi="ar-EG"/>
        </w:rPr>
      </w:pPr>
      <w:r>
        <w:rPr>
          <w:lang w:bidi="ar-EG"/>
        </w:rPr>
        <w:t>7.4</w:t>
      </w:r>
      <w:r>
        <w:rPr>
          <w:rtl/>
          <w:lang w:bidi="ar-EG"/>
        </w:rPr>
        <w:tab/>
      </w:r>
      <w:r w:rsidRPr="00280A83">
        <w:rPr>
          <w:b/>
          <w:bCs/>
          <w:rtl/>
        </w:rPr>
        <w:t xml:space="preserve">واتُّفق </w:t>
      </w:r>
      <w:r w:rsidRPr="00280A83">
        <w:rPr>
          <w:rtl/>
        </w:rPr>
        <w:t>على ذلك.</w:t>
      </w:r>
    </w:p>
    <w:p w14:paraId="78B5BB85" w14:textId="1223F67C" w:rsidR="003A1E24" w:rsidRPr="00191333" w:rsidRDefault="003A1E24" w:rsidP="003A1E24">
      <w:pPr>
        <w:pStyle w:val="Heading1"/>
        <w:rPr>
          <w:rtl/>
          <w:lang w:bidi="ar-EG"/>
        </w:rPr>
      </w:pPr>
      <w:r>
        <w:rPr>
          <w:lang w:bidi="ar-EG"/>
        </w:rPr>
        <w:t>5</w:t>
      </w:r>
      <w:r>
        <w:rPr>
          <w:rtl/>
          <w:lang w:bidi="ar-EG"/>
        </w:rPr>
        <w:tab/>
      </w:r>
      <w:r w:rsidRPr="003A1E24">
        <w:rPr>
          <w:rtl/>
          <w:lang w:bidi="ar-EG"/>
        </w:rPr>
        <w:t>معلومات محدَّثة عن خطة عمل الاتحاد لتنفيذ الميثاق الرقمي العالمي</w:t>
      </w:r>
      <w:r>
        <w:rPr>
          <w:rFonts w:hint="cs"/>
          <w:rtl/>
        </w:rPr>
        <w:t xml:space="preserve"> (الوثيقة </w:t>
      </w:r>
      <w:hyperlink r:id="rId22" w:history="1">
        <w:r w:rsidRPr="00B94141">
          <w:rPr>
            <w:rStyle w:val="Hyperlink"/>
          </w:rPr>
          <w:t>C25/52</w:t>
        </w:r>
      </w:hyperlink>
      <w:r>
        <w:rPr>
          <w:rFonts w:hint="cs"/>
          <w:rtl/>
        </w:rPr>
        <w:t>)</w:t>
      </w:r>
    </w:p>
    <w:p w14:paraId="1E168F0A" w14:textId="77777777" w:rsidR="00A649F5" w:rsidRPr="00800760" w:rsidRDefault="006E6843" w:rsidP="006E6843">
      <w:pPr>
        <w:rPr>
          <w:spacing w:val="-2"/>
          <w:rtl/>
          <w:lang w:bidi="ar-EG"/>
        </w:rPr>
      </w:pPr>
      <w:r w:rsidRPr="00800760">
        <w:rPr>
          <w:rFonts w:hint="cs"/>
          <w:spacing w:val="-2"/>
          <w:lang w:bidi="ar-EG"/>
        </w:rPr>
        <w:t>1.5</w:t>
      </w:r>
      <w:r w:rsidRPr="00800760">
        <w:rPr>
          <w:spacing w:val="-2"/>
          <w:rtl/>
          <w:lang w:bidi="ar-EG"/>
        </w:rPr>
        <w:tab/>
        <w:t xml:space="preserve">قدم رئيس دائرة التخطيط الاستراتيجي وشؤون الأعضاء </w:t>
      </w:r>
      <w:r w:rsidRPr="00800760">
        <w:rPr>
          <w:spacing w:val="-2"/>
          <w:lang w:bidi="ar-EG"/>
        </w:rPr>
        <w:t>(SPM)</w:t>
      </w:r>
      <w:r w:rsidRPr="00800760">
        <w:rPr>
          <w:spacing w:val="-2"/>
          <w:rtl/>
          <w:lang w:bidi="ar-EG"/>
        </w:rPr>
        <w:t xml:space="preserve"> الوثيقة </w:t>
      </w:r>
      <w:r w:rsidRPr="00800760">
        <w:rPr>
          <w:spacing w:val="-2"/>
          <w:lang w:bidi="ar-EG"/>
        </w:rPr>
        <w:t>C25/52</w:t>
      </w:r>
      <w:r w:rsidRPr="00800760">
        <w:rPr>
          <w:spacing w:val="-2"/>
          <w:rtl/>
          <w:lang w:bidi="ar-EG"/>
        </w:rPr>
        <w:t xml:space="preserve"> التي تقدم تحديثات بشأن خطة عمل الاتحاد بشأن الميثاق الرقمي العالمي وتفاصيل الجهود التعاونية مع كيانات متعددة عبر منظومة الأمم المتحدة، بما في ذلك الرئيس المشارك لفريق العمل التابع للأمم المتحدة والمعني بالتكنولوجيات الرقمية </w:t>
      </w:r>
      <w:r w:rsidRPr="00800760">
        <w:rPr>
          <w:spacing w:val="-2"/>
          <w:lang w:bidi="ar-EG"/>
        </w:rPr>
        <w:t>(WGDT)</w:t>
      </w:r>
      <w:r w:rsidRPr="00800760">
        <w:rPr>
          <w:spacing w:val="-2"/>
          <w:rtl/>
          <w:lang w:bidi="ar-EG"/>
        </w:rPr>
        <w:t>. وقد حرص عمل الاتحاد بشأن تنفيذ الميثاق الرقمي العالمي على الاستفادة من الآليات القائمة لتجنب الازدواجية وتعزيز الكفاءة.</w:t>
      </w:r>
    </w:p>
    <w:p w14:paraId="1F4C30CD" w14:textId="5D47C5F2" w:rsidR="006E6843" w:rsidRDefault="006E6843" w:rsidP="006E6843">
      <w:pPr>
        <w:rPr>
          <w:rtl/>
          <w:lang w:bidi="ar-EG"/>
        </w:rPr>
      </w:pPr>
      <w:r>
        <w:rPr>
          <w:rFonts w:hint="cs"/>
          <w:lang w:bidi="ar-EG"/>
        </w:rPr>
        <w:t>2.5</w:t>
      </w:r>
      <w:r>
        <w:rPr>
          <w:rtl/>
          <w:lang w:bidi="ar-EG"/>
        </w:rPr>
        <w:tab/>
        <w:t xml:space="preserve">ورحب أعضاء المجلس بالقيادة القوية للاتحاد في تنفيذ الميثاق الرقمي العالمي ومواءمة أنشطة وأهداف الميثاق الرقمي العالمي مع الولايات والآليات القائمة. وأشيد بالجهود المبذولة في تعزيز التوصيلية الشاملة والهادفة والإدارة المسؤولة للذكاء الاصطناعي </w:t>
      </w:r>
      <w:r>
        <w:rPr>
          <w:lang w:bidi="ar-EG"/>
        </w:rPr>
        <w:t>(AI)</w:t>
      </w:r>
      <w:r>
        <w:rPr>
          <w:rtl/>
          <w:lang w:bidi="ar-EG"/>
        </w:rPr>
        <w:t xml:space="preserve"> والشمول الرقمي، وكذلك المواءمة مع ميثاق المستقبل. ودعا أعضاء المجلس الاتحاد إلى مواصلة دوره في الريادة. فهو، بفضل خبرته التقنية، يؤدي دورا</w:t>
      </w:r>
      <w:r w:rsidR="00A940F5">
        <w:rPr>
          <w:rFonts w:hint="cs"/>
          <w:rtl/>
          <w:lang w:bidi="ar-EG"/>
        </w:rPr>
        <w:t>ً</w:t>
      </w:r>
      <w:r>
        <w:rPr>
          <w:rtl/>
          <w:lang w:bidi="ar-EG"/>
        </w:rPr>
        <w:t xml:space="preserve"> مهما</w:t>
      </w:r>
      <w:r w:rsidR="00A940F5">
        <w:rPr>
          <w:rFonts w:hint="cs"/>
          <w:rtl/>
          <w:lang w:bidi="ar-EG"/>
        </w:rPr>
        <w:t>ً</w:t>
      </w:r>
      <w:r>
        <w:rPr>
          <w:rtl/>
          <w:lang w:bidi="ar-EG"/>
        </w:rPr>
        <w:t xml:space="preserve"> في بناء القدرات وتعزيز شمول الشباب والنساء بهدف سد الفجوات الرقمية. غير أن أحد أعضاء المجلس شدد على ضرورة المشاركة العادلة للبلدان النامية في</w:t>
      </w:r>
      <w:r w:rsidR="00A940F5">
        <w:rPr>
          <w:rFonts w:hint="cs"/>
          <w:rtl/>
          <w:lang w:bidi="ar-EG"/>
        </w:rPr>
        <w:t> </w:t>
      </w:r>
      <w:r>
        <w:rPr>
          <w:rtl/>
          <w:lang w:bidi="ar-EG"/>
        </w:rPr>
        <w:t>تحديد كيفية تنفيذ الميثاق الرقمي العالمي. وقال من الضروري أيضا</w:t>
      </w:r>
      <w:r w:rsidR="00A940F5">
        <w:rPr>
          <w:rFonts w:hint="cs"/>
          <w:rtl/>
          <w:lang w:bidi="ar-EG"/>
        </w:rPr>
        <w:t>ً</w:t>
      </w:r>
      <w:r>
        <w:rPr>
          <w:rtl/>
          <w:lang w:bidi="ar-EG"/>
        </w:rPr>
        <w:t xml:space="preserve"> أن تكون عمليات التقييس الدولية شفافة وأن تعبِّر عن الاحتياجات المتنوعة للبلدان النامية.</w:t>
      </w:r>
    </w:p>
    <w:p w14:paraId="48F8F0C7" w14:textId="27970043" w:rsidR="006E6843" w:rsidRDefault="006E6843" w:rsidP="00A940F5">
      <w:pPr>
        <w:keepLines/>
        <w:rPr>
          <w:rtl/>
          <w:lang w:bidi="ar-EG"/>
        </w:rPr>
      </w:pPr>
      <w:r>
        <w:rPr>
          <w:rFonts w:hint="cs"/>
          <w:lang w:bidi="ar-EG"/>
        </w:rPr>
        <w:lastRenderedPageBreak/>
        <w:t>3.5</w:t>
      </w:r>
      <w:r>
        <w:rPr>
          <w:rtl/>
          <w:lang w:bidi="ar-EG"/>
        </w:rPr>
        <w:tab/>
        <w:t>ورحب أعضاء المجلس أيضا</w:t>
      </w:r>
      <w:r w:rsidR="00A940F5">
        <w:rPr>
          <w:rFonts w:hint="cs"/>
          <w:rtl/>
          <w:lang w:bidi="ar-EG"/>
        </w:rPr>
        <w:t>ً</w:t>
      </w:r>
      <w:r>
        <w:rPr>
          <w:rtl/>
          <w:lang w:bidi="ar-EG"/>
        </w:rPr>
        <w:t xml:space="preserve"> بالتركيز على التعاون عبر منظومة الأمم المتحدة وأشاروا إلى أن عدداً من المبادرات التعاونية التي يقودها الاتحاد، مثل مبادرة </w:t>
      </w:r>
      <w:r>
        <w:rPr>
          <w:lang w:bidi="ar-EG"/>
        </w:rPr>
        <w:t>Giga</w:t>
      </w:r>
      <w:r>
        <w:rPr>
          <w:rtl/>
          <w:lang w:bidi="ar-EG"/>
        </w:rPr>
        <w:t xml:space="preserve"> ومبادرة الذكاء الاصطناعي من أجل المصلحة العامة وشراكة سواسية العالمية </w:t>
      </w:r>
      <w:r>
        <w:rPr>
          <w:lang w:bidi="ar-EG"/>
        </w:rPr>
        <w:t>(EQUALS)</w:t>
      </w:r>
      <w:r>
        <w:rPr>
          <w:rtl/>
          <w:lang w:bidi="ar-EG"/>
        </w:rPr>
        <w:t>، أدت دورا</w:t>
      </w:r>
      <w:r w:rsidR="00A940F5">
        <w:rPr>
          <w:rFonts w:hint="cs"/>
          <w:rtl/>
          <w:lang w:bidi="ar-EG"/>
        </w:rPr>
        <w:t>ً</w:t>
      </w:r>
      <w:r>
        <w:rPr>
          <w:rtl/>
          <w:lang w:bidi="ar-EG"/>
        </w:rPr>
        <w:t xml:space="preserve"> مهما</w:t>
      </w:r>
      <w:r w:rsidR="00A940F5">
        <w:rPr>
          <w:rFonts w:hint="cs"/>
          <w:rtl/>
          <w:lang w:bidi="ar-EG"/>
        </w:rPr>
        <w:t>ً</w:t>
      </w:r>
      <w:r>
        <w:rPr>
          <w:rtl/>
          <w:lang w:bidi="ar-EG"/>
        </w:rPr>
        <w:t xml:space="preserve"> في ترجمة الالتزام إلى أفعال. وتعتبر عملية القمة العالمية لمجتمع المعلومات أساسية أيضا</w:t>
      </w:r>
      <w:r w:rsidR="00A940F5">
        <w:rPr>
          <w:rFonts w:hint="cs"/>
          <w:rtl/>
          <w:lang w:bidi="ar-EG"/>
        </w:rPr>
        <w:t>ً</w:t>
      </w:r>
      <w:r>
        <w:rPr>
          <w:rtl/>
          <w:lang w:bidi="ar-EG"/>
        </w:rPr>
        <w:t xml:space="preserve"> في هذا الصدد، حيث شدد عدد من أعضاء المجلس على ضرورة مواءمة الميثاق الرقمي العالمي مع عملية القمة العالمية لمجتمع المعلومات وخطوط عملها وكذلك على الحاجة إلى تجنب الازدواجية، خاصة في سياق مبادرة الذكرى الثمانين لإنشاء الأمم المتحدة </w:t>
      </w:r>
      <w:r>
        <w:rPr>
          <w:lang w:bidi="ar-EG"/>
        </w:rPr>
        <w:t>(UN80)</w:t>
      </w:r>
      <w:r>
        <w:rPr>
          <w:rtl/>
          <w:lang w:bidi="ar-EG"/>
        </w:rPr>
        <w:t>. غير أن أحد المراقبين شدد على الحاجة إلى الفصل الواضح بين الميثاق الرقمي العالمي وعملية القمة العالمية لمجتمع المعلومات، في حين أشار مراقب آخر إلى أن الميثاق الرقمي العالمي لم يُعتمد بتوافق الآراء وهو غير ملزم، وقال إن كثيرا</w:t>
      </w:r>
      <w:r w:rsidR="00A940F5">
        <w:rPr>
          <w:rFonts w:hint="cs"/>
          <w:rtl/>
          <w:lang w:bidi="ar-EG"/>
        </w:rPr>
        <w:t>ً</w:t>
      </w:r>
      <w:r>
        <w:rPr>
          <w:rtl/>
          <w:lang w:bidi="ar-EG"/>
        </w:rPr>
        <w:t xml:space="preserve"> من التركيز ينصب على تنفيذ الميثاق الرقمي العالمي، على</w:t>
      </w:r>
      <w:r w:rsidR="00A940F5">
        <w:rPr>
          <w:rFonts w:hint="cs"/>
          <w:rtl/>
          <w:lang w:bidi="ar-EG"/>
        </w:rPr>
        <w:t> </w:t>
      </w:r>
      <w:r>
        <w:rPr>
          <w:rtl/>
          <w:lang w:bidi="ar-EG"/>
        </w:rPr>
        <w:t>حساب نتائج القمة العالمية لمجتمع المعلومات، التي ينبغي إعطاؤها الأولوية لتحقيق أهداف التنمية المستدامة.</w:t>
      </w:r>
    </w:p>
    <w:p w14:paraId="1139E700" w14:textId="485B6FFF" w:rsidR="006E6843" w:rsidRDefault="006E6843" w:rsidP="006E6843">
      <w:pPr>
        <w:rPr>
          <w:rtl/>
          <w:lang w:bidi="ar-EG"/>
        </w:rPr>
      </w:pPr>
      <w:r>
        <w:rPr>
          <w:rFonts w:hint="cs"/>
          <w:lang w:bidi="ar-EG"/>
        </w:rPr>
        <w:t>4.5</w:t>
      </w:r>
      <w:r>
        <w:rPr>
          <w:rtl/>
          <w:lang w:bidi="ar-EG"/>
        </w:rPr>
        <w:tab/>
        <w:t xml:space="preserve">وأشار أحد أعضاء المجلس إلى أهمية أنشطة الاتحاد، ولا سيما الذكاء الاصطناعي لتحقيق المصلحة العامة، للهدف </w:t>
      </w:r>
      <w:r>
        <w:rPr>
          <w:lang w:bidi="ar-EG"/>
        </w:rPr>
        <w:t>5</w:t>
      </w:r>
      <w:r>
        <w:rPr>
          <w:rtl/>
          <w:lang w:bidi="ar-EG"/>
        </w:rPr>
        <w:t xml:space="preserve"> من الميثاق الرقمي العالمي، ولكنه دعا إلى إجراء دراسات عبر لجان دراسات القطاعات الثلاثة لضمان التحقيق الكامل لهذا الهدف. وشدد عضو آخر على قيمة أعمال التقييس، ولا سيما من خلال الفريق الاستشاري لتقييس الاتصالات</w:t>
      </w:r>
      <w:r w:rsidR="0048637F">
        <w:rPr>
          <w:rFonts w:hint="cs"/>
          <w:rtl/>
          <w:lang w:bidi="ar-EG"/>
        </w:rPr>
        <w:t> </w:t>
      </w:r>
      <w:r>
        <w:rPr>
          <w:lang w:bidi="ar-EG"/>
        </w:rPr>
        <w:t>(TSAG)</w:t>
      </w:r>
      <w:r>
        <w:rPr>
          <w:rtl/>
          <w:lang w:bidi="ar-EG"/>
        </w:rPr>
        <w:t xml:space="preserve">، لتحقيق الهدف </w:t>
      </w:r>
      <w:r>
        <w:rPr>
          <w:lang w:bidi="ar-EG"/>
        </w:rPr>
        <w:t>3</w:t>
      </w:r>
      <w:r>
        <w:rPr>
          <w:rtl/>
          <w:lang w:bidi="ar-EG"/>
        </w:rPr>
        <w:t xml:space="preserve"> من الميثاق الرقمي العالمي.</w:t>
      </w:r>
    </w:p>
    <w:p w14:paraId="44DB96D0" w14:textId="77777777" w:rsidR="001D4C79" w:rsidRDefault="006E6843" w:rsidP="006E6843">
      <w:pPr>
        <w:rPr>
          <w:rtl/>
          <w:lang w:bidi="ar-EG"/>
        </w:rPr>
      </w:pPr>
      <w:r>
        <w:rPr>
          <w:rFonts w:hint="cs"/>
          <w:lang w:bidi="ar-EG"/>
        </w:rPr>
        <w:t>5.5</w:t>
      </w:r>
      <w:r>
        <w:rPr>
          <w:rtl/>
          <w:lang w:bidi="ar-EG"/>
        </w:rPr>
        <w:tab/>
        <w:t>وقال رئيس دائرة التخطيط الاستراتيجي وشؤون الأعضاء إن إدماج الميثاق الرقمي العالمي في عملية القمة العالمية سيناقشه فريق العمل المعني بالتكنولوجيات الرقمية (</w:t>
      </w:r>
      <w:r>
        <w:rPr>
          <w:cs/>
          <w:lang w:bidi="ar-EG"/>
        </w:rPr>
        <w:t>‎</w:t>
      </w:r>
      <w:r>
        <w:rPr>
          <w:lang w:bidi="ar-EG"/>
        </w:rPr>
        <w:t>WGDT</w:t>
      </w:r>
      <w:r>
        <w:rPr>
          <w:rtl/>
          <w:lang w:bidi="ar-EG"/>
        </w:rPr>
        <w:t xml:space="preserve">). وقد قام فريق الأمم المتحدة المعني بمجتمع المعلومات برسم خارطة ارتباطات خطوط عمل القمة العالمية لمجتمع المعلومات وأهداف الميثاق الرقمي العالمي ونشر النتائج على موقعه الإلكتروني. وأوضح التقرير كيف تتواءم المبادرات مع خارطة </w:t>
      </w:r>
      <w:r w:rsidR="0048637F">
        <w:rPr>
          <w:rFonts w:hint="cs"/>
          <w:rtl/>
          <w:lang w:bidi="ar-EG"/>
        </w:rPr>
        <w:t>الارتباطا</w:t>
      </w:r>
      <w:r w:rsidR="0048637F">
        <w:rPr>
          <w:rtl/>
          <w:lang w:bidi="ar-EG"/>
        </w:rPr>
        <w:t>ت</w:t>
      </w:r>
      <w:r>
        <w:rPr>
          <w:rtl/>
          <w:lang w:bidi="ar-EG"/>
        </w:rPr>
        <w:t xml:space="preserve"> تلك. وتقع جميع الأعمال المتعلقة بالميثاق الرقمي العالمي ضمن اختصاص الاتحاد. ويُستفاد من البرامج القائمة وتُبذل جهود لتجنب الازدواجية، بما في ذلك مع عملية القمة العالمية لمجتمع المعلومات. وعلى الرغم من زيادة عبء عمل الأفرقة ذات الصلة، لم</w:t>
      </w:r>
      <w:r w:rsidR="0048637F">
        <w:rPr>
          <w:rFonts w:hint="cs"/>
          <w:rtl/>
          <w:lang w:bidi="ar-EG"/>
        </w:rPr>
        <w:t> </w:t>
      </w:r>
      <w:r>
        <w:rPr>
          <w:rtl/>
          <w:lang w:bidi="ar-EG"/>
        </w:rPr>
        <w:t xml:space="preserve">تخصَص أي موارد إضافية. وسيُطلب الإذن من أمانة الأمم المتحدة </w:t>
      </w:r>
      <w:r w:rsidR="0048637F">
        <w:rPr>
          <w:rFonts w:hint="cs"/>
          <w:rtl/>
          <w:lang w:bidi="ar-EG"/>
        </w:rPr>
        <w:t>للاطلاع</w:t>
      </w:r>
      <w:r>
        <w:rPr>
          <w:rtl/>
          <w:lang w:bidi="ar-EG"/>
        </w:rPr>
        <w:t xml:space="preserve"> على اختصاصات فريق العمل المعني بالتكنولوجيات الرقمية نظرا</w:t>
      </w:r>
      <w:r w:rsidR="0048637F">
        <w:rPr>
          <w:rFonts w:hint="cs"/>
          <w:rtl/>
          <w:lang w:bidi="ar-EG"/>
        </w:rPr>
        <w:t>ً</w:t>
      </w:r>
      <w:r>
        <w:rPr>
          <w:rtl/>
          <w:lang w:bidi="ar-EG"/>
        </w:rPr>
        <w:t xml:space="preserve"> إلى أنها وثيقة داخلية.</w:t>
      </w:r>
    </w:p>
    <w:p w14:paraId="1E9A6CB7" w14:textId="45D1437E" w:rsidR="00420C83" w:rsidRDefault="00420C83" w:rsidP="00420C83">
      <w:pPr>
        <w:rPr>
          <w:rtl/>
          <w:lang w:bidi="ar-EG"/>
        </w:rPr>
      </w:pPr>
      <w:r>
        <w:rPr>
          <w:lang w:bidi="ar-EG"/>
        </w:rPr>
        <w:t>6.5</w:t>
      </w:r>
      <w:r>
        <w:rPr>
          <w:rtl/>
          <w:lang w:bidi="ar-EG"/>
        </w:rPr>
        <w:tab/>
      </w:r>
      <w:r w:rsidR="002E65E7" w:rsidRPr="000C1483">
        <w:rPr>
          <w:b/>
          <w:bCs/>
          <w:rtl/>
        </w:rPr>
        <w:t>و</w:t>
      </w:r>
      <w:r w:rsidR="002E65E7">
        <w:rPr>
          <w:rFonts w:hint="cs"/>
          <w:b/>
          <w:bCs/>
          <w:rtl/>
        </w:rPr>
        <w:t xml:space="preserve">أخذ </w:t>
      </w:r>
      <w:r w:rsidRPr="00280A83">
        <w:rPr>
          <w:rtl/>
        </w:rPr>
        <w:t xml:space="preserve">المجلس </w:t>
      </w:r>
      <w:r w:rsidRPr="00280A83">
        <w:rPr>
          <w:b/>
          <w:bCs/>
          <w:rtl/>
        </w:rPr>
        <w:t xml:space="preserve">علماً </w:t>
      </w:r>
      <w:r w:rsidRPr="00280A83">
        <w:rPr>
          <w:rtl/>
        </w:rPr>
        <w:t>بالتقرير الوارد</w:t>
      </w:r>
      <w:r>
        <w:rPr>
          <w:rFonts w:hint="cs"/>
          <w:rtl/>
        </w:rPr>
        <w:t xml:space="preserve"> </w:t>
      </w:r>
      <w:r w:rsidRPr="00280A83">
        <w:rPr>
          <w:rtl/>
        </w:rPr>
        <w:t>في الوثيق</w:t>
      </w:r>
      <w:r>
        <w:rPr>
          <w:rFonts w:hint="cs"/>
          <w:rtl/>
        </w:rPr>
        <w:t>ة</w:t>
      </w:r>
      <w:r w:rsidRPr="00280A83">
        <w:rPr>
          <w:rtl/>
        </w:rPr>
        <w:t xml:space="preserve"> </w:t>
      </w:r>
      <w:r>
        <w:t>C25/52</w:t>
      </w:r>
      <w:r>
        <w:rPr>
          <w:rFonts w:hint="cs"/>
          <w:rtl/>
        </w:rPr>
        <w:t>.</w:t>
      </w:r>
    </w:p>
    <w:p w14:paraId="1C1B6B4A" w14:textId="77777777" w:rsidR="001D4C79" w:rsidRDefault="003A1E24" w:rsidP="003A1E24">
      <w:pPr>
        <w:pStyle w:val="Heading1"/>
        <w:rPr>
          <w:rtl/>
          <w:lang w:bidi="ar-EG"/>
        </w:rPr>
      </w:pPr>
      <w:r>
        <w:rPr>
          <w:lang w:bidi="ar-EG"/>
        </w:rPr>
        <w:t>6</w:t>
      </w:r>
      <w:r>
        <w:rPr>
          <w:rtl/>
          <w:lang w:bidi="ar-EG"/>
        </w:rPr>
        <w:tab/>
      </w:r>
      <w:r w:rsidRPr="003A1E24">
        <w:rPr>
          <w:rtl/>
          <w:lang w:bidi="ar-EG"/>
        </w:rPr>
        <w:t>تقوية الحضور الإقليمي للاتحاد</w:t>
      </w:r>
      <w:r>
        <w:rPr>
          <w:rFonts w:hint="cs"/>
          <w:rtl/>
        </w:rPr>
        <w:t xml:space="preserve"> (الوثيقة </w:t>
      </w:r>
      <w:hyperlink r:id="rId23" w:history="1">
        <w:r w:rsidRPr="00711DF0">
          <w:rPr>
            <w:rStyle w:val="Hyperlink"/>
          </w:rPr>
          <w:t>C25/25(Rev.1)</w:t>
        </w:r>
      </w:hyperlink>
      <w:r>
        <w:rPr>
          <w:rFonts w:hint="cs"/>
          <w:rtl/>
        </w:rPr>
        <w:t>)</w:t>
      </w:r>
    </w:p>
    <w:p w14:paraId="214948B0" w14:textId="77777777" w:rsidR="001D4C79" w:rsidRDefault="00732EAB" w:rsidP="00732EAB">
      <w:pPr>
        <w:rPr>
          <w:rtl/>
          <w:lang w:bidi="ar-EG"/>
        </w:rPr>
      </w:pPr>
      <w:r>
        <w:rPr>
          <w:lang w:bidi="ar-EG"/>
        </w:rPr>
        <w:t>1.6</w:t>
      </w:r>
      <w:r>
        <w:rPr>
          <w:rtl/>
          <w:lang w:bidi="ar-EG"/>
        </w:rPr>
        <w:tab/>
      </w:r>
      <w:r w:rsidR="006E6843" w:rsidRPr="006E6843">
        <w:rPr>
          <w:rtl/>
          <w:lang w:bidi="ar-EG"/>
        </w:rPr>
        <w:t xml:space="preserve">قدم نائب مدير مكتب تنمية الاتصالات </w:t>
      </w:r>
      <w:r w:rsidR="006E6843" w:rsidRPr="006E6843">
        <w:rPr>
          <w:lang w:bidi="ar-EG"/>
        </w:rPr>
        <w:t>(BDT)</w:t>
      </w:r>
      <w:r w:rsidR="006E6843" w:rsidRPr="006E6843">
        <w:rPr>
          <w:rtl/>
          <w:lang w:bidi="ar-EG"/>
        </w:rPr>
        <w:t xml:space="preserve"> الوثيقة </w:t>
      </w:r>
      <w:r w:rsidR="006E6843" w:rsidRPr="006E6843">
        <w:rPr>
          <w:lang w:bidi="ar-EG"/>
        </w:rPr>
        <w:t>C25/25(Rev.1)</w:t>
      </w:r>
      <w:r w:rsidR="006E6843" w:rsidRPr="006E6843">
        <w:rPr>
          <w:rtl/>
          <w:lang w:bidi="ar-EG"/>
        </w:rPr>
        <w:t xml:space="preserve"> التي تورد تقريرا</w:t>
      </w:r>
      <w:r w:rsidR="0048637F">
        <w:rPr>
          <w:rFonts w:hint="cs"/>
          <w:rtl/>
          <w:lang w:bidi="ar-EG"/>
        </w:rPr>
        <w:t>ً</w:t>
      </w:r>
      <w:r w:rsidR="006E6843" w:rsidRPr="006E6843">
        <w:rPr>
          <w:rtl/>
          <w:lang w:bidi="ar-EG"/>
        </w:rPr>
        <w:t xml:space="preserve"> عن مساهمة الحضور الإقليمي للاتحاد في الإيفاء بولاية الاتحاد والعمل الإقليمي نحو تنفيذ الخطة الاستراتيجية للاتحاد وخطة عمل كيغالي والمبادرات الإقليمية. وقد سلطت الضوء على أوجه التآزر بين المكاتب الإقليمية للاتحاد ومكتب تنمية الاتصالات في تخطيط الأنشطة والمشاريع وتنفيذها ومراقبتها وتقييمها. وي</w:t>
      </w:r>
      <w:r w:rsidR="0048637F">
        <w:rPr>
          <w:rFonts w:hint="cs"/>
          <w:rtl/>
          <w:lang w:bidi="ar-EG"/>
        </w:rPr>
        <w:t>ُ</w:t>
      </w:r>
      <w:r w:rsidR="006E6843" w:rsidRPr="006E6843">
        <w:rPr>
          <w:rtl/>
          <w:lang w:bidi="ar-EG"/>
        </w:rPr>
        <w:t>تاح مزيد من المعلومات في وثيقتي الفريق الاستشاري لتنمية الاتصالات</w:t>
      </w:r>
      <w:r w:rsidR="0048637F">
        <w:rPr>
          <w:rFonts w:hint="cs"/>
          <w:rtl/>
          <w:lang w:bidi="ar-EG"/>
        </w:rPr>
        <w:t xml:space="preserve"> </w:t>
      </w:r>
      <w:r w:rsidR="0048637F">
        <w:rPr>
          <w:lang w:bidi="ar-EG"/>
        </w:rPr>
        <w:t>(TDAG)</w:t>
      </w:r>
      <w:r w:rsidR="0048637F">
        <w:rPr>
          <w:rFonts w:hint="cs"/>
          <w:rtl/>
          <w:lang w:bidi="ar-EG"/>
        </w:rPr>
        <w:t xml:space="preserve"> </w:t>
      </w:r>
      <w:hyperlink r:id="rId24" w:history="1">
        <w:r w:rsidR="006E6843" w:rsidRPr="0048637F">
          <w:rPr>
            <w:rStyle w:val="Hyperlink"/>
            <w:noProof w:val="0"/>
            <w:lang w:val="en-US" w:eastAsia="zh-CN" w:bidi="ar-EG"/>
          </w:rPr>
          <w:t>TDAG-25/2</w:t>
        </w:r>
      </w:hyperlink>
      <w:r w:rsidR="006E6843" w:rsidRPr="006E6843">
        <w:rPr>
          <w:rtl/>
          <w:lang w:bidi="ar-EG"/>
        </w:rPr>
        <w:t xml:space="preserve"> و</w:t>
      </w:r>
      <w:hyperlink r:id="rId25" w:history="1">
        <w:r w:rsidR="006E6843" w:rsidRPr="0048637F">
          <w:rPr>
            <w:rStyle w:val="Hyperlink"/>
            <w:noProof w:val="0"/>
            <w:lang w:val="en-US" w:eastAsia="zh-CN" w:bidi="ar-EG"/>
          </w:rPr>
          <w:t>TDAG-25/24(Rev.1)</w:t>
        </w:r>
      </w:hyperlink>
      <w:r w:rsidR="006E6843" w:rsidRPr="006E6843">
        <w:rPr>
          <w:rtl/>
          <w:lang w:bidi="ar-EG"/>
        </w:rPr>
        <w:t>. ويمكن الاطلاع على التقارير عن المبادرات الإقليمية في</w:t>
      </w:r>
      <w:r w:rsidR="0048637F">
        <w:rPr>
          <w:rFonts w:hint="cs"/>
          <w:rtl/>
          <w:lang w:bidi="ar-EG"/>
        </w:rPr>
        <w:t> </w:t>
      </w:r>
      <w:r w:rsidR="006E6843" w:rsidRPr="006E6843">
        <w:rPr>
          <w:rtl/>
          <w:lang w:bidi="ar-EG"/>
        </w:rPr>
        <w:t xml:space="preserve">الوثيقة </w:t>
      </w:r>
      <w:hyperlink r:id="rId26" w:history="1">
        <w:r w:rsidR="006E6843" w:rsidRPr="0048637F">
          <w:rPr>
            <w:rStyle w:val="Hyperlink"/>
            <w:noProof w:val="0"/>
            <w:lang w:val="en-US" w:eastAsia="zh-CN" w:bidi="ar-EG"/>
          </w:rPr>
          <w:t>TDAG-25/INF/4(Rev.1)</w:t>
        </w:r>
      </w:hyperlink>
      <w:r w:rsidR="006E6843" w:rsidRPr="006E6843">
        <w:rPr>
          <w:rtl/>
          <w:lang w:bidi="ar-EG"/>
        </w:rPr>
        <w:t>.</w:t>
      </w:r>
    </w:p>
    <w:p w14:paraId="3CF41F19" w14:textId="77777777" w:rsidR="001D4C79" w:rsidRDefault="00732EAB" w:rsidP="00732EAB">
      <w:pPr>
        <w:rPr>
          <w:rtl/>
          <w:lang w:bidi="ar-EG"/>
        </w:rPr>
      </w:pPr>
      <w:r>
        <w:rPr>
          <w:lang w:bidi="ar-EG"/>
        </w:rPr>
        <w:t>2.6</w:t>
      </w:r>
      <w:r>
        <w:rPr>
          <w:rtl/>
          <w:lang w:bidi="ar-EG"/>
        </w:rPr>
        <w:tab/>
      </w:r>
      <w:r w:rsidR="006E6843" w:rsidRPr="006E6843">
        <w:rPr>
          <w:rtl/>
          <w:lang w:bidi="ar-EG"/>
        </w:rPr>
        <w:t>وسلط أعضاء المجلس والمراقبون الضوء على أهمية العمل الذي تضطلع به المكاتب الإقليمية ومكاتب المناطق دعما</w:t>
      </w:r>
      <w:r w:rsidR="00DA1D9B">
        <w:rPr>
          <w:rFonts w:hint="cs"/>
          <w:rtl/>
          <w:lang w:bidi="ar-EG"/>
        </w:rPr>
        <w:t>ً</w:t>
      </w:r>
      <w:r w:rsidR="006E6843" w:rsidRPr="006E6843">
        <w:rPr>
          <w:rtl/>
          <w:lang w:bidi="ar-EG"/>
        </w:rPr>
        <w:t xml:space="preserve"> للمبادرات الإقليمية والمشاريع الوطنية على السواء، وكذلك في التحضير لمؤتمرات الاتحاد وجمعياته الرئيسية. وكان الحضور الإقليمي أساسيا</w:t>
      </w:r>
      <w:r w:rsidR="00DA1D9B">
        <w:rPr>
          <w:rFonts w:hint="cs"/>
          <w:rtl/>
          <w:lang w:bidi="ar-EG"/>
        </w:rPr>
        <w:t>ً</w:t>
      </w:r>
      <w:r w:rsidR="006E6843" w:rsidRPr="006E6843">
        <w:rPr>
          <w:rtl/>
          <w:lang w:bidi="ar-EG"/>
        </w:rPr>
        <w:t xml:space="preserve"> في النهوض، ضمن جملة أمور، بالتعاون التقني وبناء القدرات وتنمية المهارات الرقمية وتعزيز البنية التحتية لتكنولوجيا المعلومات والاتصالات والحد من مخاطر الكوارث والتصدي لها، والتوصيلية الشاملة والهادفة، والأمن السيبراني ورسم خرائط النطاق العريض. ودعا عدد من أعضاء المجلس والمراقبين إلى مواصلة تقوية قدرات المكاتب الإقليمية ومكاتب المناطق وتعزيز التنسيق مع المكاتب وفيما بينها، وشدد أحد أعضاء المجلس على أن القرب الجغرافي يُحدث تأثيرا</w:t>
      </w:r>
      <w:r w:rsidR="00DA1D9B">
        <w:rPr>
          <w:rFonts w:hint="cs"/>
          <w:rtl/>
          <w:lang w:bidi="ar-EG"/>
        </w:rPr>
        <w:t>ً</w:t>
      </w:r>
      <w:r w:rsidR="006E6843" w:rsidRPr="006E6843">
        <w:rPr>
          <w:rtl/>
          <w:lang w:bidi="ar-EG"/>
        </w:rPr>
        <w:t xml:space="preserve"> أكبر، ودعا أحد المراقبين إلى زيادة الاهتمام باحتياجات البلدان النامية. وطلب أحد أعضاء المجلس تحليلا</w:t>
      </w:r>
      <w:r w:rsidR="00DA1D9B">
        <w:rPr>
          <w:rFonts w:hint="cs"/>
          <w:rtl/>
          <w:lang w:bidi="ar-EG"/>
        </w:rPr>
        <w:t>ً</w:t>
      </w:r>
      <w:r w:rsidR="006E6843" w:rsidRPr="006E6843">
        <w:rPr>
          <w:rtl/>
          <w:lang w:bidi="ar-EG"/>
        </w:rPr>
        <w:t xml:space="preserve"> للثغرات والعقبات التي تواجَه في تنفيذ المشاريع، ووضع مقترحات بشأنها. ودعا عضو آخر في</w:t>
      </w:r>
      <w:r w:rsidR="00DA1D9B">
        <w:rPr>
          <w:rFonts w:hint="cs"/>
          <w:rtl/>
          <w:lang w:bidi="ar-EG"/>
        </w:rPr>
        <w:t> </w:t>
      </w:r>
      <w:r w:rsidR="006E6843" w:rsidRPr="006E6843">
        <w:rPr>
          <w:rtl/>
          <w:lang w:bidi="ar-EG"/>
        </w:rPr>
        <w:t>المجلس إلى زيادة الحضور بما يعود بالنفع على الدول الجزرية في المحيط الهادئ.</w:t>
      </w:r>
    </w:p>
    <w:p w14:paraId="1E709D3F" w14:textId="77777777" w:rsidR="001D4C79" w:rsidRDefault="00732EAB" w:rsidP="00732EAB">
      <w:pPr>
        <w:rPr>
          <w:rtl/>
          <w:lang w:bidi="ar-EG"/>
        </w:rPr>
      </w:pPr>
      <w:r>
        <w:rPr>
          <w:lang w:bidi="ar-EG"/>
        </w:rPr>
        <w:t>3.6</w:t>
      </w:r>
      <w:r>
        <w:rPr>
          <w:rtl/>
          <w:lang w:bidi="ar-EG"/>
        </w:rPr>
        <w:tab/>
      </w:r>
      <w:r w:rsidR="006E6843" w:rsidRPr="006E6843">
        <w:rPr>
          <w:rtl/>
          <w:lang w:bidi="ar-EG"/>
        </w:rPr>
        <w:t xml:space="preserve">غير أن بعض أعضاء المجلس تساءلوا عما يبدو أنه توزيع جغرافي غير متكافئ لأنشطة القطاعات والموظفين. ففي حين أُعير موظفون في مكتب تقييس الاتصالات </w:t>
      </w:r>
      <w:r w:rsidR="006E6843" w:rsidRPr="006E6843">
        <w:rPr>
          <w:lang w:bidi="ar-EG"/>
        </w:rPr>
        <w:t>(TSB)</w:t>
      </w:r>
      <w:r w:rsidR="006E6843" w:rsidRPr="006E6843">
        <w:rPr>
          <w:rtl/>
          <w:lang w:bidi="ar-EG"/>
        </w:rPr>
        <w:t xml:space="preserve"> إلى مكاتب أخرى، ليس لمكتب الاتصالات الراديوية (</w:t>
      </w:r>
      <w:r w:rsidR="006E6843" w:rsidRPr="006E6843">
        <w:rPr>
          <w:lang w:bidi="ar-EG"/>
        </w:rPr>
        <w:t>BR</w:t>
      </w:r>
      <w:r w:rsidR="006E6843" w:rsidRPr="006E6843">
        <w:rPr>
          <w:rtl/>
          <w:lang w:bidi="ar-EG"/>
        </w:rPr>
        <w:t>) تمثيل لدى المكاتب الإقليمية أو مكاتب المناطق. وتساءل أحد أعضاء المجلس عما إذا كان ذلك مؤشرا</w:t>
      </w:r>
      <w:r w:rsidR="0099208B">
        <w:rPr>
          <w:rFonts w:hint="cs"/>
          <w:rtl/>
          <w:lang w:bidi="ar-EG"/>
        </w:rPr>
        <w:t>ً</w:t>
      </w:r>
      <w:r w:rsidR="006E6843" w:rsidRPr="006E6843">
        <w:rPr>
          <w:rtl/>
          <w:lang w:bidi="ar-EG"/>
        </w:rPr>
        <w:t xml:space="preserve"> على ترتيب الأولويات أو نقص الموارد. وقال عدد من أعضاء المجلس إن توزيع الموارد المالية والموظفين والأنشطة ينبغي أن يكون متساويا</w:t>
      </w:r>
      <w:r w:rsidR="0099208B">
        <w:rPr>
          <w:rFonts w:hint="cs"/>
          <w:rtl/>
          <w:lang w:bidi="ar-EG"/>
        </w:rPr>
        <w:t>ً</w:t>
      </w:r>
      <w:r w:rsidR="006E6843" w:rsidRPr="006E6843">
        <w:rPr>
          <w:rtl/>
          <w:lang w:bidi="ar-EG"/>
        </w:rPr>
        <w:t xml:space="preserve"> بين المناطق، في حين دعا أحد أعضاء المجلس إلى التوزيع الاستراتيجي استنادا</w:t>
      </w:r>
      <w:r w:rsidR="0099208B">
        <w:rPr>
          <w:rFonts w:hint="cs"/>
          <w:rtl/>
          <w:lang w:bidi="ar-EG"/>
        </w:rPr>
        <w:t>ً</w:t>
      </w:r>
      <w:r w:rsidR="006E6843" w:rsidRPr="006E6843">
        <w:rPr>
          <w:rtl/>
          <w:lang w:bidi="ar-EG"/>
        </w:rPr>
        <w:t xml:space="preserve"> إلى الأولويات الإقليمية وكفاءة </w:t>
      </w:r>
      <w:r w:rsidR="006E6843" w:rsidRPr="006E6843">
        <w:rPr>
          <w:rtl/>
          <w:lang w:bidi="ar-EG"/>
        </w:rPr>
        <w:lastRenderedPageBreak/>
        <w:t>استخدام الموارد البشرية. وطلب عضو آخر في المجلس معلومات كاملة عن التوظيف في المكاتب الإقليمية ومكاتب المناطق، تماشيا</w:t>
      </w:r>
      <w:r w:rsidR="0099208B">
        <w:rPr>
          <w:rFonts w:hint="cs"/>
          <w:rtl/>
          <w:lang w:bidi="ar-EG"/>
        </w:rPr>
        <w:t>ً</w:t>
      </w:r>
      <w:r w:rsidR="006E6843" w:rsidRPr="006E6843">
        <w:rPr>
          <w:rtl/>
          <w:lang w:bidi="ar-EG"/>
        </w:rPr>
        <w:t xml:space="preserve"> مع القرار </w:t>
      </w:r>
      <w:r w:rsidR="006E6843" w:rsidRPr="006E6843">
        <w:rPr>
          <w:lang w:bidi="ar-EG"/>
        </w:rPr>
        <w:t>25</w:t>
      </w:r>
      <w:r w:rsidR="006E6843" w:rsidRPr="006E6843">
        <w:rPr>
          <w:rtl/>
          <w:lang w:bidi="ar-EG"/>
        </w:rPr>
        <w:t xml:space="preserve"> (المراج</w:t>
      </w:r>
      <w:r w:rsidR="0099208B">
        <w:rPr>
          <w:rFonts w:hint="cs"/>
          <w:rtl/>
          <w:lang w:bidi="ar-EG"/>
        </w:rPr>
        <w:t>َ</w:t>
      </w:r>
      <w:r w:rsidR="006E6843" w:rsidRPr="006E6843">
        <w:rPr>
          <w:rtl/>
          <w:lang w:bidi="ar-EG"/>
        </w:rPr>
        <w:t xml:space="preserve">ع في بوخارست، </w:t>
      </w:r>
      <w:r w:rsidR="006E6843" w:rsidRPr="006E6843">
        <w:rPr>
          <w:lang w:bidi="ar-EG"/>
        </w:rPr>
        <w:t>2022</w:t>
      </w:r>
      <w:r w:rsidR="006E6843" w:rsidRPr="006E6843">
        <w:rPr>
          <w:rtl/>
          <w:lang w:bidi="ar-EG"/>
        </w:rPr>
        <w:t>) لمؤتمر المندوبين المفوضين. فمن شأن إدراج هذه المعلومات في التقرير أن ي</w:t>
      </w:r>
      <w:r w:rsidR="0099208B">
        <w:rPr>
          <w:rFonts w:hint="cs"/>
          <w:rtl/>
          <w:lang w:bidi="ar-EG"/>
        </w:rPr>
        <w:t>ُ</w:t>
      </w:r>
      <w:r w:rsidR="006E6843" w:rsidRPr="006E6843">
        <w:rPr>
          <w:rtl/>
          <w:lang w:bidi="ar-EG"/>
        </w:rPr>
        <w:t xml:space="preserve">سهل تتبع مدى مواءمة </w:t>
      </w:r>
      <w:r w:rsidR="006E6843" w:rsidRPr="00590791">
        <w:rPr>
          <w:rtl/>
          <w:lang w:bidi="ar-EG"/>
        </w:rPr>
        <w:t>ملاك</w:t>
      </w:r>
      <w:r w:rsidR="006E6843" w:rsidRPr="006E6843">
        <w:rPr>
          <w:rtl/>
          <w:lang w:bidi="ar-EG"/>
        </w:rPr>
        <w:t xml:space="preserve"> الموظفين في المكاتب الإقليمية مع الأولويات المتطورة للبلدان. وطلب عضو آخر في المجلس بيانات مُفصّلةٍ بالكامل عن برنامج المنح لضمان التوزيع العادل والمنصف والشامل للجميع بين القطاعات الثلاثة.</w:t>
      </w:r>
    </w:p>
    <w:p w14:paraId="68F498E7" w14:textId="77777777" w:rsidR="001D4C79" w:rsidRDefault="00732EAB" w:rsidP="00732EAB">
      <w:pPr>
        <w:rPr>
          <w:rtl/>
          <w:lang w:bidi="ar-EG"/>
        </w:rPr>
      </w:pPr>
      <w:r>
        <w:rPr>
          <w:lang w:bidi="ar-EG"/>
        </w:rPr>
        <w:t>4.6</w:t>
      </w:r>
      <w:r>
        <w:rPr>
          <w:rtl/>
          <w:lang w:bidi="ar-EG"/>
        </w:rPr>
        <w:tab/>
      </w:r>
      <w:r w:rsidR="006E6843" w:rsidRPr="006E6843">
        <w:rPr>
          <w:rtl/>
          <w:lang w:bidi="ar-EG"/>
        </w:rPr>
        <w:t>وقالت إحدى أعضاء المجلس</w:t>
      </w:r>
      <w:r w:rsidR="0099208B">
        <w:rPr>
          <w:rFonts w:hint="cs"/>
          <w:rtl/>
          <w:lang w:bidi="ar-EG"/>
        </w:rPr>
        <w:t>،</w:t>
      </w:r>
      <w:r w:rsidR="006E6843" w:rsidRPr="006E6843">
        <w:rPr>
          <w:rtl/>
          <w:lang w:bidi="ar-EG"/>
        </w:rPr>
        <w:t xml:space="preserve"> ينبغي اتخاذ تدابير أخرى لضمان إمكانية مشاركة جميع الدول الأعضاء على</w:t>
      </w:r>
      <w:r w:rsidR="0099208B">
        <w:rPr>
          <w:rFonts w:hint="cs"/>
          <w:rtl/>
          <w:lang w:bidi="ar-EG"/>
        </w:rPr>
        <w:t> </w:t>
      </w:r>
      <w:r w:rsidR="006E6843" w:rsidRPr="006E6843">
        <w:rPr>
          <w:rtl/>
          <w:lang w:bidi="ar-EG"/>
        </w:rPr>
        <w:t>قدم المساواة في لجان دراسات القطاعات، ولا سيما البلدان النامية التي يصعب عليها السفر إلى جنيف. وبالإضافة إلى ذلك، شجعت المكتب الإقليمي للأمريكتين على مواصلة أعماله التحضيرية للمؤتمرات ودعت إلى تنظيم أحداث أقاليمية لتيسير التنسيق في التحضير للمؤتمرات الرئيسية</w:t>
      </w:r>
      <w:r w:rsidR="006E6843">
        <w:rPr>
          <w:rFonts w:hint="cs"/>
          <w:rtl/>
          <w:lang w:bidi="ar-EG"/>
        </w:rPr>
        <w:t>.</w:t>
      </w:r>
    </w:p>
    <w:p w14:paraId="6F5A88D9" w14:textId="77777777" w:rsidR="001D4C79" w:rsidRDefault="00732EAB" w:rsidP="00732EAB">
      <w:pPr>
        <w:rPr>
          <w:rtl/>
          <w:lang w:bidi="ar-EG"/>
        </w:rPr>
      </w:pPr>
      <w:r>
        <w:rPr>
          <w:lang w:bidi="ar-EG"/>
        </w:rPr>
        <w:t>5.6</w:t>
      </w:r>
      <w:r>
        <w:rPr>
          <w:rtl/>
          <w:lang w:bidi="ar-EG"/>
        </w:rPr>
        <w:tab/>
      </w:r>
      <w:r w:rsidR="006E6843" w:rsidRPr="006E6843">
        <w:rPr>
          <w:rtl/>
          <w:lang w:bidi="ar-EG"/>
        </w:rPr>
        <w:t>وسلط عدد من أعضاء المجلس الضوء على المساهمات التي تقدمها بلدانهم للحضور الإقليمي للاتحاد. فبالإضافة إلى المنتديات الإنمائية الإقليمية والاجتماعات التحضيرية التي استضافتها هنغاريا والأردن وكينيا وقيرغيزستان وباراغواي وتايلاند، فقد استضافت الصين ورش عمل محورية، بما في ذلك ورشة بشأن توزيع الترددات الوطنية، وستستضيف اليابان ورشة عمل إقليمية بشأن الحد من مخاطر الكوارث وهي تشجع مبادرة تكنولوجيا المعلومات والاتصالات المراعية للبيئة التي تشمل ورش عمل عبر مناطق متعددة. وبالإضافة إلى ذلك، استضافت الفلبين الاحتفال الإقليمي بيوم الفتيات في مجال تكنولوجيا المعلومات والاتصالات والتزمت الهند بتعزيز وجود مكتب المنطقة في دلهي. وأوصي بأن يبين التقرير مساهمات الدول الأعضاء في عمل المكاتب الإقليمية</w:t>
      </w:r>
      <w:r w:rsidR="006E6843">
        <w:rPr>
          <w:rFonts w:hint="cs"/>
          <w:rtl/>
          <w:lang w:bidi="ar-EG"/>
        </w:rPr>
        <w:t>.</w:t>
      </w:r>
    </w:p>
    <w:p w14:paraId="62527D53" w14:textId="0A9ACA96" w:rsidR="006E6843" w:rsidRPr="0099208B" w:rsidRDefault="00732EAB" w:rsidP="006E6843">
      <w:pPr>
        <w:rPr>
          <w:rtl/>
          <w:lang w:bidi="ar-EG"/>
        </w:rPr>
      </w:pPr>
      <w:r w:rsidRPr="0099208B">
        <w:rPr>
          <w:lang w:bidi="ar-EG"/>
        </w:rPr>
        <w:t>6.6</w:t>
      </w:r>
      <w:r w:rsidRPr="0099208B">
        <w:rPr>
          <w:rtl/>
          <w:lang w:bidi="ar-EG"/>
        </w:rPr>
        <w:tab/>
      </w:r>
      <w:r w:rsidR="006E6843" w:rsidRPr="0099208B">
        <w:rPr>
          <w:rtl/>
          <w:lang w:bidi="ar-EG"/>
        </w:rPr>
        <w:t>وشكر مدير مكتب تنمية الاتصالات مختلف الدول الأعضاء على تعاونها وتآزرها في الأحداث والأنشطة الإقليمية وأعرب أيضا</w:t>
      </w:r>
      <w:r w:rsidR="0099208B" w:rsidRPr="0099208B">
        <w:rPr>
          <w:rFonts w:hint="cs"/>
          <w:rtl/>
          <w:lang w:bidi="ar-EG"/>
        </w:rPr>
        <w:t>ً</w:t>
      </w:r>
      <w:r w:rsidR="006E6843" w:rsidRPr="0099208B">
        <w:rPr>
          <w:rtl/>
          <w:lang w:bidi="ar-EG"/>
        </w:rPr>
        <w:t xml:space="preserve"> عن تقديره لمساهمات الشركاء في جهود التعاون وتعبئة الموارد. وعزا عدم التوازن الملحوظ في أنشطة القطاعات عبر المناطق إلى زيادة إدراج مدخلات الفريق الاستشاري لتنمية الاتصالات في التقرير. ويرجَّح أن يؤدي فعل الشيء نفسه مع تقارير الفريق الاستشاري لتقييس الاتصالات والفريق الاستشاري للاتصالات الراديوية إلى تحقيق توازن أكبر. وقال إن الأمانة يمكن أن تقدم معلومات مُفصّلة عن المنح. وقد شارك </w:t>
      </w:r>
      <w:r w:rsidR="006E6843" w:rsidRPr="0099208B">
        <w:rPr>
          <w:lang w:bidi="ar-EG"/>
        </w:rPr>
        <w:t>136</w:t>
      </w:r>
      <w:r w:rsidR="006E6843" w:rsidRPr="0099208B">
        <w:rPr>
          <w:rtl/>
          <w:lang w:bidi="ar-EG"/>
        </w:rPr>
        <w:t xml:space="preserve"> بلدا</w:t>
      </w:r>
      <w:r w:rsidR="0099208B" w:rsidRPr="0099208B">
        <w:rPr>
          <w:rFonts w:hint="cs"/>
          <w:rtl/>
          <w:lang w:bidi="ar-EG"/>
        </w:rPr>
        <w:t>ً</w:t>
      </w:r>
      <w:r w:rsidR="006E6843" w:rsidRPr="0099208B">
        <w:rPr>
          <w:rtl/>
          <w:lang w:bidi="ar-EG"/>
        </w:rPr>
        <w:t xml:space="preserve"> في تدريب سيبراني نُظم مؤخرا</w:t>
      </w:r>
      <w:r w:rsidR="0099208B" w:rsidRPr="0099208B">
        <w:rPr>
          <w:rFonts w:hint="cs"/>
          <w:rtl/>
          <w:lang w:bidi="ar-EG"/>
        </w:rPr>
        <w:t>ً</w:t>
      </w:r>
      <w:r w:rsidR="006E6843" w:rsidRPr="0099208B">
        <w:rPr>
          <w:rtl/>
          <w:lang w:bidi="ar-EG"/>
        </w:rPr>
        <w:t xml:space="preserve"> بالشراكة مع الإمارات العربية المتحدة. وذكَّر بأن الفريق الاستشاري لتنمية الاتصالات أعد جدولا</w:t>
      </w:r>
      <w:r w:rsidR="0099208B" w:rsidRPr="0099208B">
        <w:rPr>
          <w:rFonts w:hint="cs"/>
          <w:rtl/>
          <w:lang w:bidi="ar-EG"/>
        </w:rPr>
        <w:t>ً</w:t>
      </w:r>
      <w:r w:rsidR="006E6843" w:rsidRPr="0099208B">
        <w:rPr>
          <w:rtl/>
          <w:lang w:bidi="ar-EG"/>
        </w:rPr>
        <w:t xml:space="preserve"> يربط الأنشطة بالمبادرات</w:t>
      </w:r>
      <w:r w:rsidR="0099208B">
        <w:rPr>
          <w:rFonts w:hint="cs"/>
          <w:rtl/>
          <w:lang w:bidi="ar-EG"/>
        </w:rPr>
        <w:t> </w:t>
      </w:r>
      <w:r w:rsidR="006E6843" w:rsidRPr="0099208B">
        <w:rPr>
          <w:rtl/>
          <w:lang w:bidi="ar-EG"/>
        </w:rPr>
        <w:t>الإقليمية.</w:t>
      </w:r>
    </w:p>
    <w:p w14:paraId="119ECF51" w14:textId="4F17E64F" w:rsidR="006E6843" w:rsidRDefault="006E6843" w:rsidP="006E6843">
      <w:pPr>
        <w:rPr>
          <w:rtl/>
          <w:lang w:bidi="ar-EG"/>
        </w:rPr>
      </w:pPr>
      <w:r>
        <w:rPr>
          <w:rFonts w:hint="cs"/>
          <w:lang w:bidi="ar-EG"/>
        </w:rPr>
        <w:t>7.6</w:t>
      </w:r>
      <w:r>
        <w:rPr>
          <w:rtl/>
          <w:lang w:bidi="ar-EG"/>
        </w:rPr>
        <w:tab/>
        <w:t xml:space="preserve">ورحب بالدعوات إلى تعزيز قدرات المكاتب الإقليمية ومكاتب المناطق ولكنه أشار إلى القيود المالية. فقد دعمت المكاتب الإقليمية ومكاتب المناطق عمل المكاتب الثلاثة جميعها. وكان الحضور الإقليمي لمكتب تقييس الاتصالات في </w:t>
      </w:r>
      <w:r w:rsidRPr="00590791">
        <w:rPr>
          <w:rtl/>
          <w:lang w:bidi="ar-EG"/>
        </w:rPr>
        <w:t>منطقتي</w:t>
      </w:r>
      <w:r>
        <w:rPr>
          <w:rtl/>
          <w:lang w:bidi="ar-EG"/>
        </w:rPr>
        <w:t xml:space="preserve"> إفريقيا وآسيا والمحيط الهادئ جزءا</w:t>
      </w:r>
      <w:r w:rsidR="005E499A">
        <w:rPr>
          <w:rFonts w:hint="cs"/>
          <w:rtl/>
          <w:lang w:bidi="ar-EG"/>
        </w:rPr>
        <w:t>ً</w:t>
      </w:r>
      <w:r>
        <w:rPr>
          <w:rtl/>
          <w:lang w:bidi="ar-EG"/>
        </w:rPr>
        <w:t xml:space="preserve"> من برنامج تجريبي يتضمن إعارة موظفي مكتب تقييس الاتصالات وتوظيف موظفين محليين لدعم الاجتماعات والأحداث الأخرى. ويُتوقع توسيع نطاق البرنامج ليشمل مناطق أخرى. وبرنامج الإعارة هو ابتكار منخفض التكلفة قدمه مكتب تقييس الاتصالات ويمكن أن ينظر فيه مكتب الاتصالات الراديوية أيضا</w:t>
      </w:r>
      <w:r w:rsidR="005E499A">
        <w:rPr>
          <w:rFonts w:hint="cs"/>
          <w:rtl/>
          <w:lang w:bidi="ar-EG"/>
        </w:rPr>
        <w:t>ً</w:t>
      </w:r>
      <w:r>
        <w:rPr>
          <w:rtl/>
          <w:lang w:bidi="ar-EG"/>
        </w:rPr>
        <w:t xml:space="preserve">، ولكن الميزانية المتاحة محدودة. وكذلك وُظِّف خبراء واستشاريون من حين لآخر لدعم المكاتب الإقليمية. ويمكن الاطلاع على معلومات عن </w:t>
      </w:r>
      <w:r w:rsidRPr="00590791">
        <w:rPr>
          <w:rtl/>
          <w:lang w:bidi="ar-EG"/>
        </w:rPr>
        <w:t>ملاك</w:t>
      </w:r>
      <w:r>
        <w:rPr>
          <w:rtl/>
          <w:lang w:bidi="ar-EG"/>
        </w:rPr>
        <w:t xml:space="preserve"> الموظفين في وثيقة دائرة إدارة الموارد البشرية </w:t>
      </w:r>
      <w:r>
        <w:rPr>
          <w:lang w:bidi="ar-EG"/>
        </w:rPr>
        <w:t>(</w:t>
      </w:r>
      <w:hyperlink r:id="rId27" w:history="1">
        <w:r w:rsidRPr="0099208B">
          <w:rPr>
            <w:rStyle w:val="Hyperlink"/>
            <w:noProof w:val="0"/>
            <w:lang w:val="en-US" w:eastAsia="zh-CN" w:bidi="ar-EG"/>
          </w:rPr>
          <w:t>C25/66</w:t>
        </w:r>
      </w:hyperlink>
      <w:r>
        <w:rPr>
          <w:lang w:bidi="ar-EG"/>
        </w:rPr>
        <w:t>)</w:t>
      </w:r>
      <w:r>
        <w:rPr>
          <w:rtl/>
          <w:lang w:bidi="ar-EG"/>
        </w:rPr>
        <w:t xml:space="preserve"> المعروضة على</w:t>
      </w:r>
      <w:r w:rsidR="005E499A">
        <w:rPr>
          <w:rFonts w:hint="cs"/>
          <w:rtl/>
          <w:lang w:bidi="ar-EG"/>
        </w:rPr>
        <w:t> </w:t>
      </w:r>
      <w:r>
        <w:rPr>
          <w:rtl/>
          <w:lang w:bidi="ar-EG"/>
        </w:rPr>
        <w:t>المجلس.</w:t>
      </w:r>
    </w:p>
    <w:p w14:paraId="045C831B" w14:textId="78A524F4" w:rsidR="00A649F5" w:rsidRDefault="006E6843" w:rsidP="006E6843">
      <w:pPr>
        <w:rPr>
          <w:rtl/>
          <w:lang w:bidi="ar-EG"/>
        </w:rPr>
      </w:pPr>
      <w:r>
        <w:rPr>
          <w:rFonts w:hint="cs"/>
          <w:lang w:bidi="ar-EG"/>
        </w:rPr>
        <w:t>8.6</w:t>
      </w:r>
      <w:r>
        <w:rPr>
          <w:rtl/>
          <w:lang w:bidi="ar-EG"/>
        </w:rPr>
        <w:tab/>
        <w:t>وأقر</w:t>
      </w:r>
      <w:r w:rsidR="005E499A">
        <w:rPr>
          <w:rFonts w:hint="cs"/>
          <w:rtl/>
          <w:lang w:bidi="ar-EG"/>
        </w:rPr>
        <w:t>ّ</w:t>
      </w:r>
      <w:r>
        <w:rPr>
          <w:rtl/>
          <w:lang w:bidi="ar-EG"/>
        </w:rPr>
        <w:t xml:space="preserve"> بالحاجة إلى تقييم المخاطر في الخطة التشغيلية وقال إنه سيضع تدابير للتخفيف منها بمساعدة الأعضاء والأفرقة الاستشارية. وإن إدارة المشاريع مهمة أيضا</w:t>
      </w:r>
      <w:r w:rsidR="005E499A">
        <w:rPr>
          <w:rFonts w:hint="cs"/>
          <w:rtl/>
          <w:lang w:bidi="ar-EG"/>
        </w:rPr>
        <w:t>ً</w:t>
      </w:r>
      <w:r>
        <w:rPr>
          <w:rtl/>
          <w:lang w:bidi="ar-EG"/>
        </w:rPr>
        <w:t>؛ ولذلك أجريت تحليلات للثغرات وتقييمات ما بعد التنفيذ. ويمكن تقديم معلومات في هذا الصدد. وفي حين أن بعض القضايا خارجة عن سيطرة الأمانة، فإنها تسعى إلى تحقيق أقصى قدر من الكفاءة والفعالية، بما في ذلك استخدام الأنظمة الهجينة.</w:t>
      </w:r>
    </w:p>
    <w:p w14:paraId="2B0EF6FA" w14:textId="22647309" w:rsidR="006E6843" w:rsidRPr="005E499A" w:rsidRDefault="006E6843" w:rsidP="006E6843">
      <w:pPr>
        <w:rPr>
          <w:spacing w:val="-1"/>
          <w:rtl/>
          <w:lang w:bidi="ar-EG"/>
        </w:rPr>
      </w:pPr>
      <w:r w:rsidRPr="005E499A">
        <w:rPr>
          <w:rFonts w:hint="cs"/>
          <w:spacing w:val="-1"/>
          <w:lang w:bidi="ar-EG"/>
        </w:rPr>
        <w:t>9.6</w:t>
      </w:r>
      <w:r w:rsidRPr="005E499A">
        <w:rPr>
          <w:spacing w:val="-1"/>
          <w:rtl/>
          <w:lang w:bidi="ar-EG"/>
        </w:rPr>
        <w:tab/>
        <w:t>وقال مدير مكتب الاتصالات الراديوية إن مكتب الاتصالات الراديوية يعمل عن كثب مع جميع المكاتب الإقليمية، من خلال موظفيه في المقر الرئيسي، لإحداث تأثير إيجابي في قضايا الاتصالات الراديوية، مثل الحلقات الدراسية الإقليمية للاتصالات الراديوية وغيرها من الأحداث، بما في ذلك الحلقات دون الإقليمية المصممة لتلبية احتياجات محددة، وورش العمل المحورية، مثل تلك المتعلقة بجداول توزيع الترددات. وإذا سمحت الميزانية بذلك، فإن مكتب الاتصالات الراديوية منفتح على زيادة حضوره الإقليمي، إذا تبيَّن نجاح مبادرة مكتب تقييس الاتصالات بشأن الإعارة والتوظيف المحلي</w:t>
      </w:r>
      <w:r w:rsidR="005E499A" w:rsidRPr="005E499A">
        <w:rPr>
          <w:rFonts w:hint="cs"/>
          <w:spacing w:val="-1"/>
          <w:rtl/>
          <w:lang w:bidi="ar-EG"/>
        </w:rPr>
        <w:t>.</w:t>
      </w:r>
    </w:p>
    <w:p w14:paraId="78259734" w14:textId="724D5397" w:rsidR="006E6843" w:rsidRDefault="006E6843" w:rsidP="006E6843">
      <w:pPr>
        <w:rPr>
          <w:rtl/>
          <w:lang w:bidi="ar-EG"/>
        </w:rPr>
      </w:pPr>
      <w:r>
        <w:rPr>
          <w:rFonts w:hint="cs"/>
          <w:lang w:bidi="ar-EG"/>
        </w:rPr>
        <w:t>10.6</w:t>
      </w:r>
      <w:r>
        <w:rPr>
          <w:rtl/>
          <w:lang w:bidi="ar-EG"/>
        </w:rPr>
        <w:tab/>
        <w:t xml:space="preserve">وقال مدير مكتب تقييس الاتصالات إن </w:t>
      </w:r>
      <w:r w:rsidR="0099208B">
        <w:rPr>
          <w:rFonts w:hint="cs"/>
          <w:rtl/>
          <w:lang w:bidi="ar-EG"/>
        </w:rPr>
        <w:t>إدارة</w:t>
      </w:r>
      <w:r>
        <w:rPr>
          <w:rtl/>
          <w:lang w:bidi="ar-EG"/>
        </w:rPr>
        <w:t xml:space="preserve"> موظفي مكتب تقييس الاتصالات إلى المكاتب الإقليمية حققت نتائج إيجابية حتى الآن. ومن المقرر مواصلة هذه المبادرة.</w:t>
      </w:r>
    </w:p>
    <w:p w14:paraId="024DDC71" w14:textId="77777777" w:rsidR="001D4C79" w:rsidRDefault="006E6843" w:rsidP="006E6843">
      <w:pPr>
        <w:rPr>
          <w:rtl/>
          <w:lang w:bidi="ar-EG"/>
        </w:rPr>
      </w:pPr>
      <w:r>
        <w:rPr>
          <w:rFonts w:hint="cs"/>
          <w:lang w:bidi="ar-EG"/>
        </w:rPr>
        <w:lastRenderedPageBreak/>
        <w:t>11.6</w:t>
      </w:r>
      <w:r>
        <w:rPr>
          <w:rtl/>
          <w:lang w:bidi="ar-EG"/>
        </w:rPr>
        <w:tab/>
        <w:t>وقال نائب مدير مكتب تقييس الاتصالات إن هذه المبادرة التجريبية تضمنت تعيين موظفين من فئة الخدمات العامة محليا</w:t>
      </w:r>
      <w:r w:rsidR="000372F9">
        <w:rPr>
          <w:rFonts w:hint="cs"/>
          <w:rtl/>
          <w:lang w:bidi="ar-EG"/>
        </w:rPr>
        <w:t>ً</w:t>
      </w:r>
      <w:r>
        <w:rPr>
          <w:rtl/>
          <w:lang w:bidi="ar-EG"/>
        </w:rPr>
        <w:t xml:space="preserve"> لتقديم الدعم للمكاتب الإقليمية ومكاتب المناطق، ولا سيما للاجتماعات والأحداث. وقد أثبتت فائدتها بشكل خاص خلال الجمعية العالمية لتقييس الاتصالات عام </w:t>
      </w:r>
      <w:r>
        <w:rPr>
          <w:lang w:bidi="ar-EG"/>
        </w:rPr>
        <w:t>2024</w:t>
      </w:r>
      <w:r>
        <w:rPr>
          <w:rtl/>
          <w:lang w:bidi="ar-EG"/>
        </w:rPr>
        <w:t xml:space="preserve"> واستمرت في تحقيق منافع ملموسة. وعند اختيار المكاتب الإقليمية لتُخص بموارد إضافية، أُخذت المناطق الزمنية في الاعتبار لتحقيق أقصى قدر من التأثير. وركز موظفو الفئة الفنية في أديس أبابا تحديدا</w:t>
      </w:r>
      <w:r w:rsidR="000372F9">
        <w:rPr>
          <w:rFonts w:hint="cs"/>
          <w:rtl/>
          <w:lang w:bidi="ar-EG"/>
        </w:rPr>
        <w:t>ً</w:t>
      </w:r>
      <w:r>
        <w:rPr>
          <w:rtl/>
          <w:lang w:bidi="ar-EG"/>
        </w:rPr>
        <w:t xml:space="preserve"> على تقديم الدعم لسد الفجوة التقييسية، في ظلّ الإقبال الكبير على مبادرات الشمول المالي في إفريقيا. وقد قدّموا الدعم لمختبر أمن الخدمات المالية الرقمية ولتنفيذ نتائج المبادرة العالمية للشمول المالي وغيرها من المعايير والتوصيات</w:t>
      </w:r>
      <w:r>
        <w:rPr>
          <w:rFonts w:hint="cs"/>
          <w:rtl/>
          <w:lang w:bidi="ar-EG"/>
        </w:rPr>
        <w:t>.</w:t>
      </w:r>
    </w:p>
    <w:p w14:paraId="58EF0750" w14:textId="764EF86E" w:rsidR="00732EAB" w:rsidRDefault="00732EAB" w:rsidP="00732EAB">
      <w:pPr>
        <w:rPr>
          <w:rtl/>
          <w:lang w:bidi="ar-EG"/>
        </w:rPr>
      </w:pPr>
      <w:r>
        <w:rPr>
          <w:lang w:bidi="ar-EG"/>
        </w:rPr>
        <w:t>12.6</w:t>
      </w:r>
      <w:r>
        <w:rPr>
          <w:rtl/>
          <w:lang w:bidi="ar-EG"/>
        </w:rPr>
        <w:tab/>
      </w:r>
      <w:r w:rsidR="002E65E7" w:rsidRPr="000C1483">
        <w:rPr>
          <w:b/>
          <w:bCs/>
          <w:rtl/>
        </w:rPr>
        <w:t>و</w:t>
      </w:r>
      <w:r w:rsidR="002E65E7">
        <w:rPr>
          <w:rFonts w:hint="cs"/>
          <w:b/>
          <w:bCs/>
          <w:rtl/>
        </w:rPr>
        <w:t xml:space="preserve">أخذ </w:t>
      </w:r>
      <w:r w:rsidRPr="00280A83">
        <w:rPr>
          <w:rtl/>
        </w:rPr>
        <w:t xml:space="preserve">المجلس </w:t>
      </w:r>
      <w:r w:rsidRPr="00280A83">
        <w:rPr>
          <w:b/>
          <w:bCs/>
          <w:rtl/>
        </w:rPr>
        <w:t xml:space="preserve">علماً </w:t>
      </w:r>
      <w:r w:rsidRPr="00280A83">
        <w:rPr>
          <w:rtl/>
        </w:rPr>
        <w:t>بالتقرير الوارد</w:t>
      </w:r>
      <w:r>
        <w:rPr>
          <w:rFonts w:hint="cs"/>
          <w:rtl/>
        </w:rPr>
        <w:t xml:space="preserve"> </w:t>
      </w:r>
      <w:r w:rsidRPr="00280A83">
        <w:rPr>
          <w:rtl/>
        </w:rPr>
        <w:t>في الوثيق</w:t>
      </w:r>
      <w:r>
        <w:rPr>
          <w:rFonts w:hint="cs"/>
          <w:rtl/>
        </w:rPr>
        <w:t>ة</w:t>
      </w:r>
      <w:r w:rsidRPr="00280A83">
        <w:rPr>
          <w:rtl/>
        </w:rPr>
        <w:t xml:space="preserve"> </w:t>
      </w:r>
      <w:r w:rsidR="0000298D" w:rsidRPr="00B94141">
        <w:t>C25/25(Rev.1)</w:t>
      </w:r>
      <w:r>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54440" w:rsidRPr="002A0750" w14:paraId="79AB8987" w14:textId="77777777" w:rsidTr="00675004">
        <w:tc>
          <w:tcPr>
            <w:tcW w:w="4530" w:type="dxa"/>
          </w:tcPr>
          <w:p w14:paraId="55D1673A" w14:textId="77777777" w:rsidR="00354440" w:rsidRPr="002A0750" w:rsidRDefault="00354440" w:rsidP="00590791">
            <w:pPr>
              <w:tabs>
                <w:tab w:val="clear" w:pos="794"/>
              </w:tabs>
              <w:spacing w:before="600" w:after="0"/>
              <w:rPr>
                <w:rtl/>
              </w:rPr>
            </w:pPr>
            <w:r w:rsidRPr="002A0750">
              <w:rPr>
                <w:rtl/>
              </w:rPr>
              <w:t>الأمينة العامة:</w:t>
            </w:r>
          </w:p>
        </w:tc>
        <w:tc>
          <w:tcPr>
            <w:tcW w:w="4531" w:type="dxa"/>
          </w:tcPr>
          <w:p w14:paraId="5D72015F" w14:textId="77777777" w:rsidR="00354440" w:rsidRPr="002A0750" w:rsidRDefault="00354440" w:rsidP="00590791">
            <w:pPr>
              <w:tabs>
                <w:tab w:val="clear" w:pos="794"/>
              </w:tabs>
              <w:spacing w:before="600" w:after="0"/>
              <w:rPr>
                <w:lang w:val="ar-SA" w:bidi="ar-EG"/>
              </w:rPr>
            </w:pPr>
            <w:r w:rsidRPr="002A0750">
              <w:rPr>
                <w:rtl/>
              </w:rPr>
              <w:t>الرئيسة:</w:t>
            </w:r>
          </w:p>
        </w:tc>
      </w:tr>
      <w:tr w:rsidR="00354440" w:rsidRPr="002A0750" w14:paraId="4415481E" w14:textId="77777777" w:rsidTr="00675004">
        <w:tc>
          <w:tcPr>
            <w:tcW w:w="4530" w:type="dxa"/>
          </w:tcPr>
          <w:p w14:paraId="44C7EF16" w14:textId="77777777" w:rsidR="00354440" w:rsidRPr="002A0750" w:rsidRDefault="00354440" w:rsidP="00675004">
            <w:pPr>
              <w:tabs>
                <w:tab w:val="clear" w:pos="794"/>
              </w:tabs>
              <w:rPr>
                <w:rtl/>
              </w:rPr>
            </w:pPr>
            <w:r w:rsidRPr="002A0750">
              <w:rPr>
                <w:rtl/>
              </w:rPr>
              <w:t>دورين بوغدان-مارتن</w:t>
            </w:r>
          </w:p>
        </w:tc>
        <w:tc>
          <w:tcPr>
            <w:tcW w:w="4531" w:type="dxa"/>
          </w:tcPr>
          <w:p w14:paraId="452C0053" w14:textId="77777777" w:rsidR="00354440" w:rsidRPr="002A0750" w:rsidRDefault="00354440" w:rsidP="00675004">
            <w:pPr>
              <w:tabs>
                <w:tab w:val="clear" w:pos="794"/>
              </w:tabs>
              <w:rPr>
                <w:lang w:val="ar-SA" w:bidi="ar-EG"/>
              </w:rPr>
            </w:pPr>
            <w:r w:rsidRPr="002A0750">
              <w:rPr>
                <w:rtl/>
              </w:rPr>
              <w:t>كريستيانا فلوتور</w:t>
            </w:r>
          </w:p>
        </w:tc>
      </w:tr>
    </w:tbl>
    <w:p w14:paraId="079FF5D0"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8"/>
      <w:headerReference w:type="first" r:id="rId29"/>
      <w:footerReference w:type="first" r:id="rId3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1A95" w14:textId="77777777" w:rsidR="002E7BFF" w:rsidRDefault="002E7BFF" w:rsidP="006C3242">
      <w:pPr>
        <w:spacing w:before="0" w:line="240" w:lineRule="auto"/>
      </w:pPr>
      <w:r>
        <w:separator/>
      </w:r>
    </w:p>
  </w:endnote>
  <w:endnote w:type="continuationSeparator" w:id="0">
    <w:p w14:paraId="1FDCAD11" w14:textId="77777777" w:rsidR="002E7BFF" w:rsidRDefault="002E7BF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44EBC75" w14:textId="77777777" w:rsidTr="00A67F05">
      <w:trPr>
        <w:jc w:val="center"/>
      </w:trPr>
      <w:tc>
        <w:tcPr>
          <w:tcW w:w="868" w:type="pct"/>
          <w:vAlign w:val="center"/>
        </w:tcPr>
        <w:p w14:paraId="2AB6457F" w14:textId="085C9046" w:rsidR="00F50E3F" w:rsidRPr="007B0AA0" w:rsidRDefault="00CE0A96"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CE0A96">
            <w:rPr>
              <w:rFonts w:ascii="Calibri" w:hAnsi="Calibri" w:cs="Arial"/>
              <w:sz w:val="18"/>
              <w:szCs w:val="14"/>
            </w:rPr>
            <w:t>2501787</w:t>
          </w:r>
        </w:p>
      </w:tc>
      <w:tc>
        <w:tcPr>
          <w:tcW w:w="3912" w:type="pct"/>
        </w:tcPr>
        <w:p w14:paraId="2D94EC9C" w14:textId="56C7491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CE0A96">
            <w:rPr>
              <w:rFonts w:ascii="Calibri" w:hAnsi="Calibri" w:cs="Arial"/>
              <w:bCs/>
              <w:color w:val="7F7F7F"/>
              <w:sz w:val="18"/>
            </w:rPr>
            <w:t>1</w:t>
          </w:r>
          <w:r w:rsidR="00CE0A96">
            <w:rPr>
              <w:rFonts w:ascii="Calibri" w:hAnsi="Calibri" w:cs="Arial"/>
              <w:color w:val="7F7F7F"/>
              <w:sz w:val="18"/>
            </w:rPr>
            <w:t>10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545DD7C"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BA0A93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788E39BD" w14:textId="77777777" w:rsidTr="00A67F05">
      <w:trPr>
        <w:jc w:val="center"/>
      </w:trPr>
      <w:tc>
        <w:tcPr>
          <w:tcW w:w="1013" w:type="pct"/>
          <w:vAlign w:val="center"/>
        </w:tcPr>
        <w:p w14:paraId="057BAB3C" w14:textId="77777777" w:rsidR="007B0AA0" w:rsidRPr="0096716C"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Pr="0096716C">
              <w:rPr>
                <w:rStyle w:val="Hyperlink"/>
                <w:sz w:val="18"/>
                <w:szCs w:val="18"/>
                <w:u w:val="none"/>
              </w:rPr>
              <w:t>council.itu.int/2025</w:t>
            </w:r>
          </w:hyperlink>
        </w:p>
      </w:tc>
      <w:tc>
        <w:tcPr>
          <w:tcW w:w="3768" w:type="pct"/>
        </w:tcPr>
        <w:p w14:paraId="7464D73D" w14:textId="563F7E66"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CE0A96">
            <w:rPr>
              <w:rFonts w:ascii="Calibri" w:hAnsi="Calibri" w:cs="Arial"/>
              <w:bCs/>
              <w:color w:val="7F7F7F"/>
              <w:sz w:val="18"/>
            </w:rPr>
            <w:t>1</w:t>
          </w:r>
          <w:r w:rsidR="00CE0A96">
            <w:rPr>
              <w:rFonts w:ascii="Calibri" w:hAnsi="Calibri" w:cs="Arial"/>
              <w:color w:val="7F7F7F"/>
              <w:sz w:val="18"/>
            </w:rPr>
            <w:t>10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A2331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349FFB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E953" w14:textId="77777777" w:rsidR="002E7BFF" w:rsidRDefault="002E7BFF" w:rsidP="006C3242">
      <w:pPr>
        <w:spacing w:before="0" w:line="240" w:lineRule="auto"/>
      </w:pPr>
      <w:r>
        <w:separator/>
      </w:r>
    </w:p>
  </w:footnote>
  <w:footnote w:type="continuationSeparator" w:id="0">
    <w:p w14:paraId="125DA9CC" w14:textId="77777777" w:rsidR="002E7BFF" w:rsidRDefault="002E7BF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478E"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8F9CF9A" wp14:editId="729E0A9A">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94CAA"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3409B6F9" wp14:editId="73BD4033">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33"/>
    <w:rsid w:val="0000298D"/>
    <w:rsid w:val="00035B35"/>
    <w:rsid w:val="000372F9"/>
    <w:rsid w:val="00041648"/>
    <w:rsid w:val="00052D1F"/>
    <w:rsid w:val="0006468A"/>
    <w:rsid w:val="00065DFE"/>
    <w:rsid w:val="00075707"/>
    <w:rsid w:val="00077A58"/>
    <w:rsid w:val="00087718"/>
    <w:rsid w:val="00090574"/>
    <w:rsid w:val="000B36AE"/>
    <w:rsid w:val="000C0F7C"/>
    <w:rsid w:val="000C1C0E"/>
    <w:rsid w:val="000C320E"/>
    <w:rsid w:val="000C3ED9"/>
    <w:rsid w:val="000C548A"/>
    <w:rsid w:val="000E4EDD"/>
    <w:rsid w:val="000F4095"/>
    <w:rsid w:val="000F5B07"/>
    <w:rsid w:val="00102CA6"/>
    <w:rsid w:val="00107F3D"/>
    <w:rsid w:val="001503C5"/>
    <w:rsid w:val="00191059"/>
    <w:rsid w:val="00191333"/>
    <w:rsid w:val="00194CD2"/>
    <w:rsid w:val="001A07C3"/>
    <w:rsid w:val="001A3941"/>
    <w:rsid w:val="001B6E2B"/>
    <w:rsid w:val="001C0169"/>
    <w:rsid w:val="001C0C21"/>
    <w:rsid w:val="001C6278"/>
    <w:rsid w:val="001D1D50"/>
    <w:rsid w:val="001D4C79"/>
    <w:rsid w:val="001D5927"/>
    <w:rsid w:val="001D64C7"/>
    <w:rsid w:val="001D6745"/>
    <w:rsid w:val="001E2B9F"/>
    <w:rsid w:val="001E446E"/>
    <w:rsid w:val="001E78D1"/>
    <w:rsid w:val="001F3BC7"/>
    <w:rsid w:val="001F7598"/>
    <w:rsid w:val="00201BD4"/>
    <w:rsid w:val="002154EE"/>
    <w:rsid w:val="002276D2"/>
    <w:rsid w:val="0023283D"/>
    <w:rsid w:val="0023305D"/>
    <w:rsid w:val="0023364F"/>
    <w:rsid w:val="00243F39"/>
    <w:rsid w:val="00254393"/>
    <w:rsid w:val="00256B1B"/>
    <w:rsid w:val="0026373E"/>
    <w:rsid w:val="00271C43"/>
    <w:rsid w:val="00290728"/>
    <w:rsid w:val="002978F4"/>
    <w:rsid w:val="002B028D"/>
    <w:rsid w:val="002B2B12"/>
    <w:rsid w:val="002C3F32"/>
    <w:rsid w:val="002E51D3"/>
    <w:rsid w:val="002E5FB0"/>
    <w:rsid w:val="002E6541"/>
    <w:rsid w:val="002E65E7"/>
    <w:rsid w:val="002E7BFF"/>
    <w:rsid w:val="00300BB9"/>
    <w:rsid w:val="00324A3A"/>
    <w:rsid w:val="00334325"/>
    <w:rsid w:val="00334924"/>
    <w:rsid w:val="00335B87"/>
    <w:rsid w:val="003409BC"/>
    <w:rsid w:val="00354440"/>
    <w:rsid w:val="00357185"/>
    <w:rsid w:val="00383829"/>
    <w:rsid w:val="003A1E24"/>
    <w:rsid w:val="003B0F70"/>
    <w:rsid w:val="003D4594"/>
    <w:rsid w:val="003D6F72"/>
    <w:rsid w:val="003E645C"/>
    <w:rsid w:val="003F4B29"/>
    <w:rsid w:val="00410B26"/>
    <w:rsid w:val="004131D9"/>
    <w:rsid w:val="004134D5"/>
    <w:rsid w:val="00420C83"/>
    <w:rsid w:val="00420F8A"/>
    <w:rsid w:val="0042686F"/>
    <w:rsid w:val="004317D8"/>
    <w:rsid w:val="0043260A"/>
    <w:rsid w:val="00434183"/>
    <w:rsid w:val="00434435"/>
    <w:rsid w:val="00443869"/>
    <w:rsid w:val="00447321"/>
    <w:rsid w:val="00447F32"/>
    <w:rsid w:val="0045620D"/>
    <w:rsid w:val="00456A28"/>
    <w:rsid w:val="00457845"/>
    <w:rsid w:val="004712D0"/>
    <w:rsid w:val="00477A40"/>
    <w:rsid w:val="0048637F"/>
    <w:rsid w:val="00487109"/>
    <w:rsid w:val="00491BA9"/>
    <w:rsid w:val="00494004"/>
    <w:rsid w:val="00494119"/>
    <w:rsid w:val="004A4701"/>
    <w:rsid w:val="004B7334"/>
    <w:rsid w:val="004C3F1A"/>
    <w:rsid w:val="004E11DC"/>
    <w:rsid w:val="004E35DE"/>
    <w:rsid w:val="004E53BF"/>
    <w:rsid w:val="005130DE"/>
    <w:rsid w:val="00513157"/>
    <w:rsid w:val="00525DDD"/>
    <w:rsid w:val="00531EEF"/>
    <w:rsid w:val="005409AC"/>
    <w:rsid w:val="005423C7"/>
    <w:rsid w:val="005434E0"/>
    <w:rsid w:val="005546CF"/>
    <w:rsid w:val="0055516A"/>
    <w:rsid w:val="0056467E"/>
    <w:rsid w:val="0058491B"/>
    <w:rsid w:val="00586002"/>
    <w:rsid w:val="00590791"/>
    <w:rsid w:val="00592EA5"/>
    <w:rsid w:val="005A3170"/>
    <w:rsid w:val="005B04D9"/>
    <w:rsid w:val="005B1C8B"/>
    <w:rsid w:val="005E499A"/>
    <w:rsid w:val="00602518"/>
    <w:rsid w:val="006357FA"/>
    <w:rsid w:val="00657019"/>
    <w:rsid w:val="00660DEA"/>
    <w:rsid w:val="006637B9"/>
    <w:rsid w:val="00672B43"/>
    <w:rsid w:val="00674726"/>
    <w:rsid w:val="00677396"/>
    <w:rsid w:val="00680646"/>
    <w:rsid w:val="00683F16"/>
    <w:rsid w:val="00687F01"/>
    <w:rsid w:val="0069200F"/>
    <w:rsid w:val="006A3376"/>
    <w:rsid w:val="006A56EB"/>
    <w:rsid w:val="006A65CB"/>
    <w:rsid w:val="006B12E5"/>
    <w:rsid w:val="006C3242"/>
    <w:rsid w:val="006C7CC0"/>
    <w:rsid w:val="006D7F07"/>
    <w:rsid w:val="006E6843"/>
    <w:rsid w:val="006F363C"/>
    <w:rsid w:val="006F63F7"/>
    <w:rsid w:val="007025C7"/>
    <w:rsid w:val="007032D6"/>
    <w:rsid w:val="00703C23"/>
    <w:rsid w:val="00704FEF"/>
    <w:rsid w:val="00706D7A"/>
    <w:rsid w:val="00721908"/>
    <w:rsid w:val="00722F0D"/>
    <w:rsid w:val="00732EAB"/>
    <w:rsid w:val="00735081"/>
    <w:rsid w:val="0074420E"/>
    <w:rsid w:val="007523C9"/>
    <w:rsid w:val="007648A6"/>
    <w:rsid w:val="0077110E"/>
    <w:rsid w:val="007714B6"/>
    <w:rsid w:val="007802A2"/>
    <w:rsid w:val="00783E26"/>
    <w:rsid w:val="007A6684"/>
    <w:rsid w:val="007B0AA0"/>
    <w:rsid w:val="007C3BC7"/>
    <w:rsid w:val="007C3BCD"/>
    <w:rsid w:val="007C7FDC"/>
    <w:rsid w:val="007D0CEE"/>
    <w:rsid w:val="007D4ACF"/>
    <w:rsid w:val="007E10CA"/>
    <w:rsid w:val="007F0787"/>
    <w:rsid w:val="007F7840"/>
    <w:rsid w:val="00800760"/>
    <w:rsid w:val="00810B7B"/>
    <w:rsid w:val="0082358A"/>
    <w:rsid w:val="008235CD"/>
    <w:rsid w:val="008247DE"/>
    <w:rsid w:val="008339C0"/>
    <w:rsid w:val="008374A1"/>
    <w:rsid w:val="00840B10"/>
    <w:rsid w:val="008513CB"/>
    <w:rsid w:val="00856C5C"/>
    <w:rsid w:val="00861D95"/>
    <w:rsid w:val="00873E01"/>
    <w:rsid w:val="00874E9F"/>
    <w:rsid w:val="00875999"/>
    <w:rsid w:val="00883C65"/>
    <w:rsid w:val="0088776B"/>
    <w:rsid w:val="008A78B1"/>
    <w:rsid w:val="008A7F84"/>
    <w:rsid w:val="008C3D13"/>
    <w:rsid w:val="008F67A0"/>
    <w:rsid w:val="00904750"/>
    <w:rsid w:val="009150B6"/>
    <w:rsid w:val="00915CEA"/>
    <w:rsid w:val="0091702E"/>
    <w:rsid w:val="009232B7"/>
    <w:rsid w:val="00923B0C"/>
    <w:rsid w:val="00924F46"/>
    <w:rsid w:val="00931899"/>
    <w:rsid w:val="00933024"/>
    <w:rsid w:val="00935AAC"/>
    <w:rsid w:val="0093725D"/>
    <w:rsid w:val="0094021C"/>
    <w:rsid w:val="00952F86"/>
    <w:rsid w:val="009578B0"/>
    <w:rsid w:val="00964939"/>
    <w:rsid w:val="0096716C"/>
    <w:rsid w:val="00982B28"/>
    <w:rsid w:val="0099208B"/>
    <w:rsid w:val="009A06BC"/>
    <w:rsid w:val="009B51B5"/>
    <w:rsid w:val="009B6CB2"/>
    <w:rsid w:val="009D313F"/>
    <w:rsid w:val="009D6FF6"/>
    <w:rsid w:val="009E7408"/>
    <w:rsid w:val="00A0159A"/>
    <w:rsid w:val="00A016FC"/>
    <w:rsid w:val="00A05AEE"/>
    <w:rsid w:val="00A13B8C"/>
    <w:rsid w:val="00A47A5A"/>
    <w:rsid w:val="00A57E47"/>
    <w:rsid w:val="00A63AE6"/>
    <w:rsid w:val="00A649F5"/>
    <w:rsid w:val="00A6683B"/>
    <w:rsid w:val="00A6744C"/>
    <w:rsid w:val="00A67F05"/>
    <w:rsid w:val="00A75C55"/>
    <w:rsid w:val="00A83CC8"/>
    <w:rsid w:val="00A940F5"/>
    <w:rsid w:val="00A97F94"/>
    <w:rsid w:val="00AA7EA2"/>
    <w:rsid w:val="00AB39E6"/>
    <w:rsid w:val="00AB4376"/>
    <w:rsid w:val="00AB5564"/>
    <w:rsid w:val="00AB5A56"/>
    <w:rsid w:val="00AC3B5C"/>
    <w:rsid w:val="00AE4882"/>
    <w:rsid w:val="00AF4D33"/>
    <w:rsid w:val="00B03099"/>
    <w:rsid w:val="00B05BC8"/>
    <w:rsid w:val="00B14376"/>
    <w:rsid w:val="00B30F5E"/>
    <w:rsid w:val="00B34032"/>
    <w:rsid w:val="00B612C0"/>
    <w:rsid w:val="00B64B47"/>
    <w:rsid w:val="00B807CE"/>
    <w:rsid w:val="00B84E7D"/>
    <w:rsid w:val="00B951F3"/>
    <w:rsid w:val="00B95384"/>
    <w:rsid w:val="00B95654"/>
    <w:rsid w:val="00B97F32"/>
    <w:rsid w:val="00BA04B2"/>
    <w:rsid w:val="00BE155B"/>
    <w:rsid w:val="00C002DE"/>
    <w:rsid w:val="00C049C6"/>
    <w:rsid w:val="00C0602B"/>
    <w:rsid w:val="00C140B7"/>
    <w:rsid w:val="00C224DA"/>
    <w:rsid w:val="00C37913"/>
    <w:rsid w:val="00C53BF8"/>
    <w:rsid w:val="00C66157"/>
    <w:rsid w:val="00C674FE"/>
    <w:rsid w:val="00C67501"/>
    <w:rsid w:val="00C7147D"/>
    <w:rsid w:val="00C74E2E"/>
    <w:rsid w:val="00C75633"/>
    <w:rsid w:val="00C85CBB"/>
    <w:rsid w:val="00C931AB"/>
    <w:rsid w:val="00CB63E2"/>
    <w:rsid w:val="00CC6920"/>
    <w:rsid w:val="00CD6E62"/>
    <w:rsid w:val="00CE0A96"/>
    <w:rsid w:val="00CE2EE1"/>
    <w:rsid w:val="00CE3349"/>
    <w:rsid w:val="00CE36E5"/>
    <w:rsid w:val="00CE4360"/>
    <w:rsid w:val="00CF27F5"/>
    <w:rsid w:val="00CF3FFD"/>
    <w:rsid w:val="00D10CCF"/>
    <w:rsid w:val="00D11DB4"/>
    <w:rsid w:val="00D13941"/>
    <w:rsid w:val="00D23F5F"/>
    <w:rsid w:val="00D24758"/>
    <w:rsid w:val="00D275E8"/>
    <w:rsid w:val="00D36C8F"/>
    <w:rsid w:val="00D3787C"/>
    <w:rsid w:val="00D43F7D"/>
    <w:rsid w:val="00D479B2"/>
    <w:rsid w:val="00D628BE"/>
    <w:rsid w:val="00D63735"/>
    <w:rsid w:val="00D67F64"/>
    <w:rsid w:val="00D73657"/>
    <w:rsid w:val="00D76203"/>
    <w:rsid w:val="00D77D0F"/>
    <w:rsid w:val="00D8730F"/>
    <w:rsid w:val="00DA1CF0"/>
    <w:rsid w:val="00DA1D9B"/>
    <w:rsid w:val="00DA2FB4"/>
    <w:rsid w:val="00DB577F"/>
    <w:rsid w:val="00DB6467"/>
    <w:rsid w:val="00DC1E02"/>
    <w:rsid w:val="00DC24B4"/>
    <w:rsid w:val="00DC5FB0"/>
    <w:rsid w:val="00DD30AF"/>
    <w:rsid w:val="00DF16DC"/>
    <w:rsid w:val="00E03244"/>
    <w:rsid w:val="00E103B1"/>
    <w:rsid w:val="00E13995"/>
    <w:rsid w:val="00E23387"/>
    <w:rsid w:val="00E45211"/>
    <w:rsid w:val="00E473C5"/>
    <w:rsid w:val="00E61BE8"/>
    <w:rsid w:val="00E83C5B"/>
    <w:rsid w:val="00E83FF1"/>
    <w:rsid w:val="00E912B3"/>
    <w:rsid w:val="00E91C0F"/>
    <w:rsid w:val="00E92863"/>
    <w:rsid w:val="00E95AF7"/>
    <w:rsid w:val="00E979B2"/>
    <w:rsid w:val="00EB5ADC"/>
    <w:rsid w:val="00EB5E6E"/>
    <w:rsid w:val="00EB796D"/>
    <w:rsid w:val="00EC1E12"/>
    <w:rsid w:val="00ED5B9A"/>
    <w:rsid w:val="00ED5C77"/>
    <w:rsid w:val="00F058DC"/>
    <w:rsid w:val="00F24FC4"/>
    <w:rsid w:val="00F2676C"/>
    <w:rsid w:val="00F363FE"/>
    <w:rsid w:val="00F50E3F"/>
    <w:rsid w:val="00F50F63"/>
    <w:rsid w:val="00F57DC8"/>
    <w:rsid w:val="00F603FA"/>
    <w:rsid w:val="00F71CF6"/>
    <w:rsid w:val="00F72163"/>
    <w:rsid w:val="00F72172"/>
    <w:rsid w:val="00F84366"/>
    <w:rsid w:val="00F85089"/>
    <w:rsid w:val="00F92A20"/>
    <w:rsid w:val="00F94B58"/>
    <w:rsid w:val="00F974C5"/>
    <w:rsid w:val="00FA3763"/>
    <w:rsid w:val="00FA6F46"/>
    <w:rsid w:val="00FB5922"/>
    <w:rsid w:val="00FC0E94"/>
    <w:rsid w:val="00FC22F6"/>
    <w:rsid w:val="00FC4592"/>
    <w:rsid w:val="00FD527F"/>
    <w:rsid w:val="00FE18C2"/>
    <w:rsid w:val="00FE32D3"/>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1C081"/>
  <w15:chartTrackingRefBased/>
  <w15:docId w15:val="{AEB60E39-B4A4-410E-B6DF-B7F4B0B6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C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FE32D3"/>
    <w:pPr>
      <w:keepNext/>
      <w:spacing w:before="240"/>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354440"/>
    <w:rPr>
      <w:color w:val="954F72" w:themeColor="followedHyperlink"/>
      <w:u w:val="single"/>
    </w:rPr>
  </w:style>
  <w:style w:type="paragraph" w:customStyle="1" w:styleId="enumlev10">
    <w:name w:val="enumlev 1"/>
    <w:basedOn w:val="Normal"/>
    <w:qFormat/>
    <w:rsid w:val="00B612C0"/>
    <w:pPr>
      <w:spacing w:before="80" w:after="80"/>
      <w:ind w:left="794" w:hanging="794"/>
      <w:outlineLvl w:val="0"/>
    </w:pPr>
    <w:rPr>
      <w:lang w:bidi="ar-SY"/>
    </w:rPr>
  </w:style>
  <w:style w:type="paragraph" w:customStyle="1" w:styleId="AnnexNo0">
    <w:name w:val="Annex No"/>
    <w:basedOn w:val="AgendaItem"/>
    <w:qFormat/>
    <w:rsid w:val="008F67A0"/>
  </w:style>
  <w:style w:type="character" w:customStyle="1" w:styleId="ResNoChar">
    <w:name w:val="Res_No Char"/>
    <w:basedOn w:val="DefaultParagraphFont"/>
    <w:link w:val="ResNo"/>
    <w:rsid w:val="008F67A0"/>
    <w:rPr>
      <w:rFonts w:ascii="Dubai" w:hAnsi="Dubai" w:cs="Dubai"/>
      <w:sz w:val="26"/>
      <w:szCs w:val="26"/>
    </w:rPr>
  </w:style>
  <w:style w:type="character" w:customStyle="1" w:styleId="RestitleChar">
    <w:name w:val="Res_title Char"/>
    <w:basedOn w:val="DefaultParagraphFont"/>
    <w:link w:val="Restitle"/>
    <w:rsid w:val="008F67A0"/>
    <w:rPr>
      <w:rFonts w:ascii="Dubai" w:hAnsi="Dubai" w:cs="Dubai"/>
      <w:b/>
      <w:bCs/>
      <w:sz w:val="28"/>
      <w:szCs w:val="28"/>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31/en" TargetMode="External"/><Relationship Id="rId13" Type="http://schemas.openxmlformats.org/officeDocument/2006/relationships/hyperlink" Target="https://www.itu.int/md/S25-CL-C-0053/en" TargetMode="External"/><Relationship Id="rId18" Type="http://schemas.openxmlformats.org/officeDocument/2006/relationships/hyperlink" Target="https://www.itu.int/md/S25-CL-C-0079/en" TargetMode="External"/><Relationship Id="rId26" Type="http://schemas.openxmlformats.org/officeDocument/2006/relationships/hyperlink" Target="https://www.itu.int/md/D22-TDAG32-INF-0004/en" TargetMode="External"/><Relationship Id="rId3" Type="http://schemas.openxmlformats.org/officeDocument/2006/relationships/styles" Target="styles.xml"/><Relationship Id="rId21" Type="http://schemas.openxmlformats.org/officeDocument/2006/relationships/hyperlink" Target="https://www.itu.int/md/S25-CL-C-0053/en" TargetMode="External"/><Relationship Id="rId7" Type="http://schemas.openxmlformats.org/officeDocument/2006/relationships/endnotes" Target="endnotes.xml"/><Relationship Id="rId12" Type="http://schemas.openxmlformats.org/officeDocument/2006/relationships/hyperlink" Target="https://www.itu.int/md/S25-CL-C-0005/en" TargetMode="External"/><Relationship Id="rId17" Type="http://schemas.openxmlformats.org/officeDocument/2006/relationships/hyperlink" Target="https://www.itu.int/md/S25-CL-C-0029/en" TargetMode="External"/><Relationship Id="rId25" Type="http://schemas.openxmlformats.org/officeDocument/2006/relationships/hyperlink" Target="https://www.itu.int/md/D22-TDAG32-C-0024/en" TargetMode="External"/><Relationship Id="rId2" Type="http://schemas.openxmlformats.org/officeDocument/2006/relationships/numbering" Target="numbering.xml"/><Relationship Id="rId16" Type="http://schemas.openxmlformats.org/officeDocument/2006/relationships/hyperlink" Target="https://www.itu.int/md/S25-CL-C-0031/en" TargetMode="External"/><Relationship Id="rId20" Type="http://schemas.openxmlformats.org/officeDocument/2006/relationships/hyperlink" Target="https://www.itu.int/md/S25-CL-C-000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91/en" TargetMode="External"/><Relationship Id="rId24" Type="http://schemas.openxmlformats.org/officeDocument/2006/relationships/hyperlink" Target="https://www.itu.int/md/D22-TDAG32-C-000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5-CL-C-0025/en" TargetMode="External"/><Relationship Id="rId23" Type="http://schemas.openxmlformats.org/officeDocument/2006/relationships/hyperlink" Target="https://www.itu.int/md/S25-CL-C-0025/en" TargetMode="External"/><Relationship Id="rId28" Type="http://schemas.openxmlformats.org/officeDocument/2006/relationships/footer" Target="footer1.xml"/><Relationship Id="rId10" Type="http://schemas.openxmlformats.org/officeDocument/2006/relationships/hyperlink" Target="https://www.itu.int/md/S25-CL-C-0079/en" TargetMode="External"/><Relationship Id="rId19" Type="http://schemas.openxmlformats.org/officeDocument/2006/relationships/hyperlink" Target="https://www.itu.int/md/S25-CL-C-0091/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5-CL-C-0029/en" TargetMode="External"/><Relationship Id="rId14" Type="http://schemas.openxmlformats.org/officeDocument/2006/relationships/hyperlink" Target="https://www.itu.int/md/S25-CL-C-0052/en" TargetMode="External"/><Relationship Id="rId22" Type="http://schemas.openxmlformats.org/officeDocument/2006/relationships/hyperlink" Target="https://www.itu.int/md/S25-CL-C-0052/en" TargetMode="External"/><Relationship Id="rId27" Type="http://schemas.openxmlformats.org/officeDocument/2006/relationships/hyperlink" Target="https://www.itu.int/md/S25-CL-C-0066/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7</Pages>
  <Words>3111</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fourth Plenary meeting</dc:title>
  <dc:subject>ITU Council 2025</dc:subject>
  <cp:keywords>C2025, C25, Council-25</cp:keywords>
  <dc:description/>
  <dcterms:created xsi:type="dcterms:W3CDTF">2025-08-15T11:22:00Z</dcterms:created>
  <dcterms:modified xsi:type="dcterms:W3CDTF">2025-08-15T11:22:00Z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