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tblpY="1"/>
        <w:tblOverlap w:val="never"/>
        <w:tblW w:w="9214" w:type="dxa"/>
        <w:tblLayout w:type="fixed"/>
        <w:tblLook w:val="0000" w:firstRow="0" w:lastRow="0" w:firstColumn="0" w:lastColumn="0" w:noHBand="0" w:noVBand="0"/>
      </w:tblPr>
      <w:tblGrid>
        <w:gridCol w:w="3969"/>
        <w:gridCol w:w="5245"/>
      </w:tblGrid>
      <w:tr w:rsidR="00796BD3" w:rsidRPr="00D01585" w14:paraId="5F146B1B" w14:textId="77777777" w:rsidTr="00DA770A">
        <w:trPr>
          <w:cantSplit/>
          <w:trHeight w:val="23"/>
        </w:trPr>
        <w:tc>
          <w:tcPr>
            <w:tcW w:w="3969" w:type="dxa"/>
            <w:vMerge w:val="restart"/>
            <w:tcMar>
              <w:left w:w="0" w:type="dxa"/>
            </w:tcMar>
          </w:tcPr>
          <w:p w14:paraId="491A0657" w14:textId="7CBB96AA" w:rsidR="00796BD3" w:rsidRPr="00D01585" w:rsidRDefault="00796BD3" w:rsidP="00DA770A">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p>
        </w:tc>
        <w:tc>
          <w:tcPr>
            <w:tcW w:w="5245" w:type="dxa"/>
          </w:tcPr>
          <w:p w14:paraId="0672041C" w14:textId="5E53D44A" w:rsidR="00796BD3" w:rsidRPr="00D01585" w:rsidRDefault="0033025A" w:rsidP="00DA770A">
            <w:pPr>
              <w:tabs>
                <w:tab w:val="left" w:pos="851"/>
              </w:tabs>
              <w:spacing w:before="0" w:line="240" w:lineRule="atLeast"/>
              <w:jc w:val="right"/>
              <w:rPr>
                <w:b/>
                <w:lang w:val="ru-RU"/>
              </w:rPr>
            </w:pPr>
            <w:r w:rsidRPr="00D01585">
              <w:rPr>
                <w:b/>
                <w:lang w:val="ru-RU"/>
              </w:rPr>
              <w:t xml:space="preserve">Документ </w:t>
            </w:r>
            <w:r w:rsidR="00796BD3" w:rsidRPr="00D01585">
              <w:rPr>
                <w:b/>
                <w:lang w:val="ru-RU"/>
              </w:rPr>
              <w:t>C2</w:t>
            </w:r>
            <w:r w:rsidR="00D631AA" w:rsidRPr="00D01585">
              <w:rPr>
                <w:b/>
                <w:lang w:val="ru-RU"/>
              </w:rPr>
              <w:t>5</w:t>
            </w:r>
            <w:r w:rsidR="00796BD3" w:rsidRPr="00D01585">
              <w:rPr>
                <w:b/>
                <w:lang w:val="ru-RU"/>
              </w:rPr>
              <w:t>/</w:t>
            </w:r>
            <w:r w:rsidR="00B3077D" w:rsidRPr="00D01585">
              <w:rPr>
                <w:b/>
                <w:lang w:val="ru-RU"/>
              </w:rPr>
              <w:t>109-R</w:t>
            </w:r>
          </w:p>
        </w:tc>
      </w:tr>
      <w:tr w:rsidR="00796BD3" w:rsidRPr="00D01585" w14:paraId="43E3AB16" w14:textId="77777777" w:rsidTr="00DA770A">
        <w:trPr>
          <w:cantSplit/>
        </w:trPr>
        <w:tc>
          <w:tcPr>
            <w:tcW w:w="3969" w:type="dxa"/>
            <w:vMerge/>
          </w:tcPr>
          <w:p w14:paraId="2D5DC8D8" w14:textId="77777777" w:rsidR="00796BD3" w:rsidRPr="00D01585" w:rsidRDefault="00796BD3" w:rsidP="00DA770A">
            <w:pPr>
              <w:tabs>
                <w:tab w:val="left" w:pos="851"/>
              </w:tabs>
              <w:spacing w:line="240" w:lineRule="atLeast"/>
              <w:rPr>
                <w:b/>
                <w:lang w:val="ru-RU"/>
              </w:rPr>
            </w:pPr>
            <w:bookmarkStart w:id="3" w:name="ddate" w:colFirst="1" w:colLast="1"/>
            <w:bookmarkEnd w:id="0"/>
            <w:bookmarkEnd w:id="1"/>
          </w:p>
        </w:tc>
        <w:tc>
          <w:tcPr>
            <w:tcW w:w="5245" w:type="dxa"/>
          </w:tcPr>
          <w:p w14:paraId="01EEDEBD" w14:textId="66773486" w:rsidR="00796BD3" w:rsidRPr="00D01585" w:rsidRDefault="00846540" w:rsidP="00DA770A">
            <w:pPr>
              <w:tabs>
                <w:tab w:val="left" w:pos="851"/>
              </w:tabs>
              <w:spacing w:before="0"/>
              <w:jc w:val="right"/>
              <w:rPr>
                <w:b/>
                <w:lang w:val="ru-RU"/>
              </w:rPr>
            </w:pPr>
            <w:r w:rsidRPr="00D01585">
              <w:rPr>
                <w:b/>
                <w:lang w:val="ru-RU"/>
              </w:rPr>
              <w:t>1 сентября</w:t>
            </w:r>
            <w:r w:rsidR="00B3077D" w:rsidRPr="00D01585">
              <w:rPr>
                <w:b/>
                <w:lang w:val="ru-RU"/>
              </w:rPr>
              <w:t xml:space="preserve"> 2025 года</w:t>
            </w:r>
          </w:p>
        </w:tc>
      </w:tr>
      <w:tr w:rsidR="00796BD3" w:rsidRPr="00D01585" w14:paraId="623A05BD" w14:textId="77777777" w:rsidTr="00DA770A">
        <w:trPr>
          <w:cantSplit/>
          <w:trHeight w:val="23"/>
        </w:trPr>
        <w:tc>
          <w:tcPr>
            <w:tcW w:w="3969" w:type="dxa"/>
            <w:vMerge/>
          </w:tcPr>
          <w:p w14:paraId="10274E34" w14:textId="77777777" w:rsidR="00796BD3" w:rsidRPr="00D01585" w:rsidRDefault="00796BD3" w:rsidP="00DA770A">
            <w:pPr>
              <w:tabs>
                <w:tab w:val="left" w:pos="851"/>
              </w:tabs>
              <w:spacing w:line="240" w:lineRule="atLeast"/>
              <w:rPr>
                <w:b/>
                <w:lang w:val="ru-RU"/>
              </w:rPr>
            </w:pPr>
            <w:bookmarkStart w:id="4" w:name="dorlang" w:colFirst="1" w:colLast="1"/>
            <w:bookmarkEnd w:id="3"/>
          </w:p>
        </w:tc>
        <w:tc>
          <w:tcPr>
            <w:tcW w:w="5245" w:type="dxa"/>
          </w:tcPr>
          <w:p w14:paraId="4EEFD7E3" w14:textId="77777777" w:rsidR="00796BD3" w:rsidRPr="00D01585" w:rsidRDefault="0033025A" w:rsidP="00DA770A">
            <w:pPr>
              <w:tabs>
                <w:tab w:val="left" w:pos="851"/>
              </w:tabs>
              <w:spacing w:before="0" w:line="240" w:lineRule="atLeast"/>
              <w:jc w:val="right"/>
              <w:rPr>
                <w:b/>
                <w:lang w:val="ru-RU"/>
              </w:rPr>
            </w:pPr>
            <w:r w:rsidRPr="00D01585">
              <w:rPr>
                <w:b/>
                <w:lang w:val="ru-RU"/>
              </w:rPr>
              <w:t>Оригинал: английский</w:t>
            </w:r>
          </w:p>
        </w:tc>
      </w:tr>
      <w:tr w:rsidR="00796BD3" w:rsidRPr="00D01585" w14:paraId="52DA0BC8" w14:textId="77777777" w:rsidTr="00DA770A">
        <w:trPr>
          <w:cantSplit/>
          <w:trHeight w:val="23"/>
        </w:trPr>
        <w:tc>
          <w:tcPr>
            <w:tcW w:w="3969" w:type="dxa"/>
          </w:tcPr>
          <w:p w14:paraId="66FB218A" w14:textId="77777777" w:rsidR="00796BD3" w:rsidRPr="00D01585" w:rsidRDefault="00796BD3" w:rsidP="00DA770A">
            <w:pPr>
              <w:tabs>
                <w:tab w:val="left" w:pos="851"/>
              </w:tabs>
              <w:spacing w:line="240" w:lineRule="atLeast"/>
              <w:rPr>
                <w:b/>
                <w:lang w:val="ru-RU"/>
              </w:rPr>
            </w:pPr>
          </w:p>
        </w:tc>
        <w:tc>
          <w:tcPr>
            <w:tcW w:w="5245" w:type="dxa"/>
          </w:tcPr>
          <w:p w14:paraId="4B428AF7" w14:textId="77777777" w:rsidR="00796BD3" w:rsidRPr="00D01585" w:rsidRDefault="00796BD3" w:rsidP="00DA770A">
            <w:pPr>
              <w:tabs>
                <w:tab w:val="left" w:pos="851"/>
              </w:tabs>
              <w:spacing w:before="0" w:line="240" w:lineRule="atLeast"/>
              <w:jc w:val="right"/>
              <w:rPr>
                <w:b/>
                <w:lang w:val="ru-RU"/>
              </w:rPr>
            </w:pPr>
          </w:p>
        </w:tc>
      </w:tr>
      <w:tr w:rsidR="00796BD3" w:rsidRPr="00D01585" w14:paraId="13706CB0" w14:textId="77777777" w:rsidTr="00DA770A">
        <w:trPr>
          <w:cantSplit/>
        </w:trPr>
        <w:tc>
          <w:tcPr>
            <w:tcW w:w="9214" w:type="dxa"/>
            <w:gridSpan w:val="2"/>
            <w:tcMar>
              <w:left w:w="0" w:type="dxa"/>
            </w:tcMar>
          </w:tcPr>
          <w:p w14:paraId="1202E0A2" w14:textId="2C17FDA1" w:rsidR="00796BD3" w:rsidRPr="00D01585" w:rsidRDefault="00B3077D" w:rsidP="00B3077D">
            <w:pPr>
              <w:pStyle w:val="Title1"/>
              <w:rPr>
                <w:lang w:val="ru-RU"/>
              </w:rPr>
            </w:pPr>
            <w:bookmarkStart w:id="5" w:name="dsource" w:colFirst="0" w:colLast="0"/>
            <w:bookmarkEnd w:id="4"/>
            <w:r w:rsidRPr="00D01585">
              <w:rPr>
                <w:color w:val="000000"/>
                <w:lang w:val="ru-RU"/>
              </w:rPr>
              <w:t>Краткий отчет</w:t>
            </w:r>
          </w:p>
        </w:tc>
      </w:tr>
      <w:tr w:rsidR="00796BD3" w:rsidRPr="00D01585" w14:paraId="1DCAD40B" w14:textId="77777777" w:rsidTr="00DA770A">
        <w:trPr>
          <w:cantSplit/>
        </w:trPr>
        <w:tc>
          <w:tcPr>
            <w:tcW w:w="9214" w:type="dxa"/>
            <w:gridSpan w:val="2"/>
            <w:tcMar>
              <w:left w:w="0" w:type="dxa"/>
            </w:tcMar>
          </w:tcPr>
          <w:p w14:paraId="5B065A80" w14:textId="41691449" w:rsidR="00796BD3" w:rsidRPr="00D01585" w:rsidRDefault="00B3077D" w:rsidP="00B3077D">
            <w:pPr>
              <w:pStyle w:val="Title1"/>
              <w:rPr>
                <w:lang w:val="ru-RU"/>
              </w:rPr>
            </w:pPr>
            <w:bookmarkStart w:id="6" w:name="dtitle1" w:colFirst="0" w:colLast="0"/>
            <w:bookmarkEnd w:id="5"/>
            <w:r w:rsidRPr="00D01585">
              <w:rPr>
                <w:lang w:val="ru-RU"/>
              </w:rPr>
              <w:t>о ТРЕТЬЕМ ПЛЕНАРНОМ ЗАСЕДАНИИ</w:t>
            </w:r>
          </w:p>
        </w:tc>
      </w:tr>
    </w:tbl>
    <w:bookmarkEnd w:id="2"/>
    <w:bookmarkEnd w:id="6"/>
    <w:p w14:paraId="30ED72D8" w14:textId="3FE28D86" w:rsidR="00165D06" w:rsidRPr="00D01585" w:rsidRDefault="00B3077D" w:rsidP="00B3077D">
      <w:pPr>
        <w:jc w:val="center"/>
        <w:rPr>
          <w:color w:val="000000"/>
          <w:lang w:val="ru-RU"/>
        </w:rPr>
      </w:pPr>
      <w:r w:rsidRPr="00D01585">
        <w:rPr>
          <w:color w:val="000000"/>
          <w:lang w:val="ru-RU"/>
        </w:rPr>
        <w:t>Четверг, 19 июня 2025 года, 14 час. 30 мин. − 17 час. 40 мин.</w:t>
      </w:r>
    </w:p>
    <w:p w14:paraId="4992E59C" w14:textId="0DE6AE4C" w:rsidR="00B3077D" w:rsidRPr="00D01585" w:rsidRDefault="00B3077D" w:rsidP="00B3077D">
      <w:pPr>
        <w:jc w:val="center"/>
        <w:rPr>
          <w:lang w:val="ru-RU"/>
        </w:rPr>
      </w:pPr>
      <w:r w:rsidRPr="00D01585">
        <w:rPr>
          <w:b/>
          <w:bCs/>
          <w:lang w:val="ru-RU"/>
        </w:rPr>
        <w:t>Председатель</w:t>
      </w:r>
      <w:r w:rsidRPr="00D01585">
        <w:rPr>
          <w:lang w:val="ru-RU"/>
        </w:rPr>
        <w:t xml:space="preserve">: г-жа К. </w:t>
      </w:r>
      <w:proofErr w:type="spellStart"/>
      <w:r w:rsidRPr="00D01585">
        <w:rPr>
          <w:lang w:val="ru-RU"/>
        </w:rPr>
        <w:t>Флутур</w:t>
      </w:r>
      <w:proofErr w:type="spellEnd"/>
      <w:r w:rsidRPr="00D01585">
        <w:rPr>
          <w:lang w:val="ru-RU"/>
        </w:rPr>
        <w:t xml:space="preserve"> (Румыния)</w:t>
      </w:r>
    </w:p>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B3077D" w:rsidRPr="00D01585" w14:paraId="48D6F87A" w14:textId="77777777" w:rsidTr="00D075B9">
        <w:tc>
          <w:tcPr>
            <w:tcW w:w="242" w:type="pct"/>
          </w:tcPr>
          <w:p w14:paraId="6C188EA4" w14:textId="77777777" w:rsidR="00B3077D" w:rsidRPr="00D01585" w:rsidRDefault="00B3077D" w:rsidP="00D01585">
            <w:pPr>
              <w:spacing w:before="480" w:after="120"/>
              <w:rPr>
                <w:b/>
                <w:bCs/>
                <w:szCs w:val="24"/>
                <w:lang w:val="ru-RU"/>
              </w:rPr>
            </w:pPr>
            <w:bookmarkStart w:id="7" w:name="_Hlk141438382"/>
            <w:r w:rsidRPr="00D01585">
              <w:rPr>
                <w:b/>
                <w:bCs/>
                <w:color w:val="000000"/>
                <w:szCs w:val="24"/>
                <w:lang w:val="ru-RU"/>
              </w:rPr>
              <w:br w:type="page"/>
            </w:r>
            <w:r w:rsidRPr="00D01585">
              <w:rPr>
                <w:b/>
                <w:bCs/>
                <w:color w:val="000000"/>
                <w:szCs w:val="24"/>
                <w:lang w:val="ru-RU"/>
              </w:rPr>
              <w:br w:type="page"/>
            </w:r>
          </w:p>
        </w:tc>
        <w:tc>
          <w:tcPr>
            <w:tcW w:w="3580" w:type="pct"/>
            <w:hideMark/>
          </w:tcPr>
          <w:p w14:paraId="05251C5F" w14:textId="77777777" w:rsidR="00B3077D" w:rsidRPr="00D01585" w:rsidRDefault="00B3077D" w:rsidP="00D01585">
            <w:pPr>
              <w:spacing w:before="480" w:after="120"/>
              <w:jc w:val="center"/>
              <w:rPr>
                <w:b/>
                <w:bCs/>
                <w:szCs w:val="24"/>
                <w:lang w:val="ru-RU"/>
              </w:rPr>
            </w:pPr>
            <w:r w:rsidRPr="00D01585">
              <w:rPr>
                <w:b/>
                <w:bCs/>
                <w:color w:val="000000"/>
                <w:lang w:val="ru-RU"/>
              </w:rPr>
              <w:t>Обсуждаемые вопросы</w:t>
            </w:r>
          </w:p>
        </w:tc>
        <w:tc>
          <w:tcPr>
            <w:tcW w:w="1178" w:type="pct"/>
            <w:hideMark/>
          </w:tcPr>
          <w:p w14:paraId="7BBE2679" w14:textId="77777777" w:rsidR="00B3077D" w:rsidRPr="00D01585" w:rsidRDefault="00B3077D" w:rsidP="00D01585">
            <w:pPr>
              <w:spacing w:before="480" w:after="120"/>
              <w:jc w:val="center"/>
              <w:rPr>
                <w:b/>
                <w:bCs/>
                <w:szCs w:val="24"/>
                <w:lang w:val="ru-RU"/>
              </w:rPr>
            </w:pPr>
            <w:r w:rsidRPr="00D01585">
              <w:rPr>
                <w:b/>
                <w:bCs/>
                <w:color w:val="000000"/>
                <w:lang w:val="ru-RU"/>
              </w:rPr>
              <w:t>Документы</w:t>
            </w:r>
          </w:p>
        </w:tc>
      </w:tr>
      <w:tr w:rsidR="00B3077D" w:rsidRPr="00D01585" w14:paraId="6A6AA147" w14:textId="77777777" w:rsidTr="00D075B9">
        <w:trPr>
          <w:trHeight w:val="20"/>
        </w:trPr>
        <w:tc>
          <w:tcPr>
            <w:tcW w:w="242" w:type="pct"/>
            <w:hideMark/>
          </w:tcPr>
          <w:p w14:paraId="7A07385C" w14:textId="77777777" w:rsidR="00B3077D" w:rsidRPr="00D01585" w:rsidRDefault="00B3077D" w:rsidP="00D075B9">
            <w:pPr>
              <w:spacing w:before="80" w:after="80"/>
              <w:rPr>
                <w:szCs w:val="22"/>
                <w:lang w:val="ru-RU"/>
              </w:rPr>
            </w:pPr>
            <w:r w:rsidRPr="00D01585">
              <w:rPr>
                <w:color w:val="000000"/>
                <w:lang w:val="ru-RU"/>
              </w:rPr>
              <w:t>1</w:t>
            </w:r>
          </w:p>
        </w:tc>
        <w:tc>
          <w:tcPr>
            <w:tcW w:w="3580" w:type="pct"/>
          </w:tcPr>
          <w:p w14:paraId="020A0BAD" w14:textId="77777777" w:rsidR="00B3077D" w:rsidRPr="00D01585" w:rsidRDefault="00B3077D" w:rsidP="00D075B9">
            <w:pPr>
              <w:spacing w:before="80" w:after="80"/>
              <w:rPr>
                <w:szCs w:val="22"/>
                <w:lang w:val="ru-RU"/>
              </w:rPr>
            </w:pPr>
            <w:r w:rsidRPr="00D01585">
              <w:rPr>
                <w:color w:val="000000"/>
                <w:lang w:val="ru-RU"/>
              </w:rPr>
              <w:t>Выступление заместителя Генерального секретаря Организации Объединенных Наций по вопросам политики г-на Гая Райдера</w:t>
            </w:r>
          </w:p>
        </w:tc>
        <w:tc>
          <w:tcPr>
            <w:tcW w:w="1178" w:type="pct"/>
          </w:tcPr>
          <w:p w14:paraId="566E8ED7" w14:textId="3F946020" w:rsidR="00B3077D" w:rsidRPr="00D01585" w:rsidRDefault="00B3077D" w:rsidP="00D075B9">
            <w:pPr>
              <w:spacing w:before="80" w:after="80"/>
              <w:jc w:val="center"/>
              <w:rPr>
                <w:szCs w:val="22"/>
                <w:lang w:val="ru-RU"/>
              </w:rPr>
            </w:pPr>
            <w:r w:rsidRPr="00D01585">
              <w:rPr>
                <w:szCs w:val="22"/>
                <w:lang w:val="ru-RU"/>
              </w:rPr>
              <w:sym w:font="Symbol" w:char="F02D"/>
            </w:r>
          </w:p>
        </w:tc>
      </w:tr>
      <w:tr w:rsidR="00B3077D" w:rsidRPr="00D01585" w14:paraId="38D317AD" w14:textId="77777777" w:rsidTr="00D075B9">
        <w:trPr>
          <w:trHeight w:val="20"/>
        </w:trPr>
        <w:tc>
          <w:tcPr>
            <w:tcW w:w="242" w:type="pct"/>
          </w:tcPr>
          <w:p w14:paraId="17BA031A" w14:textId="77777777" w:rsidR="00B3077D" w:rsidRPr="00D01585" w:rsidRDefault="00B3077D" w:rsidP="00D075B9">
            <w:pPr>
              <w:spacing w:before="80" w:after="80"/>
              <w:rPr>
                <w:szCs w:val="22"/>
                <w:lang w:val="ru-RU"/>
              </w:rPr>
            </w:pPr>
            <w:r w:rsidRPr="00D01585">
              <w:rPr>
                <w:color w:val="000000"/>
                <w:lang w:val="ru-RU"/>
              </w:rPr>
              <w:t>2</w:t>
            </w:r>
          </w:p>
        </w:tc>
        <w:tc>
          <w:tcPr>
            <w:tcW w:w="3580" w:type="pct"/>
          </w:tcPr>
          <w:p w14:paraId="5615BBE9" w14:textId="77777777" w:rsidR="00B3077D" w:rsidRPr="00D01585" w:rsidRDefault="00B3077D" w:rsidP="00D075B9">
            <w:pPr>
              <w:spacing w:before="80" w:after="80"/>
              <w:rPr>
                <w:rFonts w:asciiTheme="minorHAnsi" w:hAnsiTheme="minorHAnsi" w:cstheme="minorHAnsi"/>
                <w:color w:val="2F2F2F"/>
                <w:szCs w:val="22"/>
                <w:shd w:val="clear" w:color="auto" w:fill="FFFFFF"/>
                <w:lang w:val="ru-RU"/>
              </w:rPr>
            </w:pPr>
            <w:r w:rsidRPr="00D01585">
              <w:rPr>
                <w:color w:val="000000"/>
                <w:lang w:val="ru-RU"/>
              </w:rPr>
              <w:t>Отчет председателя Группы экспертов по Регламенту международной электросвязи (ГЭ-РМЭ)</w:t>
            </w:r>
          </w:p>
        </w:tc>
        <w:tc>
          <w:tcPr>
            <w:tcW w:w="1178" w:type="pct"/>
          </w:tcPr>
          <w:p w14:paraId="1AD6ADB7" w14:textId="77777777" w:rsidR="00B3077D" w:rsidRPr="00D01585" w:rsidRDefault="00B3077D" w:rsidP="00D075B9">
            <w:pPr>
              <w:spacing w:before="80" w:after="80"/>
              <w:jc w:val="center"/>
              <w:rPr>
                <w:szCs w:val="22"/>
                <w:lang w:val="ru-RU"/>
              </w:rPr>
            </w:pPr>
            <w:hyperlink r:id="rId7" w:history="1">
              <w:r w:rsidRPr="00D01585">
                <w:rPr>
                  <w:rStyle w:val="Hyperlink"/>
                  <w:lang w:val="ru-RU"/>
                </w:rPr>
                <w:t>C25/26</w:t>
              </w:r>
            </w:hyperlink>
            <w:r w:rsidRPr="00D01585">
              <w:rPr>
                <w:rFonts w:asciiTheme="minorHAnsi" w:hAnsiTheme="minorHAnsi" w:cstheme="minorHAnsi"/>
                <w:szCs w:val="24"/>
                <w:lang w:val="ru-RU"/>
              </w:rPr>
              <w:t xml:space="preserve">, </w:t>
            </w:r>
            <w:hyperlink r:id="rId8" w:history="1">
              <w:r w:rsidRPr="00D01585">
                <w:rPr>
                  <w:rStyle w:val="Hyperlink"/>
                  <w:lang w:val="ru-RU"/>
                </w:rPr>
                <w:t>C25/92</w:t>
              </w:r>
            </w:hyperlink>
          </w:p>
        </w:tc>
      </w:tr>
      <w:tr w:rsidR="00B3077D" w:rsidRPr="00D01585" w14:paraId="15750F02" w14:textId="77777777" w:rsidTr="00D075B9">
        <w:trPr>
          <w:trHeight w:val="20"/>
        </w:trPr>
        <w:tc>
          <w:tcPr>
            <w:tcW w:w="242" w:type="pct"/>
          </w:tcPr>
          <w:p w14:paraId="15402BA8" w14:textId="77777777" w:rsidR="00B3077D" w:rsidRPr="00D01585" w:rsidRDefault="00B3077D" w:rsidP="00D075B9">
            <w:pPr>
              <w:spacing w:before="80" w:after="80"/>
              <w:rPr>
                <w:szCs w:val="22"/>
                <w:lang w:val="ru-RU"/>
              </w:rPr>
            </w:pPr>
            <w:r w:rsidRPr="00D01585">
              <w:rPr>
                <w:color w:val="000000"/>
                <w:lang w:val="ru-RU"/>
              </w:rPr>
              <w:t>3</w:t>
            </w:r>
          </w:p>
        </w:tc>
        <w:tc>
          <w:tcPr>
            <w:tcW w:w="3580" w:type="pct"/>
          </w:tcPr>
          <w:p w14:paraId="59D77D68" w14:textId="77777777" w:rsidR="00B3077D" w:rsidRPr="00D01585" w:rsidRDefault="00B3077D" w:rsidP="00D075B9">
            <w:pPr>
              <w:spacing w:before="80" w:after="80"/>
              <w:rPr>
                <w:rFonts w:asciiTheme="minorHAnsi" w:hAnsiTheme="minorHAnsi" w:cstheme="minorHAnsi"/>
                <w:color w:val="2F2F2F"/>
                <w:szCs w:val="22"/>
                <w:shd w:val="clear" w:color="auto" w:fill="FFFFFF"/>
                <w:lang w:val="ru-RU"/>
              </w:rPr>
            </w:pPr>
            <w:r w:rsidRPr="00D01585">
              <w:rPr>
                <w:color w:val="000000"/>
                <w:lang w:val="ru-RU"/>
              </w:rPr>
              <w:t>Отчет о предлагаемых местах проведения АР-27, ВКР-27 и ПСК31-1</w:t>
            </w:r>
          </w:p>
        </w:tc>
        <w:tc>
          <w:tcPr>
            <w:tcW w:w="1178" w:type="pct"/>
          </w:tcPr>
          <w:p w14:paraId="3AF2F385" w14:textId="244864B5" w:rsidR="00B3077D" w:rsidRPr="00D01585" w:rsidRDefault="00B3077D" w:rsidP="00D075B9">
            <w:pPr>
              <w:spacing w:before="80" w:after="80"/>
              <w:jc w:val="center"/>
              <w:rPr>
                <w:szCs w:val="22"/>
                <w:lang w:val="ru-RU"/>
              </w:rPr>
            </w:pPr>
            <w:hyperlink r:id="rId9" w:history="1">
              <w:r w:rsidRPr="00D01585">
                <w:rPr>
                  <w:rStyle w:val="Hyperlink"/>
                  <w:rFonts w:asciiTheme="minorHAnsi" w:hAnsiTheme="minorHAnsi" w:cstheme="minorHAnsi"/>
                  <w:szCs w:val="24"/>
                  <w:lang w:val="ru-RU"/>
                </w:rPr>
                <w:t>C25/58 + Add.1</w:t>
              </w:r>
            </w:hyperlink>
            <w:r w:rsidRPr="00D01585">
              <w:rPr>
                <w:rFonts w:asciiTheme="minorHAnsi" w:hAnsiTheme="minorHAnsi" w:cstheme="minorHAnsi"/>
                <w:szCs w:val="24"/>
                <w:lang w:val="ru-RU"/>
              </w:rPr>
              <w:t xml:space="preserve">, </w:t>
            </w:r>
            <w:hyperlink r:id="rId10" w:history="1">
              <w:r w:rsidRPr="00D01585">
                <w:rPr>
                  <w:rStyle w:val="Hyperlink"/>
                  <w:rFonts w:asciiTheme="minorHAnsi" w:hAnsiTheme="minorHAnsi" w:cstheme="minorHAnsi"/>
                  <w:szCs w:val="24"/>
                  <w:lang w:val="ru-RU"/>
                </w:rPr>
                <w:t>C25/101</w:t>
              </w:r>
            </w:hyperlink>
          </w:p>
        </w:tc>
      </w:tr>
      <w:tr w:rsidR="00B3077D" w:rsidRPr="00D01585" w14:paraId="69BD179D" w14:textId="77777777" w:rsidTr="00D075B9">
        <w:trPr>
          <w:trHeight w:val="20"/>
        </w:trPr>
        <w:tc>
          <w:tcPr>
            <w:tcW w:w="242" w:type="pct"/>
          </w:tcPr>
          <w:p w14:paraId="46CD8376" w14:textId="77777777" w:rsidR="00B3077D" w:rsidRPr="00D01585" w:rsidRDefault="00B3077D" w:rsidP="00D075B9">
            <w:pPr>
              <w:spacing w:before="80" w:after="80"/>
              <w:rPr>
                <w:szCs w:val="22"/>
                <w:lang w:val="ru-RU"/>
              </w:rPr>
            </w:pPr>
            <w:r w:rsidRPr="00D01585">
              <w:rPr>
                <w:color w:val="000000"/>
                <w:lang w:val="ru-RU"/>
              </w:rPr>
              <w:t>4</w:t>
            </w:r>
          </w:p>
        </w:tc>
        <w:tc>
          <w:tcPr>
            <w:tcW w:w="3580" w:type="pct"/>
          </w:tcPr>
          <w:p w14:paraId="5539277F" w14:textId="77777777" w:rsidR="00B3077D" w:rsidRPr="00D01585" w:rsidRDefault="00B3077D" w:rsidP="00D075B9">
            <w:pPr>
              <w:spacing w:before="80" w:after="80"/>
              <w:rPr>
                <w:szCs w:val="22"/>
                <w:lang w:val="ru-RU"/>
              </w:rPr>
            </w:pPr>
            <w:r w:rsidRPr="00D01585">
              <w:rPr>
                <w:color w:val="000000"/>
                <w:lang w:val="ru-RU"/>
              </w:rPr>
              <w:t>Сотрудничество с системой Организации Объединенных Наций и другими международными межправительственными процессами, в том числе в области разработки стандартов</w:t>
            </w:r>
          </w:p>
        </w:tc>
        <w:tc>
          <w:tcPr>
            <w:tcW w:w="1178" w:type="pct"/>
          </w:tcPr>
          <w:p w14:paraId="0CAD26FB" w14:textId="777A2B27" w:rsidR="00B3077D" w:rsidRPr="00D01585" w:rsidRDefault="00B3077D" w:rsidP="00D075B9">
            <w:pPr>
              <w:spacing w:before="80" w:after="80"/>
              <w:jc w:val="center"/>
              <w:rPr>
                <w:color w:val="0563C1"/>
                <w:u w:val="single"/>
                <w:lang w:val="ru-RU"/>
              </w:rPr>
            </w:pPr>
            <w:hyperlink r:id="rId11" w:tgtFrame="_blank" w:history="1">
              <w:r w:rsidRPr="00D01585">
                <w:rPr>
                  <w:rStyle w:val="Hyperlink"/>
                  <w:lang w:val="ru-RU"/>
                </w:rPr>
                <w:t>C25/70</w:t>
              </w:r>
            </w:hyperlink>
            <w:r w:rsidR="00DD7CB2" w:rsidRPr="00D01585">
              <w:rPr>
                <w:lang w:val="ru-RU"/>
              </w:rPr>
              <w:t>,</w:t>
            </w:r>
            <w:r w:rsidRPr="00D01585">
              <w:rPr>
                <w:rStyle w:val="Hyperlink"/>
                <w:lang w:val="ru-RU"/>
              </w:rPr>
              <w:br/>
            </w:r>
            <w:hyperlink r:id="rId12" w:tgtFrame="_blank" w:history="1">
              <w:r w:rsidRPr="00D01585">
                <w:rPr>
                  <w:rStyle w:val="Hyperlink"/>
                  <w:lang w:val="ru-RU"/>
                </w:rPr>
                <w:t>C25/97(Rev.1)</w:t>
              </w:r>
            </w:hyperlink>
          </w:p>
        </w:tc>
      </w:tr>
      <w:tr w:rsidR="00B3077D" w:rsidRPr="00D01585" w14:paraId="1DA140FD" w14:textId="77777777" w:rsidTr="00D075B9">
        <w:trPr>
          <w:trHeight w:val="20"/>
        </w:trPr>
        <w:tc>
          <w:tcPr>
            <w:tcW w:w="242" w:type="pct"/>
          </w:tcPr>
          <w:p w14:paraId="163FD73A" w14:textId="77777777" w:rsidR="00B3077D" w:rsidRPr="00D01585" w:rsidRDefault="00B3077D" w:rsidP="00D075B9">
            <w:pPr>
              <w:spacing w:before="80" w:after="80"/>
              <w:rPr>
                <w:szCs w:val="22"/>
                <w:lang w:val="ru-RU"/>
              </w:rPr>
            </w:pPr>
            <w:r w:rsidRPr="00D01585">
              <w:rPr>
                <w:color w:val="000000"/>
                <w:lang w:val="ru-RU"/>
              </w:rPr>
              <w:t>5</w:t>
            </w:r>
          </w:p>
        </w:tc>
        <w:tc>
          <w:tcPr>
            <w:tcW w:w="3580" w:type="pct"/>
          </w:tcPr>
          <w:p w14:paraId="2A3082D8" w14:textId="77777777" w:rsidR="00B3077D" w:rsidRPr="00D01585" w:rsidRDefault="00B3077D" w:rsidP="00D075B9">
            <w:pPr>
              <w:spacing w:before="80" w:after="80"/>
              <w:rPr>
                <w:lang w:val="ru-RU"/>
              </w:rPr>
            </w:pPr>
            <w:r w:rsidRPr="00D01585">
              <w:rPr>
                <w:color w:val="000000"/>
                <w:lang w:val="ru-RU"/>
              </w:rPr>
              <w:t>Письмо от администрации Индии относительно Полномочной конференции 2030 года</w:t>
            </w:r>
          </w:p>
        </w:tc>
        <w:tc>
          <w:tcPr>
            <w:tcW w:w="1178" w:type="pct"/>
          </w:tcPr>
          <w:p w14:paraId="221869D8" w14:textId="77777777" w:rsidR="00B3077D" w:rsidRPr="00D01585" w:rsidRDefault="00B3077D" w:rsidP="00D075B9">
            <w:pPr>
              <w:spacing w:before="80" w:after="80"/>
              <w:jc w:val="center"/>
              <w:rPr>
                <w:szCs w:val="22"/>
                <w:lang w:val="ru-RU"/>
              </w:rPr>
            </w:pPr>
            <w:hyperlink r:id="rId13" w:history="1">
              <w:r w:rsidRPr="00D01585">
                <w:rPr>
                  <w:rStyle w:val="Hyperlink"/>
                  <w:lang w:val="ru-RU"/>
                </w:rPr>
                <w:t>C25/19</w:t>
              </w:r>
            </w:hyperlink>
            <w:r w:rsidRPr="00D01585">
              <w:rPr>
                <w:rFonts w:asciiTheme="minorHAnsi" w:hAnsiTheme="minorHAnsi" w:cstheme="minorHAnsi"/>
                <w:szCs w:val="24"/>
                <w:lang w:val="ru-RU"/>
              </w:rPr>
              <w:t xml:space="preserve">, </w:t>
            </w:r>
            <w:hyperlink r:id="rId14" w:history="1">
              <w:r w:rsidRPr="00D01585">
                <w:rPr>
                  <w:rStyle w:val="Hyperlink"/>
                  <w:lang w:val="ru-RU"/>
                </w:rPr>
                <w:t>C25/73</w:t>
              </w:r>
            </w:hyperlink>
          </w:p>
        </w:tc>
      </w:tr>
      <w:tr w:rsidR="00B3077D" w:rsidRPr="00D01585" w14:paraId="2D7E43B7" w14:textId="77777777" w:rsidTr="00D075B9">
        <w:trPr>
          <w:trHeight w:val="20"/>
        </w:trPr>
        <w:tc>
          <w:tcPr>
            <w:tcW w:w="242" w:type="pct"/>
          </w:tcPr>
          <w:p w14:paraId="4E46E241" w14:textId="77777777" w:rsidR="00B3077D" w:rsidRPr="00D01585" w:rsidRDefault="00B3077D" w:rsidP="00D075B9">
            <w:pPr>
              <w:spacing w:before="80" w:after="80"/>
              <w:rPr>
                <w:szCs w:val="22"/>
                <w:lang w:val="ru-RU"/>
              </w:rPr>
            </w:pPr>
            <w:r w:rsidRPr="00D01585">
              <w:rPr>
                <w:color w:val="000000"/>
                <w:lang w:val="ru-RU"/>
              </w:rPr>
              <w:t>6</w:t>
            </w:r>
          </w:p>
        </w:tc>
        <w:tc>
          <w:tcPr>
            <w:tcW w:w="3580" w:type="pct"/>
          </w:tcPr>
          <w:p w14:paraId="1062C83C" w14:textId="77777777" w:rsidR="00B3077D" w:rsidRPr="00D01585" w:rsidRDefault="00B3077D" w:rsidP="00D075B9">
            <w:pPr>
              <w:spacing w:before="80" w:after="80"/>
              <w:rPr>
                <w:rFonts w:asciiTheme="minorHAnsi" w:hAnsiTheme="minorHAnsi" w:cstheme="minorHAnsi"/>
                <w:iCs/>
                <w:szCs w:val="24"/>
                <w:lang w:val="ru-RU"/>
              </w:rPr>
            </w:pPr>
            <w:r w:rsidRPr="00D01585">
              <w:rPr>
                <w:color w:val="000000"/>
                <w:lang w:val="ru-RU"/>
              </w:rPr>
              <w:t>Заявления Советников и наблюдателей</w:t>
            </w:r>
          </w:p>
        </w:tc>
        <w:tc>
          <w:tcPr>
            <w:tcW w:w="1178" w:type="pct"/>
          </w:tcPr>
          <w:p w14:paraId="38A85980" w14:textId="77777777" w:rsidR="00B3077D" w:rsidRPr="00D01585" w:rsidRDefault="00B3077D" w:rsidP="00D075B9">
            <w:pPr>
              <w:spacing w:before="80" w:after="80"/>
              <w:jc w:val="center"/>
              <w:rPr>
                <w:lang w:val="ru-RU"/>
              </w:rPr>
            </w:pPr>
          </w:p>
        </w:tc>
      </w:tr>
      <w:bookmarkEnd w:id="7"/>
    </w:tbl>
    <w:p w14:paraId="76D5FDB6" w14:textId="5E204BFE" w:rsidR="00B3077D" w:rsidRPr="00D01585" w:rsidRDefault="00B3077D" w:rsidP="00C462C5">
      <w:pPr>
        <w:pStyle w:val="Reasons"/>
        <w:rPr>
          <w:lang w:val="ru-RU"/>
        </w:rPr>
      </w:pPr>
    </w:p>
    <w:p w14:paraId="18104417" w14:textId="16F6892F" w:rsidR="00B3077D" w:rsidRPr="00D01585" w:rsidRDefault="00B3077D">
      <w:pPr>
        <w:tabs>
          <w:tab w:val="clear" w:pos="794"/>
          <w:tab w:val="clear" w:pos="1191"/>
          <w:tab w:val="clear" w:pos="1588"/>
          <w:tab w:val="clear" w:pos="1985"/>
        </w:tabs>
        <w:overflowPunct/>
        <w:autoSpaceDE/>
        <w:autoSpaceDN/>
        <w:adjustRightInd/>
        <w:spacing w:before="0"/>
        <w:textAlignment w:val="auto"/>
        <w:rPr>
          <w:lang w:val="ru-RU"/>
        </w:rPr>
      </w:pPr>
      <w:r w:rsidRPr="00D01585">
        <w:rPr>
          <w:lang w:val="ru-RU"/>
        </w:rPr>
        <w:br w:type="page"/>
      </w:r>
    </w:p>
    <w:p w14:paraId="32E5D788" w14:textId="77777777" w:rsidR="00B3077D" w:rsidRPr="00D01585" w:rsidRDefault="00B3077D" w:rsidP="00B3077D">
      <w:pPr>
        <w:pStyle w:val="Heading1"/>
        <w:rPr>
          <w:lang w:val="ru-RU"/>
        </w:rPr>
      </w:pPr>
      <w:r w:rsidRPr="00D01585">
        <w:rPr>
          <w:bCs/>
          <w:lang w:val="ru-RU"/>
        </w:rPr>
        <w:lastRenderedPageBreak/>
        <w:t>1</w:t>
      </w:r>
      <w:r w:rsidRPr="00D01585">
        <w:rPr>
          <w:lang w:val="ru-RU"/>
        </w:rPr>
        <w:tab/>
      </w:r>
      <w:r w:rsidRPr="00D01585">
        <w:rPr>
          <w:bCs/>
          <w:lang w:val="ru-RU"/>
        </w:rPr>
        <w:t>Выступление заместителя Генерального секретаря Организации Объединенных Наций по вопросам политики г-на Гая Райдера</w:t>
      </w:r>
    </w:p>
    <w:p w14:paraId="368A5100" w14:textId="7F5ECB1C" w:rsidR="00B3077D" w:rsidRPr="00D01585" w:rsidRDefault="00B3077D" w:rsidP="00B3077D">
      <w:pPr>
        <w:rPr>
          <w:lang w:val="ru-RU"/>
        </w:rPr>
      </w:pPr>
      <w:r w:rsidRPr="00D01585">
        <w:rPr>
          <w:lang w:val="ru-RU"/>
        </w:rPr>
        <w:t>1.1</w:t>
      </w:r>
      <w:r w:rsidRPr="00D01585">
        <w:rPr>
          <w:lang w:val="ru-RU"/>
        </w:rPr>
        <w:tab/>
        <w:t>Генеральный секретарь МСЭ представляет заместителя Генерального секретаря Организации Объединенных Наций по вопросам политики в Канцелярии Генерального секретаря Организации Объединенных Наций г-на Гая Райдера, Председателя Целевой группы "ООН-80", который будет руководить инициативой ООН-80, направленной на переосмысление роли Организации Объединенных Наций в служении миру и преобразование ее в более гибкую, оперативную и жизнеспособную структуру при одновременном сохранении устойчивости.</w:t>
      </w:r>
    </w:p>
    <w:p w14:paraId="7352499C" w14:textId="53D03FFF" w:rsidR="00B3077D" w:rsidRPr="00D01585" w:rsidRDefault="00B3077D" w:rsidP="00B3077D">
      <w:pPr>
        <w:rPr>
          <w:lang w:val="ru-RU"/>
        </w:rPr>
      </w:pPr>
      <w:r w:rsidRPr="00D01585">
        <w:rPr>
          <w:lang w:val="ru-RU"/>
        </w:rPr>
        <w:t>1.2</w:t>
      </w:r>
      <w:r w:rsidRPr="00D01585">
        <w:rPr>
          <w:lang w:val="ru-RU"/>
        </w:rPr>
        <w:tab/>
        <w:t xml:space="preserve">Заместитель Генерального секретаря Организации Объединенных Наций по вопросам политики говорит, что Инициатива ООН-80 была разработана в ответ на </w:t>
      </w:r>
      <w:r w:rsidR="00072548" w:rsidRPr="00D01585">
        <w:rPr>
          <w:lang w:val="ru-RU"/>
        </w:rPr>
        <w:t xml:space="preserve">нарушения основных принципов Устава Организации Объединенных Наций, </w:t>
      </w:r>
      <w:r w:rsidRPr="00D01585">
        <w:rPr>
          <w:lang w:val="ru-RU"/>
        </w:rPr>
        <w:t>углубляющиеся разногласия в политических кругах, очень серьезные финансовые ограничения на уровне всей системы и растущие сомнения в ценности самого многостороннего подхода. Инициатива охватывает три направления работы: первое из них связано с повышением эффективности и совершенствованием существующих систем путем устранения дублирования, слияния платформ и перемещения должностей из таких дорогостоящих мест, как Женева и Нью-Йорк; в пересмотренных бюджетных предложениях на 2026 год, основанных на этом процессе, предусматривается 20-процентное сокращение должностей в Секретариате Организации Объединенных Наций. Второе направление работы посвящено анализу мандатов, возложенных на Секретариат Организации Объединенных Наций в рамках более чем 4000</w:t>
      </w:r>
      <w:r w:rsidR="00576472" w:rsidRPr="00D01585">
        <w:rPr>
          <w:lang w:val="ru-RU"/>
        </w:rPr>
        <w:t> </w:t>
      </w:r>
      <w:r w:rsidRPr="00D01585">
        <w:rPr>
          <w:lang w:val="ru-RU"/>
        </w:rPr>
        <w:t xml:space="preserve">резолюций, в том числе Генеральной Ассамблеи Организации Объединенных Наций, Совета Безопасности и Совета по правам человека, с целью выявления и устранения дублирования, избыточности и неоправданной концентрации усилий. Цель состоит в том, чтобы распространить эту работу на всю систему и определить, каким образом Секретариат Организации Объединенных Наций может более эффективно, результативно и согласованно взаимодействовать с другими элементами системы, включая специализированные учреждения. Отчет по этому направлению работы будет представлен Генеральному секретарю Организации Объединенных Наций в </w:t>
      </w:r>
      <w:r w:rsidR="00072548" w:rsidRPr="00D01585">
        <w:rPr>
          <w:lang w:val="ru-RU"/>
        </w:rPr>
        <w:t xml:space="preserve">конце </w:t>
      </w:r>
      <w:r w:rsidRPr="00D01585">
        <w:rPr>
          <w:lang w:val="ru-RU"/>
        </w:rPr>
        <w:t>июл</w:t>
      </w:r>
      <w:r w:rsidR="00072548" w:rsidRPr="00D01585">
        <w:rPr>
          <w:lang w:val="ru-RU"/>
        </w:rPr>
        <w:t>я</w:t>
      </w:r>
      <w:r w:rsidRPr="00D01585">
        <w:rPr>
          <w:lang w:val="ru-RU"/>
        </w:rPr>
        <w:t xml:space="preserve"> 2025 года. Третье направление работы предусматривает тщательную проверку нынешних структурных механизмов архитектуры Организации Объединенных Наций для оценки необходимости структурных изменений или перераспределения программ.</w:t>
      </w:r>
    </w:p>
    <w:p w14:paraId="36DED2FE" w14:textId="08AE17B4" w:rsidR="00B3077D" w:rsidRPr="00D01585" w:rsidRDefault="00B3077D" w:rsidP="00B3077D">
      <w:pPr>
        <w:rPr>
          <w:lang w:val="ru-RU"/>
        </w:rPr>
      </w:pPr>
      <w:r w:rsidRPr="00D01585">
        <w:rPr>
          <w:lang w:val="ru-RU"/>
        </w:rPr>
        <w:t>1.3</w:t>
      </w:r>
      <w:r w:rsidRPr="00D01585">
        <w:rPr>
          <w:lang w:val="ru-RU"/>
        </w:rPr>
        <w:tab/>
        <w:t>В состав Целевой группы "ООН-80" входят 15 руководителей из различных организаций системы Организации Объединенных Наций, включая Генерального секретаря МСЭ, что позволяет обеспечить надлежащий учет интересов специализированных учреждений. Деятельность Целевой группы обеспечивается работой семи тематических блоков, сосредоточенных на различных направлениях, в том числе таких как мир и безопасность; устойчивое развитие; гуманитарная деятельность; права человека; исследования и профессиональная подготовка; специализированные учреждения. МСЭ является одним из основных участников работы по направлению специализированных учреждений. Признавая</w:t>
      </w:r>
      <w:r w:rsidR="00576472" w:rsidRPr="00D01585">
        <w:rPr>
          <w:lang w:val="ru-RU"/>
        </w:rPr>
        <w:t> </w:t>
      </w:r>
      <w:r w:rsidRPr="00D01585">
        <w:rPr>
          <w:lang w:val="ru-RU"/>
        </w:rPr>
        <w:t>самостоятельность специализированных учреждений в вопросах составления бюджета и назначения персонала, выступающий приветствует ту готовность к сотрудничеству, которую они проявляли до настоящего времени в ходе этого процесса. Поскольку под давлением находится вся система, необходимо реагировать коллективно. Однако в конечном счете ценность этого процесса будет зависеть от реакции на него Государств-Членов, поскольку принятие решений находится в их руках. Критерием успеха будет способность более эффективно и действенно выполнять Устав Организации Объединенных Наций, обеспечивая при этом баланс основополагающих принципов — мира и безопасности, прав человека и развития.</w:t>
      </w:r>
    </w:p>
    <w:p w14:paraId="1D5134B7" w14:textId="77777777" w:rsidR="00B3077D" w:rsidRPr="00D01585" w:rsidRDefault="00B3077D" w:rsidP="00B3077D">
      <w:pPr>
        <w:rPr>
          <w:lang w:val="ru-RU"/>
        </w:rPr>
      </w:pPr>
      <w:r w:rsidRPr="00D01585">
        <w:rPr>
          <w:lang w:val="ru-RU"/>
        </w:rPr>
        <w:lastRenderedPageBreak/>
        <w:t>1.4</w:t>
      </w:r>
      <w:r w:rsidRPr="00D01585">
        <w:rPr>
          <w:lang w:val="ru-RU"/>
        </w:rPr>
        <w:tab/>
        <w:t>Советник от Швейцарии заявляет, что его страна, являясь страной пребывания многих международных организаций, намерена и впредь укреплять статус Женевы как центра передового опыта в области многостороннего сотрудничества. Изменение места пребывания несет в себе риск отдаления организаций и их деятельности от Государств-Членов. Женева, являясь самой комплексной в мире экосистемой глобального управления, построенной на более чем столетнем опыте многосторонней деятельности, соединяет в себе почти универсальное представительство Государств-Членов, уникальный доступ ко всем остальным заинтересованным сторонам и ежедневное взаимодействие между учреждениями. Дальнейшее использование потенциала Женевы могло бы повысить эффективность всей организации — именно этого требуют столь серьезные финансовые ограничения, затрагивающие все заинтересованные стороны. Швейцария проявляет готовность сотрудничать с системой Организации Объединенных Наций для достижения этой цели и повышения эффективности многостороннего сотрудничества.</w:t>
      </w:r>
    </w:p>
    <w:p w14:paraId="4F600D2C" w14:textId="3AFA127A" w:rsidR="00B3077D" w:rsidRPr="00D01585" w:rsidRDefault="00B3077D" w:rsidP="00B3077D">
      <w:pPr>
        <w:rPr>
          <w:lang w:val="ru-RU"/>
        </w:rPr>
      </w:pPr>
      <w:r w:rsidRPr="00D01585">
        <w:rPr>
          <w:lang w:val="ru-RU"/>
        </w:rPr>
        <w:t>1.5</w:t>
      </w:r>
      <w:r w:rsidRPr="00D01585">
        <w:rPr>
          <w:lang w:val="ru-RU"/>
        </w:rPr>
        <w:tab/>
        <w:t xml:space="preserve">Советники выражают широкую поддержку процессу реформ как надлежащему ответу на беспрецедентные финансовые вызовы и подрыв многостороннего подхода, с тем чтобы сохранить широкие и ощутимые преимущества многосторонней системы. Выражается озабоченность в связи с тем, что если за изменениями будет стоять не стратегический замысел, а простое сокращение расходов, то слишком поспешные решения могут усугубить ситуацию и подорвать авторитет организации, приведя к </w:t>
      </w:r>
      <w:proofErr w:type="spellStart"/>
      <w:r w:rsidRPr="00D01585">
        <w:rPr>
          <w:lang w:val="ru-RU"/>
        </w:rPr>
        <w:t>труднопоправимым</w:t>
      </w:r>
      <w:proofErr w:type="spellEnd"/>
      <w:r w:rsidRPr="00D01585">
        <w:rPr>
          <w:lang w:val="ru-RU"/>
        </w:rPr>
        <w:t xml:space="preserve"> последствиям. Поступает</w:t>
      </w:r>
      <w:r w:rsidR="00576472" w:rsidRPr="00D01585">
        <w:rPr>
          <w:lang w:val="ru-RU"/>
        </w:rPr>
        <w:t> </w:t>
      </w:r>
      <w:r w:rsidRPr="00D01585">
        <w:rPr>
          <w:lang w:val="ru-RU"/>
        </w:rPr>
        <w:t>просьба представить разъяснения относительно плана или процесса взаимодействия с Государствами-Членами, поскольку процесс реформирования должен быть всеобъемлющим и прозрачным. Одн</w:t>
      </w:r>
      <w:r w:rsidR="001561F9" w:rsidRPr="00D01585">
        <w:rPr>
          <w:lang w:val="ru-RU"/>
        </w:rPr>
        <w:t>а</w:t>
      </w:r>
      <w:r w:rsidRPr="00D01585">
        <w:rPr>
          <w:lang w:val="ru-RU"/>
        </w:rPr>
        <w:t xml:space="preserve"> из Советников говорит, что решающее значение имеет участие межправительственных организаций в этом процессе. Другой Советник говорит, что процессы трансформации МСЭ должны быть согласованы с инициативой ООН-80, и просит Генерального секретаря МСЭ предоставить дополнительную информацию о пересмотре мандатов, касающихся работы МСЭ. </w:t>
      </w:r>
      <w:r w:rsidR="001561F9" w:rsidRPr="00D01585">
        <w:rPr>
          <w:lang w:val="ru-RU"/>
        </w:rPr>
        <w:t xml:space="preserve">Еще одна из </w:t>
      </w:r>
      <w:r w:rsidRPr="00D01585">
        <w:rPr>
          <w:lang w:val="ru-RU"/>
        </w:rPr>
        <w:t>Советник</w:t>
      </w:r>
      <w:r w:rsidR="001561F9" w:rsidRPr="00D01585">
        <w:rPr>
          <w:lang w:val="ru-RU"/>
        </w:rPr>
        <w:t>ов</w:t>
      </w:r>
      <w:r w:rsidRPr="00D01585">
        <w:rPr>
          <w:lang w:val="ru-RU"/>
        </w:rPr>
        <w:t xml:space="preserve"> отмечает значение межотраслевого потенциала технологий для содействия процессу трансформации.</w:t>
      </w:r>
    </w:p>
    <w:p w14:paraId="32E62FC5" w14:textId="4654A133" w:rsidR="00B3077D" w:rsidRPr="00D01585" w:rsidRDefault="00B3077D" w:rsidP="00B3077D">
      <w:pPr>
        <w:rPr>
          <w:lang w:val="ru-RU"/>
        </w:rPr>
      </w:pPr>
      <w:r w:rsidRPr="00D01585">
        <w:rPr>
          <w:lang w:val="ru-RU"/>
        </w:rPr>
        <w:t>1.6</w:t>
      </w:r>
      <w:r w:rsidRPr="00D01585">
        <w:rPr>
          <w:lang w:val="ru-RU"/>
        </w:rPr>
        <w:tab/>
        <w:t xml:space="preserve">Один из Советников подчеркивает необходимость информации о затратах на реформы и о потенциальной экономии средств, которые могут быть связаны с ними, для принятия обоснованных решений, </w:t>
      </w:r>
      <w:r w:rsidR="001561F9" w:rsidRPr="00D01585">
        <w:rPr>
          <w:lang w:val="ru-RU"/>
        </w:rPr>
        <w:t xml:space="preserve">при этом еще одна из </w:t>
      </w:r>
      <w:r w:rsidRPr="00D01585">
        <w:rPr>
          <w:lang w:val="ru-RU"/>
        </w:rPr>
        <w:t>Советник</w:t>
      </w:r>
      <w:r w:rsidR="001561F9" w:rsidRPr="00D01585">
        <w:rPr>
          <w:lang w:val="ru-RU"/>
        </w:rPr>
        <w:t>ов</w:t>
      </w:r>
      <w:r w:rsidRPr="00D01585">
        <w:rPr>
          <w:lang w:val="ru-RU"/>
        </w:rPr>
        <w:t xml:space="preserve"> спрашивает, как будут покрываться затраты на осуществление с учетом кризиса ликвидности. Выражается обеспокоенность по поводу воздействия на персонал.</w:t>
      </w:r>
    </w:p>
    <w:p w14:paraId="43C369CA" w14:textId="36D20578" w:rsidR="00B3077D" w:rsidRPr="00D01585" w:rsidRDefault="00B3077D" w:rsidP="00B3077D">
      <w:pPr>
        <w:rPr>
          <w:lang w:val="ru-RU"/>
        </w:rPr>
      </w:pPr>
      <w:r w:rsidRPr="00D01585">
        <w:rPr>
          <w:lang w:val="ru-RU"/>
        </w:rPr>
        <w:t>1.7</w:t>
      </w:r>
      <w:r w:rsidRPr="00D01585">
        <w:rPr>
          <w:lang w:val="ru-RU"/>
        </w:rPr>
        <w:tab/>
        <w:t>Заместитель Генерального секретаря Организации Объединенных Наций по вопросам политики подчеркивает твердую приверженность Инициативы ООН-80 принципам прозрачности и открытости для всех, которые заключаются не только в информировании Государств-Членов, но и в получении откликов и рекомендаций. Решения будут приниматься только самими Государствами-Членами, а предложения будут направляться через существующие бюджетные процессы, в рамках которых Государства-Члены по-прежнему будут принимать окончательные решения. Государства – Члены Союза должны также принять решение о возможности создания межправительственного процесса для продвижения реформ.</w:t>
      </w:r>
    </w:p>
    <w:p w14:paraId="3ABE4054" w14:textId="41224CC5" w:rsidR="00B3077D" w:rsidRPr="00D01585" w:rsidRDefault="00B3077D" w:rsidP="00B3077D">
      <w:pPr>
        <w:rPr>
          <w:lang w:val="ru-RU"/>
        </w:rPr>
      </w:pPr>
      <w:r w:rsidRPr="00D01585">
        <w:rPr>
          <w:lang w:val="ru-RU"/>
        </w:rPr>
        <w:t>1.8</w:t>
      </w:r>
      <w:r w:rsidRPr="00D01585">
        <w:rPr>
          <w:lang w:val="ru-RU"/>
        </w:rPr>
        <w:tab/>
        <w:t>Выступающий благодарит Швейцарию за ее готовность выступать в качестве страны пребывания и приветствует продолжающийся диалог. Он признает ценность практически повсеместного присутствия международного сообщества в Женеве и эффекта кластеризации, обусловленного совместным размещением нескольких организаций в одном месте, и подчеркивает, что какие-либо решения о переносе места службы не будут носить поспешный характер и не будут продиктованы исключительно соображениями экономии.</w:t>
      </w:r>
    </w:p>
    <w:p w14:paraId="2FB6971B" w14:textId="37FA30E3" w:rsidR="00B3077D" w:rsidRPr="00D01585" w:rsidRDefault="00B3077D" w:rsidP="00AB07BC">
      <w:pPr>
        <w:keepLines/>
        <w:rPr>
          <w:lang w:val="ru-RU"/>
        </w:rPr>
      </w:pPr>
      <w:r w:rsidRPr="00D01585">
        <w:rPr>
          <w:lang w:val="ru-RU"/>
        </w:rPr>
        <w:lastRenderedPageBreak/>
        <w:t>1.9</w:t>
      </w:r>
      <w:r w:rsidRPr="00D01585">
        <w:rPr>
          <w:lang w:val="ru-RU"/>
        </w:rPr>
        <w:tab/>
        <w:t>Он признает, что слишком поспешное продвижение вперед в этом процессе без должного учета рассматриваемых вопросов несет в себе риск причинения ущерба</w:t>
      </w:r>
      <w:r w:rsidR="00AB07BC">
        <w:rPr>
          <w:lang w:val="ru-RU"/>
        </w:rPr>
        <w:t> </w:t>
      </w:r>
      <w:r w:rsidRPr="00D01585">
        <w:rPr>
          <w:lang w:val="ru-RU"/>
        </w:rPr>
        <w:sym w:font="Symbol" w:char="F02D"/>
      </w:r>
      <w:r w:rsidRPr="00D01585">
        <w:rPr>
          <w:lang w:val="ru-RU"/>
        </w:rPr>
        <w:t xml:space="preserve"> однако и отсутствие должного чувства срочности также сопряжено с рисками. Задача более широкого обзора мандатов в рамках всей системы будет разрабатываться совместно, с тем чтобы обеспечить взаимодополняющий, а не конкурирующий характер подходов; Многочисленные процессы реформирования, уже запущенные в системе Организации Объединенных Наций, должны быть взаимодополняющими и согласованными с инициативой ООН-80. По его мнению, инициатива ООН-80 потерпела бы неудачу, если бы результатом реформы стала та же самая Организация Объединенных Наций, только уменьшенная на 20 процентов; напротив, она должна привести к преобразованию организации и всей системы таким образом, чтобы они стали менее ресурсоемкими, но при этом более отзывчивыми, устойчивыми и эффективными, с акцентом на конечный результат для людей, которым они служат. Отличным руководством могут здесь послужить Пакт ООН во имя будущего и Глобальный цифровой договор (ГЦД).</w:t>
      </w:r>
    </w:p>
    <w:p w14:paraId="0ACFB051" w14:textId="5BE7F32A" w:rsidR="00B3077D" w:rsidRPr="00D01585" w:rsidRDefault="00B3077D" w:rsidP="00B3077D">
      <w:pPr>
        <w:rPr>
          <w:lang w:val="ru-RU"/>
        </w:rPr>
      </w:pPr>
      <w:r w:rsidRPr="00D01585">
        <w:rPr>
          <w:lang w:val="ru-RU"/>
        </w:rPr>
        <w:t>1.10</w:t>
      </w:r>
      <w:r w:rsidRPr="00D01585">
        <w:rPr>
          <w:lang w:val="ru-RU"/>
        </w:rPr>
        <w:tab/>
        <w:t>Признавая давление на кадровые ресурсы, выступающий подчеркивает наличие приверженности смягчению последствий для сотрудников, а также возможности введения соответствующих мер поддержки. Для повышения эффективности особое значение придается применению технологий. Отвечая на вопрос одного из Советников, он говорит, что наилучшим способом для специализированных учреждений избежать политизации является строгое соблюдение целей и ценностей, закрепленных в их мандатах.</w:t>
      </w:r>
    </w:p>
    <w:p w14:paraId="5CABCE2B" w14:textId="77777777" w:rsidR="00B3077D" w:rsidRPr="00D01585" w:rsidRDefault="00B3077D" w:rsidP="00B3077D">
      <w:pPr>
        <w:rPr>
          <w:lang w:val="ru-RU"/>
        </w:rPr>
      </w:pPr>
      <w:r w:rsidRPr="00D01585">
        <w:rPr>
          <w:lang w:val="ru-RU"/>
        </w:rPr>
        <w:t>1.11</w:t>
      </w:r>
      <w:r w:rsidRPr="00D01585">
        <w:rPr>
          <w:lang w:val="ru-RU"/>
        </w:rPr>
        <w:tab/>
        <w:t xml:space="preserve">Генеральный секретарь МСЭ выражает приверженность созданию МСЭ, готового к вызовам будущего, подчеркивая, что под эффективностью следует понимать достижение ощутимых результатов, а не только сокращение затрат. Блок специализированных учреждений рассматривает, в частности, такие аспекты, как стандартизация методологии расчета стоимости, совместные закупки для общих потребностей, интеграция единых систем информационно-коммуникационных технологий, использование искусственного интеллекта (ИИ) для перевода, усиленная координация в использовании инфраструктуры, а также создание платформы для обмена передовым опытом и эффективными практиками в рамках всей системы. Она отмечает общую приверженность сохранению присущей специализированным учреждениям автономии, а также проведению обзора мандатов МСЭ с целью выявления упущенных возможностей для синергии, особенно с учетом </w:t>
      </w:r>
      <w:proofErr w:type="spellStart"/>
      <w:r w:rsidRPr="00D01585">
        <w:rPr>
          <w:lang w:val="ru-RU"/>
        </w:rPr>
        <w:t>межсекторального</w:t>
      </w:r>
      <w:proofErr w:type="spellEnd"/>
      <w:r w:rsidRPr="00D01585">
        <w:rPr>
          <w:lang w:val="ru-RU"/>
        </w:rPr>
        <w:t xml:space="preserve"> характера цифровых технологий. Инициатива ООН-80 служит хорошим стимулом для этой работы, и специализированные учреждения готовы укреплять сотрудничество и повышать эффективность всей системы, что сделает каждую организацию, включая МСЭ, сильнее, а систему в целом – более устойчивой.</w:t>
      </w:r>
    </w:p>
    <w:p w14:paraId="4611310C" w14:textId="77777777" w:rsidR="00B3077D" w:rsidRPr="00D01585" w:rsidRDefault="00B3077D" w:rsidP="00B3077D">
      <w:pPr>
        <w:pStyle w:val="Heading1"/>
        <w:rPr>
          <w:lang w:val="ru-RU"/>
        </w:rPr>
      </w:pPr>
      <w:r w:rsidRPr="00D01585">
        <w:rPr>
          <w:bCs/>
          <w:lang w:val="ru-RU"/>
        </w:rPr>
        <w:t>2</w:t>
      </w:r>
      <w:r w:rsidRPr="00D01585">
        <w:rPr>
          <w:lang w:val="ru-RU"/>
        </w:rPr>
        <w:tab/>
      </w:r>
      <w:r w:rsidRPr="00D01585">
        <w:rPr>
          <w:bCs/>
          <w:lang w:val="ru-RU"/>
        </w:rPr>
        <w:t>Отчет председателя Группы экспертов по Регламенту международной электросвязи (Документы</w:t>
      </w:r>
      <w:r w:rsidRPr="00D01585">
        <w:rPr>
          <w:lang w:val="ru-RU"/>
        </w:rPr>
        <w:t xml:space="preserve"> </w:t>
      </w:r>
      <w:hyperlink r:id="rId15" w:history="1">
        <w:r w:rsidRPr="00D01585">
          <w:rPr>
            <w:rStyle w:val="Hyperlink"/>
            <w:lang w:val="ru-RU"/>
          </w:rPr>
          <w:t>C25/26</w:t>
        </w:r>
      </w:hyperlink>
      <w:r w:rsidRPr="00D01585">
        <w:rPr>
          <w:lang w:val="ru-RU"/>
        </w:rPr>
        <w:t xml:space="preserve">, </w:t>
      </w:r>
      <w:hyperlink r:id="rId16" w:history="1">
        <w:r w:rsidRPr="00D01585">
          <w:rPr>
            <w:rStyle w:val="Hyperlink"/>
            <w:lang w:val="ru-RU"/>
          </w:rPr>
          <w:t>C25/92</w:t>
        </w:r>
      </w:hyperlink>
      <w:r w:rsidRPr="00D01585">
        <w:rPr>
          <w:lang w:val="ru-RU"/>
        </w:rPr>
        <w:t>)</w:t>
      </w:r>
      <w:hyperlink r:id="rId17" w:history="1"/>
      <w:hyperlink r:id="rId18" w:history="1"/>
    </w:p>
    <w:p w14:paraId="1C9362A4" w14:textId="10918284" w:rsidR="00B3077D" w:rsidRPr="00D01585" w:rsidRDefault="00B3077D" w:rsidP="00B3077D">
      <w:pPr>
        <w:rPr>
          <w:lang w:val="ru-RU"/>
        </w:rPr>
      </w:pPr>
      <w:r w:rsidRPr="00D01585">
        <w:rPr>
          <w:lang w:val="ru-RU"/>
        </w:rPr>
        <w:t>2.1</w:t>
      </w:r>
      <w:r w:rsidRPr="00D01585">
        <w:rPr>
          <w:lang w:val="ru-RU"/>
        </w:rPr>
        <w:tab/>
        <w:t>Председатель Группы экспертов по Регламенту международной электросвязи (ГЭ-РМЭ) представляет Документ C25/26, в котором содержится отчет о ходе работы, обобщающий основные результаты третьего и четвертого собраний ГЭ-РМЭ, в соответствии с Резолюцией</w:t>
      </w:r>
      <w:r w:rsidR="00AB07BC">
        <w:rPr>
          <w:lang w:val="ru-RU"/>
        </w:rPr>
        <w:t> </w:t>
      </w:r>
      <w:r w:rsidRPr="00D01585">
        <w:rPr>
          <w:lang w:val="ru-RU"/>
        </w:rPr>
        <w:t>146 (</w:t>
      </w:r>
      <w:proofErr w:type="spellStart"/>
      <w:r w:rsidRPr="00D01585">
        <w:rPr>
          <w:lang w:val="ru-RU"/>
        </w:rPr>
        <w:t>Пересм</w:t>
      </w:r>
      <w:proofErr w:type="spellEnd"/>
      <w:r w:rsidRPr="00D01585">
        <w:rPr>
          <w:lang w:val="ru-RU"/>
        </w:rPr>
        <w:t>. Бухарест, 2022 г.) Полномочной конференции и Резолюцией 1379 (C16,</w:t>
      </w:r>
      <w:r w:rsidR="00576472" w:rsidRPr="00D01585">
        <w:rPr>
          <w:lang w:val="ru-RU"/>
        </w:rPr>
        <w:t> </w:t>
      </w:r>
      <w:r w:rsidRPr="00D01585">
        <w:rPr>
          <w:lang w:val="ru-RU"/>
        </w:rPr>
        <w:t>последнее изменение C23)</w:t>
      </w:r>
      <w:r w:rsidR="00AB07BC" w:rsidRPr="00AB07BC">
        <w:rPr>
          <w:lang w:val="ru-RU"/>
        </w:rPr>
        <w:t xml:space="preserve"> </w:t>
      </w:r>
      <w:r w:rsidR="00AB07BC" w:rsidRPr="00D01585">
        <w:rPr>
          <w:lang w:val="ru-RU"/>
        </w:rPr>
        <w:t>Совета</w:t>
      </w:r>
      <w:r w:rsidR="00AB07BC">
        <w:rPr>
          <w:lang w:val="ru-RU"/>
        </w:rPr>
        <w:t>.</w:t>
      </w:r>
    </w:p>
    <w:p w14:paraId="5D3BF9C7" w14:textId="0E7A7E77" w:rsidR="00B3077D" w:rsidRPr="00D01585" w:rsidRDefault="00B3077D" w:rsidP="00B3077D">
      <w:pPr>
        <w:rPr>
          <w:lang w:val="ru-RU"/>
        </w:rPr>
      </w:pPr>
      <w:r w:rsidRPr="00D01585">
        <w:rPr>
          <w:lang w:val="ru-RU"/>
        </w:rPr>
        <w:t>2.2</w:t>
      </w:r>
      <w:r w:rsidRPr="00D01585">
        <w:rPr>
          <w:lang w:val="ru-RU"/>
        </w:rPr>
        <w:tab/>
        <w:t xml:space="preserve">Советник от Южно-Африканской Республики представляет вклад группы стран, содержащийся в Документе C25/92, от имени четырех стран. Во вкладе содержится призыв активизировать усилия по достижению консенсуса в отношении единой редакции Регламента международной электросвязи (РМЭ) на благо всех и продолжить </w:t>
      </w:r>
      <w:r w:rsidR="00072548" w:rsidRPr="00D01585">
        <w:rPr>
          <w:lang w:val="ru-RU"/>
        </w:rPr>
        <w:t xml:space="preserve">активное </w:t>
      </w:r>
      <w:r w:rsidRPr="00D01585">
        <w:rPr>
          <w:lang w:val="ru-RU"/>
        </w:rPr>
        <w:t>участие в работе ГЭ</w:t>
      </w:r>
      <w:r w:rsidR="00336BC4" w:rsidRPr="00D01585">
        <w:rPr>
          <w:lang w:val="ru-RU"/>
        </w:rPr>
        <w:t>­</w:t>
      </w:r>
      <w:r w:rsidRPr="00D01585">
        <w:rPr>
          <w:lang w:val="ru-RU"/>
        </w:rPr>
        <w:t>РМЭ для обеспечения полного и эффективного выполнения Группой своего мандата.</w:t>
      </w:r>
    </w:p>
    <w:p w14:paraId="60EA3D14" w14:textId="77777777" w:rsidR="00B3077D" w:rsidRPr="00D01585" w:rsidRDefault="00B3077D" w:rsidP="00B3077D">
      <w:pPr>
        <w:rPr>
          <w:lang w:val="ru-RU"/>
        </w:rPr>
      </w:pPr>
      <w:r w:rsidRPr="00D01585">
        <w:rPr>
          <w:lang w:val="ru-RU"/>
        </w:rPr>
        <w:lastRenderedPageBreak/>
        <w:t>2.3</w:t>
      </w:r>
      <w:r w:rsidRPr="00D01585">
        <w:rPr>
          <w:lang w:val="ru-RU"/>
        </w:rPr>
        <w:tab/>
        <w:t>Ряд советников подчеркивает важность продолжения работы ГЭ-РМЭ, особо отмечая необходимость единой и согласованной обновленной редакции РМЭ, которая отражала бы последние достижения в области электросвязи и потребности Государств-Членов. Обновленный РМЭ будет иметь решающее значение для руководства сектором электросвязи и достижения универсальной возможности установления соединений и охвата цифровыми технологиями, в частности для развивающихся стран.</w:t>
      </w:r>
    </w:p>
    <w:p w14:paraId="285275C6" w14:textId="77777777" w:rsidR="00072548" w:rsidRPr="00D01585" w:rsidRDefault="00B3077D" w:rsidP="00B3077D">
      <w:pPr>
        <w:rPr>
          <w:lang w:val="ru-RU"/>
        </w:rPr>
      </w:pPr>
      <w:r w:rsidRPr="00D01585">
        <w:rPr>
          <w:lang w:val="ru-RU"/>
        </w:rPr>
        <w:t>2.4</w:t>
      </w:r>
      <w:r w:rsidRPr="00D01585">
        <w:rPr>
          <w:lang w:val="ru-RU"/>
        </w:rPr>
        <w:tab/>
        <w:t xml:space="preserve">Вместе с тем многие другие советники подчеркивают, что сохраняющиеся расхождения во взглядах на РМЭ и тенденции, которые могут на него влиять, отражают отсутствие консенсуса в отношении его ценности и актуальности. Кроме того, учитывая, что параллельное существование редакций РМЭ 1988 и 2012 годов не вызывает затруднений, отсутствует явная необходимость в их объединении. </w:t>
      </w:r>
    </w:p>
    <w:p w14:paraId="153616CA" w14:textId="1B773EB7" w:rsidR="00B3077D" w:rsidRPr="00D01585" w:rsidRDefault="00072548" w:rsidP="00B3077D">
      <w:pPr>
        <w:rPr>
          <w:lang w:val="ru-RU"/>
        </w:rPr>
      </w:pPr>
      <w:r w:rsidRPr="00D01585">
        <w:rPr>
          <w:lang w:val="ru-RU"/>
        </w:rPr>
        <w:t>2.5</w:t>
      </w:r>
      <w:r w:rsidRPr="00D01585">
        <w:rPr>
          <w:lang w:val="ru-RU"/>
        </w:rPr>
        <w:tab/>
      </w:r>
      <w:r w:rsidR="00B3077D" w:rsidRPr="00D01585">
        <w:rPr>
          <w:lang w:val="ru-RU"/>
        </w:rPr>
        <w:t xml:space="preserve">Один из Советников выражает надежду на то, что РМЭ будет отменен на следующей Полномочной конференции, в то время как </w:t>
      </w:r>
      <w:r w:rsidR="001561F9" w:rsidRPr="00D01585">
        <w:rPr>
          <w:lang w:val="ru-RU"/>
        </w:rPr>
        <w:t xml:space="preserve">еще одна из Советников </w:t>
      </w:r>
      <w:r w:rsidR="00B3077D" w:rsidRPr="00D01585">
        <w:rPr>
          <w:lang w:val="ru-RU"/>
        </w:rPr>
        <w:t>утверждает, что цели универсальной возможности установления соединений и охвата цифровыми технологиями наилучшим образом достигаются посредством совместных, гибких механизмов с участием всех заинтересованных сторон, в том числе через резолюции МСЭ и результаты Всемирной конференции по развитию электросвязи (ВКРЭ), а не посредством жестких правовых</w:t>
      </w:r>
      <w:r w:rsidR="00250D21" w:rsidRPr="00D01585">
        <w:rPr>
          <w:lang w:val="ru-RU"/>
        </w:rPr>
        <w:t> </w:t>
      </w:r>
      <w:r w:rsidR="00B3077D" w:rsidRPr="00D01585">
        <w:rPr>
          <w:lang w:val="ru-RU"/>
        </w:rPr>
        <w:t>инструментов.</w:t>
      </w:r>
    </w:p>
    <w:p w14:paraId="5714F3C9" w14:textId="69F8F724" w:rsidR="00B3077D" w:rsidRPr="00D01585" w:rsidRDefault="00B3077D" w:rsidP="00B3077D">
      <w:pPr>
        <w:rPr>
          <w:lang w:val="ru-RU"/>
        </w:rPr>
      </w:pPr>
      <w:r w:rsidRPr="00D01585">
        <w:rPr>
          <w:lang w:val="ru-RU"/>
        </w:rPr>
        <w:t>2.</w:t>
      </w:r>
      <w:r w:rsidR="00072548" w:rsidRPr="00D01585">
        <w:rPr>
          <w:lang w:val="ru-RU"/>
        </w:rPr>
        <w:t>6</w:t>
      </w:r>
      <w:r w:rsidRPr="00D01585">
        <w:rPr>
          <w:lang w:val="ru-RU"/>
        </w:rPr>
        <w:tab/>
        <w:t>Ряд Советников приветствуют достижение ГЭ-РМЭ согласия по структуре своего заключительного отчета для сессии Совета 2026 года, при этом некоторые советники подчеркивают, что отчет должен быть сбалансированным и отражать множество обсуждавшихся мнений.</w:t>
      </w:r>
    </w:p>
    <w:p w14:paraId="59D94CE5" w14:textId="660BF0BB" w:rsidR="00B3077D" w:rsidRPr="00D01585" w:rsidRDefault="00B3077D" w:rsidP="00B3077D">
      <w:pPr>
        <w:rPr>
          <w:lang w:val="ru-RU"/>
        </w:rPr>
      </w:pPr>
      <w:r w:rsidRPr="00D01585">
        <w:rPr>
          <w:lang w:val="ru-RU"/>
        </w:rPr>
        <w:t>2.</w:t>
      </w:r>
      <w:r w:rsidR="00072548" w:rsidRPr="00D01585">
        <w:rPr>
          <w:lang w:val="ru-RU"/>
        </w:rPr>
        <w:t>7</w:t>
      </w:r>
      <w:r w:rsidRPr="00D01585">
        <w:rPr>
          <w:lang w:val="ru-RU"/>
        </w:rPr>
        <w:tab/>
        <w:t>Председатель предлагает Совету принять к сведению отчет, содержащийся в Документе</w:t>
      </w:r>
      <w:r w:rsidR="00AB07BC">
        <w:rPr>
          <w:lang w:val="ru-RU"/>
        </w:rPr>
        <w:t> </w:t>
      </w:r>
      <w:r w:rsidRPr="00D01585">
        <w:rPr>
          <w:lang w:val="ru-RU"/>
        </w:rPr>
        <w:t>C25/26, и вклад, содержащийся в Документе C25/92.</w:t>
      </w:r>
    </w:p>
    <w:p w14:paraId="0067D618" w14:textId="2ABBDDDB" w:rsidR="00B3077D" w:rsidRPr="00D01585" w:rsidRDefault="00B3077D" w:rsidP="00B3077D">
      <w:pPr>
        <w:rPr>
          <w:lang w:val="ru-RU"/>
        </w:rPr>
      </w:pPr>
      <w:r w:rsidRPr="00D01585">
        <w:rPr>
          <w:lang w:val="ru-RU"/>
        </w:rPr>
        <w:t>2.</w:t>
      </w:r>
      <w:r w:rsidR="00072548" w:rsidRPr="00D01585">
        <w:rPr>
          <w:lang w:val="ru-RU"/>
        </w:rPr>
        <w:t>8</w:t>
      </w:r>
      <w:r w:rsidRPr="00D01585">
        <w:rPr>
          <w:lang w:val="ru-RU"/>
        </w:rPr>
        <w:tab/>
        <w:t xml:space="preserve">Предложение </w:t>
      </w:r>
      <w:r w:rsidRPr="00D01585">
        <w:rPr>
          <w:b/>
          <w:bCs/>
          <w:lang w:val="ru-RU"/>
        </w:rPr>
        <w:t>принимается</w:t>
      </w:r>
      <w:r w:rsidRPr="00D01585">
        <w:rPr>
          <w:lang w:val="ru-RU"/>
        </w:rPr>
        <w:t>.</w:t>
      </w:r>
    </w:p>
    <w:p w14:paraId="2A8D1596" w14:textId="77777777" w:rsidR="00B3077D" w:rsidRPr="00D01585" w:rsidRDefault="00B3077D" w:rsidP="00B3077D">
      <w:pPr>
        <w:pStyle w:val="Heading1"/>
        <w:rPr>
          <w:b w:val="0"/>
          <w:lang w:val="ru-RU"/>
        </w:rPr>
      </w:pPr>
      <w:r w:rsidRPr="00D01585">
        <w:rPr>
          <w:bCs/>
          <w:lang w:val="ru-RU"/>
        </w:rPr>
        <w:t>3</w:t>
      </w:r>
      <w:r w:rsidRPr="00D01585">
        <w:rPr>
          <w:lang w:val="ru-RU"/>
        </w:rPr>
        <w:tab/>
      </w:r>
      <w:r w:rsidRPr="00D01585">
        <w:rPr>
          <w:bCs/>
          <w:lang w:val="ru-RU"/>
        </w:rPr>
        <w:t>Отчет о предлагаемых местах проведения АР-27, ВКР-27 и ПСК31-1 (Документы</w:t>
      </w:r>
      <w:r w:rsidRPr="00D01585">
        <w:rPr>
          <w:lang w:val="ru-RU"/>
        </w:rPr>
        <w:t xml:space="preserve"> </w:t>
      </w:r>
      <w:hyperlink r:id="rId19" w:history="1">
        <w:r w:rsidRPr="00D01585">
          <w:rPr>
            <w:rStyle w:val="Hyperlink"/>
            <w:rFonts w:asciiTheme="minorHAnsi" w:hAnsiTheme="minorHAnsi" w:cstheme="minorHAnsi"/>
            <w:szCs w:val="24"/>
            <w:lang w:val="ru-RU"/>
          </w:rPr>
          <w:t>C25/58 и Дополнительный документ 1</w:t>
        </w:r>
      </w:hyperlink>
      <w:r w:rsidRPr="00D01585">
        <w:rPr>
          <w:rFonts w:asciiTheme="minorHAnsi" w:hAnsiTheme="minorHAnsi" w:cstheme="minorHAnsi"/>
          <w:szCs w:val="24"/>
          <w:lang w:val="ru-RU"/>
        </w:rPr>
        <w:t>,</w:t>
      </w:r>
      <w:r w:rsidRPr="00D01585">
        <w:rPr>
          <w:lang w:val="ru-RU"/>
        </w:rPr>
        <w:t xml:space="preserve"> </w:t>
      </w:r>
      <w:hyperlink r:id="rId20" w:history="1">
        <w:r w:rsidRPr="00D01585">
          <w:rPr>
            <w:rStyle w:val="Hyperlink"/>
            <w:rFonts w:asciiTheme="minorHAnsi" w:hAnsiTheme="minorHAnsi" w:cstheme="minorHAnsi"/>
            <w:szCs w:val="24"/>
            <w:lang w:val="ru-RU"/>
          </w:rPr>
          <w:t>C25/101</w:t>
        </w:r>
      </w:hyperlink>
      <w:r w:rsidRPr="00D01585">
        <w:rPr>
          <w:lang w:val="ru-RU"/>
        </w:rPr>
        <w:t>)</w:t>
      </w:r>
      <w:hyperlink r:id="rId21" w:history="1"/>
      <w:hyperlink r:id="rId22" w:history="1"/>
    </w:p>
    <w:p w14:paraId="0181DE2F" w14:textId="69529596" w:rsidR="00B3077D" w:rsidRPr="00D01585" w:rsidRDefault="00B3077D" w:rsidP="00B3077D">
      <w:pPr>
        <w:rPr>
          <w:lang w:val="ru-RU"/>
        </w:rPr>
      </w:pPr>
      <w:r w:rsidRPr="00D01585">
        <w:rPr>
          <w:lang w:val="ru-RU"/>
        </w:rPr>
        <w:t>3.1</w:t>
      </w:r>
      <w:r w:rsidRPr="00D01585">
        <w:rPr>
          <w:lang w:val="ru-RU"/>
        </w:rPr>
        <w:tab/>
        <w:t>Директор Бюро радиосвязи представляет Документ C25/58, напоминая, что МСЭ получил письма-приглашений от Руанды и Китая с предложением организовать предстоящую Всемирную конференцию радиосвязи 2027 года (ВКР-27), а также Ассамблею радиосвязи 2027</w:t>
      </w:r>
      <w:r w:rsidR="00576472" w:rsidRPr="00D01585">
        <w:rPr>
          <w:lang w:val="ru-RU"/>
        </w:rPr>
        <w:t> </w:t>
      </w:r>
      <w:r w:rsidRPr="00D01585">
        <w:rPr>
          <w:lang w:val="ru-RU"/>
        </w:rPr>
        <w:t>года (АР-27) и первую сессию Подготовительного собрания к Конференции для ВКР-31 (ПСК31-1), соответственно, в Кигали и Шанхае. После официальных визитов на места проведения мероприятий он подтверждает, что обе страны соответствуют основным требованиям и настроены удовлетворить потребности МСЭ или даже превзойти ожидания. По</w:t>
      </w:r>
      <w:r w:rsidR="00576472" w:rsidRPr="00D01585">
        <w:rPr>
          <w:lang w:val="ru-RU"/>
        </w:rPr>
        <w:t> </w:t>
      </w:r>
      <w:r w:rsidRPr="00D01585">
        <w:rPr>
          <w:lang w:val="ru-RU"/>
        </w:rPr>
        <w:t xml:space="preserve">сложившейся практике было также забронировано место проведения этих мероприятий в МЦКЖ в Женеве. Это бронирование должно быть подтверждено до 6 апреля 2026 года; отмена после этой даты предусматривает прогрессивные штрафные сборы. Как отмечается в Дополнительном документе 1 к Документу C25/58, 13 июня 2025 года Генеральный секретарь получил письмо от правительства Руанды, в котором сообщалось о решении отозвать </w:t>
      </w:r>
      <w:proofErr w:type="gramStart"/>
      <w:r w:rsidR="00846540" w:rsidRPr="00D01585">
        <w:rPr>
          <w:lang w:val="ru-RU"/>
        </w:rPr>
        <w:t>свое приглашение</w:t>
      </w:r>
      <w:proofErr w:type="gramEnd"/>
      <w:r w:rsidR="00846540" w:rsidRPr="00D01585">
        <w:rPr>
          <w:lang w:val="ru-RU"/>
        </w:rPr>
        <w:t xml:space="preserve"> провести </w:t>
      </w:r>
      <w:r w:rsidRPr="00D01585">
        <w:rPr>
          <w:lang w:val="ru-RU"/>
        </w:rPr>
        <w:t>ВКР-27.</w:t>
      </w:r>
    </w:p>
    <w:p w14:paraId="6E3565E5" w14:textId="77777777" w:rsidR="00B3077D" w:rsidRPr="00D01585" w:rsidRDefault="00B3077D" w:rsidP="00B3077D">
      <w:pPr>
        <w:rPr>
          <w:lang w:val="ru-RU"/>
        </w:rPr>
      </w:pPr>
      <w:r w:rsidRPr="00D01585">
        <w:rPr>
          <w:lang w:val="ru-RU"/>
        </w:rPr>
        <w:t>3.2</w:t>
      </w:r>
      <w:r w:rsidRPr="00D01585">
        <w:rPr>
          <w:lang w:val="ru-RU"/>
        </w:rPr>
        <w:tab/>
        <w:t>Советник от Руанды подтверждает, что правительство ее страны сообщило о своем решении отозвать свое приглашение провести ВКР-27, и выражает благодарность МСЭ и другим Государствам-Членам за поддержку. Она надеется, что Члены Совета примут решение о месте проведения ВКР-27 на основе консенсуса.</w:t>
      </w:r>
    </w:p>
    <w:p w14:paraId="11930492" w14:textId="718C9A41" w:rsidR="00B3077D" w:rsidRPr="00D01585" w:rsidRDefault="00B3077D" w:rsidP="00B3077D">
      <w:pPr>
        <w:rPr>
          <w:lang w:val="ru-RU"/>
        </w:rPr>
      </w:pPr>
      <w:r w:rsidRPr="00D01585">
        <w:rPr>
          <w:lang w:val="ru-RU"/>
        </w:rPr>
        <w:t>3.3</w:t>
      </w:r>
      <w:r w:rsidRPr="00D01585">
        <w:rPr>
          <w:lang w:val="ru-RU"/>
        </w:rPr>
        <w:tab/>
      </w:r>
      <w:r w:rsidR="00274961" w:rsidRPr="00D01585">
        <w:rPr>
          <w:lang w:val="ru-RU"/>
        </w:rPr>
        <w:t xml:space="preserve">Советник от Китая заявляет, что ее страна, до подачи выражения заинтересованности на сессии Совета 2024 года (Совет-24), была проинформирована в кулуарах ВКР-23, что </w:t>
      </w:r>
      <w:r w:rsidR="00274961" w:rsidRPr="00D01585">
        <w:rPr>
          <w:lang w:val="ru-RU"/>
        </w:rPr>
        <w:lastRenderedPageBreak/>
        <w:t xml:space="preserve">Генеральному секретарю не </w:t>
      </w:r>
      <w:r w:rsidR="000101B5" w:rsidRPr="00D01585">
        <w:rPr>
          <w:lang w:val="ru-RU"/>
        </w:rPr>
        <w:t>поступило</w:t>
      </w:r>
      <w:r w:rsidR="00274961" w:rsidRPr="00D01585">
        <w:rPr>
          <w:lang w:val="ru-RU"/>
        </w:rPr>
        <w:t xml:space="preserve"> ни одного другого официального предложения о проведении АР-27, ВКР-27 и ПСК31-1. Ввиду того, что Азиатско-Тихоокеанский регион никогда не принимал у себя ВКР, а также в целях более эффективной поддержки работы Союза и облегчения его финансового бремени Китай сообщил Бюро радиосвязи о своем желании принять ВКР-27, а затем, в мае 2024 года, представил МСЭ официальную заявку на проведение ВКР-27. На сессии Совета в июне 2024 года </w:t>
      </w:r>
      <w:r w:rsidR="00F335AF" w:rsidRPr="00D01585">
        <w:rPr>
          <w:lang w:val="ru-RU"/>
        </w:rPr>
        <w:t xml:space="preserve">Секретариат </w:t>
      </w:r>
      <w:r w:rsidR="00274961" w:rsidRPr="00D01585">
        <w:rPr>
          <w:lang w:val="ru-RU"/>
        </w:rPr>
        <w:t xml:space="preserve">впервые объявил одновременно о двух приглашениях Государств-Членов провести у себя ВКР-27 – от Китая и от Руанды. После консультаций между Китаем и Руандой Китай остался единственной приглашающей страной, и, как отмечено в Документе C25/58, он отвечает всем основным требованиям для проведения мероприятий. Кроме того, </w:t>
      </w:r>
      <w:r w:rsidR="00991F6A" w:rsidRPr="00D01585">
        <w:rPr>
          <w:lang w:val="ru-RU"/>
        </w:rPr>
        <w:t xml:space="preserve">в </w:t>
      </w:r>
      <w:r w:rsidR="00274961" w:rsidRPr="00D01585">
        <w:rPr>
          <w:lang w:val="ru-RU"/>
        </w:rPr>
        <w:t>Шанха</w:t>
      </w:r>
      <w:r w:rsidR="00991F6A" w:rsidRPr="00D01585">
        <w:rPr>
          <w:lang w:val="ru-RU"/>
        </w:rPr>
        <w:t>е были</w:t>
      </w:r>
      <w:r w:rsidR="00274961" w:rsidRPr="00D01585">
        <w:rPr>
          <w:lang w:val="ru-RU"/>
        </w:rPr>
        <w:t xml:space="preserve"> успешно </w:t>
      </w:r>
      <w:r w:rsidR="00991F6A" w:rsidRPr="00D01585">
        <w:rPr>
          <w:lang w:val="ru-RU"/>
        </w:rPr>
        <w:t xml:space="preserve">проведены </w:t>
      </w:r>
      <w:r w:rsidR="00274961" w:rsidRPr="00D01585">
        <w:rPr>
          <w:lang w:val="ru-RU"/>
        </w:rPr>
        <w:t xml:space="preserve">собрания рабочих групп МСЭ-R в </w:t>
      </w:r>
      <w:proofErr w:type="gramStart"/>
      <w:r w:rsidR="00274961" w:rsidRPr="00D01585">
        <w:rPr>
          <w:lang w:val="ru-RU"/>
        </w:rPr>
        <w:t>апреле–мае</w:t>
      </w:r>
      <w:proofErr w:type="gramEnd"/>
      <w:r w:rsidR="00274961" w:rsidRPr="00D01585">
        <w:rPr>
          <w:lang w:val="ru-RU"/>
        </w:rPr>
        <w:t xml:space="preserve"> 2025 года, на которых очно присутствовало 365 участников более чем из 80 стран и регионов. Председатели рабочих групп и участники высоко оценили условия, связанные с местом проведения, подключением к интернету, размещением в гостиницах и питанием, а также визовую поддержку участникам собрания. В пункте 11 раздела 2 Главы I Общего регламента конференций, ассамблей и собраний Союза предусматривается, что при наличии приглашающего правительства конкретное место и точные даты проведения ВКР должны быть определены в соответствии с положениями Статьи 3 Конвенции МСЭ после консультаций с приглашающим правительством. Поскольку на данный момент Китай является единственной страной, направившей приглашение провести ВКР-27, </w:t>
      </w:r>
      <w:r w:rsidR="00721606" w:rsidRPr="00D01585">
        <w:rPr>
          <w:lang w:val="ru-RU"/>
        </w:rPr>
        <w:t>выступающая</w:t>
      </w:r>
      <w:r w:rsidR="00274961" w:rsidRPr="00D01585">
        <w:rPr>
          <w:lang w:val="ru-RU"/>
        </w:rPr>
        <w:t xml:space="preserve"> предлагает Совету принять решение о проведении ВКР-27 в Китае, следуя соответствующим положениям Общего регламента. За всю свою долгую историю МСЭ никогда не отклонял предложений о проведении крупного мероприятия. Азиатско-Тихоокеанский регион, являясь наиболее густонаселенным и наиболее динамичным с точки зрения цифровой трансформации и инноваций, ни разу не выступал местом проведения ВКР. Принятие заявки Китая на проведение ВКР-27 будет способствовать расширению общего участия в МСЭ и снимет вопрос о том, что МСЭ никогда не организовывал ВКР в Азиатско-Тихоокеанском регионе. Китай уже принял значительные меры бюджетного характера для подготовки к ВКР-27. Китай предоставит финансовую помощь делегатам из наименее развитых стран для содействия их участию. Во время ВКР-27 всем участникам будут предоставляться бесплатные обеды и скидки на авиабилеты и проживание, чтобы расширить участие Государств-Членов. Более подробная информация о месте проведения представлена в Документе </w:t>
      </w:r>
      <w:hyperlink r:id="rId23" w:history="1">
        <w:r w:rsidR="00274961" w:rsidRPr="00D01585">
          <w:rPr>
            <w:rStyle w:val="Hyperlink"/>
            <w:lang w:val="ru-RU"/>
          </w:rPr>
          <w:t>C25/INF/16</w:t>
        </w:r>
      </w:hyperlink>
      <w:r w:rsidR="00274961" w:rsidRPr="00D01585">
        <w:rPr>
          <w:lang w:val="ru-RU"/>
        </w:rPr>
        <w:t xml:space="preserve">. </w:t>
      </w:r>
      <w:r w:rsidR="00721606" w:rsidRPr="00D01585">
        <w:rPr>
          <w:lang w:val="ru-RU"/>
        </w:rPr>
        <w:t>Выступающая</w:t>
      </w:r>
      <w:r w:rsidR="00274961" w:rsidRPr="00D01585">
        <w:rPr>
          <w:lang w:val="ru-RU"/>
        </w:rPr>
        <w:t xml:space="preserve"> подчеркивает, что МСЭ является специализированным учреждением Организации Объединенных Наций в области информационно-коммуникационных технологий и что нельзя допускать, чтобы политические факторы влияли на деятельность МСЭ и мешали ее ведению. Она выражает искреннюю надежду на то, что Советники и делегаты дадут Китаю как стране Азиатско-Тихоокеанского региона возможность принять у себя ВКР-27. Китай внимательно выслушает опасения и предложения всех сторон, займет доброжелательную и открытую позицию и не пожалеет усилий для принятия наиболее прагматичных мер по решению проблем всех сторон и достижению консенсуса</w:t>
      </w:r>
      <w:r w:rsidRPr="00D01585">
        <w:rPr>
          <w:lang w:val="ru-RU"/>
        </w:rPr>
        <w:t>.</w:t>
      </w:r>
      <w:r>
        <w:fldChar w:fldCharType="begin"/>
      </w:r>
      <w:r>
        <w:instrText>HYPERLINK</w:instrText>
      </w:r>
      <w:r w:rsidRPr="009910E5">
        <w:rPr>
          <w:lang w:val="ru-RU"/>
        </w:rPr>
        <w:instrText xml:space="preserve"> "</w:instrText>
      </w:r>
      <w:r>
        <w:instrText>https</w:instrText>
      </w:r>
      <w:r w:rsidRPr="009910E5">
        <w:rPr>
          <w:lang w:val="ru-RU"/>
        </w:rPr>
        <w:instrText>://</w:instrText>
      </w:r>
      <w:r>
        <w:instrText>www</w:instrText>
      </w:r>
      <w:r w:rsidRPr="009910E5">
        <w:rPr>
          <w:lang w:val="ru-RU"/>
        </w:rPr>
        <w:instrText>.</w:instrText>
      </w:r>
      <w:r>
        <w:instrText>itu</w:instrText>
      </w:r>
      <w:r w:rsidRPr="009910E5">
        <w:rPr>
          <w:lang w:val="ru-RU"/>
        </w:rPr>
        <w:instrText>.</w:instrText>
      </w:r>
      <w:r>
        <w:instrText>int</w:instrText>
      </w:r>
      <w:r w:rsidRPr="009910E5">
        <w:rPr>
          <w:lang w:val="ru-RU"/>
        </w:rPr>
        <w:instrText>/</w:instrText>
      </w:r>
      <w:r>
        <w:instrText>md</w:instrText>
      </w:r>
      <w:r w:rsidRPr="009910E5">
        <w:rPr>
          <w:lang w:val="ru-RU"/>
        </w:rPr>
        <w:instrText>/</w:instrText>
      </w:r>
      <w:r>
        <w:instrText>S</w:instrText>
      </w:r>
      <w:r w:rsidRPr="009910E5">
        <w:rPr>
          <w:lang w:val="ru-RU"/>
        </w:rPr>
        <w:instrText>25-</w:instrText>
      </w:r>
      <w:r>
        <w:instrText>CL</w:instrText>
      </w:r>
      <w:r w:rsidRPr="009910E5">
        <w:rPr>
          <w:lang w:val="ru-RU"/>
        </w:rPr>
        <w:instrText>-</w:instrText>
      </w:r>
      <w:r>
        <w:instrText>INF</w:instrText>
      </w:r>
      <w:r w:rsidRPr="009910E5">
        <w:rPr>
          <w:lang w:val="ru-RU"/>
        </w:rPr>
        <w:instrText>-0016/</w:instrText>
      </w:r>
      <w:r>
        <w:instrText>en</w:instrText>
      </w:r>
      <w:r w:rsidRPr="009910E5">
        <w:rPr>
          <w:lang w:val="ru-RU"/>
        </w:rPr>
        <w:instrText>"</w:instrText>
      </w:r>
      <w:r>
        <w:fldChar w:fldCharType="separate"/>
      </w:r>
      <w:r>
        <w:fldChar w:fldCharType="end"/>
      </w:r>
    </w:p>
    <w:p w14:paraId="50231627" w14:textId="2D0F7C9F" w:rsidR="00B3077D" w:rsidRPr="00D01585" w:rsidRDefault="00B3077D" w:rsidP="00B3077D">
      <w:pPr>
        <w:rPr>
          <w:lang w:val="ru-RU"/>
        </w:rPr>
      </w:pPr>
      <w:r w:rsidRPr="00D01585">
        <w:rPr>
          <w:lang w:val="ru-RU"/>
        </w:rPr>
        <w:t>3.4</w:t>
      </w:r>
      <w:r w:rsidRPr="00D01585">
        <w:rPr>
          <w:lang w:val="ru-RU"/>
        </w:rPr>
        <w:tab/>
        <w:t>Советник от Соединенных Штатов Америки представляет вклад своей страны, содержащийся в Документе C25/101, в котором поддерживается Женева в качестве существующего по умолчанию альтернативного места проведения ВКР-27. МСЭ столкнулся с беспрецедентной ситуацией, получив две конкурирующие заявки. Несмотря на то, что Руанда отозвала свою заявку, ситуация остается нерешенной. Соединенные Штаты Америки не поддерживают проведение конференции договорного характера в Китае, поскольку не все заинтересованные стороны получат возможность принять в ней полноценное и эффективное участие, а некоторые Государства-Члены могут почувствовать себя в невыгодном положении. Совету необходимо прийти к консенсусному решению о месте проведения ВКР-27, которое могли бы поддержать все Государства-Члены. Женева является доступным нейтральным местом проведения и принимала у себя многие ВКР, при этом, как указано в Документе</w:t>
      </w:r>
      <w:r w:rsidR="00AB07BC">
        <w:rPr>
          <w:lang w:val="en-US"/>
        </w:rPr>
        <w:t> </w:t>
      </w:r>
      <w:r w:rsidRPr="00D01585">
        <w:rPr>
          <w:lang w:val="ru-RU"/>
        </w:rPr>
        <w:t xml:space="preserve">C25/58, для этого уже приняты соответствующие меры. Для того чтобы снять любые опасения по </w:t>
      </w:r>
      <w:r w:rsidRPr="00D01585">
        <w:rPr>
          <w:lang w:val="ru-RU"/>
        </w:rPr>
        <w:lastRenderedPageBreak/>
        <w:t>поводу затрат, Соединенные Штаты возьмут на себя обязательства по финансированию любых дополнительных, не предусмотренных в бюджете расходов, связанных с проведением Конференции в Женеве. Эта беспрецедентная ситуация также свидетельствует об отсутствии официальных процессов и процедур для проведения конференций МСЭ, в частности при выборе из множества заявок. В отсутствии формального и прозрачного процесса решение провести ВКР-27 в Женеве как в нейтральном месте представляет собой наилучший выход из ситуации.</w:t>
      </w:r>
    </w:p>
    <w:p w14:paraId="6D15AA16" w14:textId="3DD36E3B" w:rsidR="00B3077D" w:rsidRPr="00D01585" w:rsidRDefault="00B3077D" w:rsidP="00B3077D">
      <w:pPr>
        <w:rPr>
          <w:lang w:val="ru-RU"/>
        </w:rPr>
      </w:pPr>
      <w:r w:rsidRPr="00D01585">
        <w:rPr>
          <w:lang w:val="ru-RU"/>
        </w:rPr>
        <w:t>3.5</w:t>
      </w:r>
      <w:r w:rsidRPr="00D01585">
        <w:rPr>
          <w:lang w:val="ru-RU"/>
        </w:rPr>
        <w:tab/>
        <w:t>Одн</w:t>
      </w:r>
      <w:r w:rsidR="001561F9" w:rsidRPr="00D01585">
        <w:rPr>
          <w:lang w:val="ru-RU"/>
        </w:rPr>
        <w:t>а</w:t>
      </w:r>
      <w:r w:rsidRPr="00D01585">
        <w:rPr>
          <w:lang w:val="ru-RU"/>
        </w:rPr>
        <w:t xml:space="preserve"> из Советников говорит, что не следует рассматривать Документ C25/101; он был представлен после установленного предельного срока и включен в повестку дня вопреки желанию некоторых Советников.</w:t>
      </w:r>
    </w:p>
    <w:p w14:paraId="732AF89D" w14:textId="3F0695DB" w:rsidR="00B3077D" w:rsidRPr="00D01585" w:rsidRDefault="00B3077D" w:rsidP="00B3077D">
      <w:pPr>
        <w:rPr>
          <w:lang w:val="ru-RU"/>
        </w:rPr>
      </w:pPr>
      <w:r w:rsidRPr="00D01585">
        <w:rPr>
          <w:lang w:val="ru-RU"/>
        </w:rPr>
        <w:t>3.6</w:t>
      </w:r>
      <w:r w:rsidRPr="00D01585">
        <w:rPr>
          <w:lang w:val="ru-RU"/>
        </w:rPr>
        <w:tab/>
        <w:t>Несколько Советников и наблюдателей говорят, что, поскольку Китай отвечает основным требованиям, установленным МСЭ, и является единственной приглашающей страной, в качестве места проведения ВКР-27 и связанных с ней мероприятий следует утвердить Шанхай. Нет причин отходить от установившейся практики принятия любых отвечающих условиям заявок на проведение крупной конференции; это создало бы опасный прецедент, особенно в условиях серьезных финансовых ограничений. Китай не только облегчит финансовое бремя Союза, но и окажет финансовую поддержку развивающимся странам. Важно, чтобы решения, касающиеся места проведения, основывались на принципах открытости, справедливости и равных возможностей. Не менее важным является географическое представительство; это будет первая ВКР, которая пройдет в Азиатско</w:t>
      </w:r>
      <w:r w:rsidR="00BE6584" w:rsidRPr="00D01585">
        <w:rPr>
          <w:lang w:val="ru-RU"/>
        </w:rPr>
        <w:t>-</w:t>
      </w:r>
      <w:r w:rsidRPr="00D01585">
        <w:rPr>
          <w:lang w:val="ru-RU"/>
        </w:rPr>
        <w:t>Тихоокеанском регионе, в то время как Женева уже принимала у себя многие конференции. Кроме того, Китай имеет большой опыт успешного проведения крупных международных мероприятий. Один из наблюдателей отмечает, что обоснование для проведения конференции в Женеве, приведенное в Документе C25/101, отличается от обоснования, изложенного Советником от Соединенных Штатов Америки в устной форме. Это</w:t>
      </w:r>
      <w:r w:rsidR="00DD7CB2" w:rsidRPr="00D01585">
        <w:rPr>
          <w:lang w:val="ru-RU"/>
        </w:rPr>
        <w:t> </w:t>
      </w:r>
      <w:r w:rsidRPr="00D01585">
        <w:rPr>
          <w:lang w:val="ru-RU"/>
        </w:rPr>
        <w:t>решение не должно подвергаться политизации.</w:t>
      </w:r>
    </w:p>
    <w:p w14:paraId="52908B28" w14:textId="66232968" w:rsidR="00B3077D" w:rsidRPr="00D01585" w:rsidRDefault="00B3077D" w:rsidP="00B3077D">
      <w:pPr>
        <w:rPr>
          <w:lang w:val="ru-RU"/>
        </w:rPr>
      </w:pPr>
      <w:r w:rsidRPr="00D01585">
        <w:rPr>
          <w:lang w:val="ru-RU"/>
        </w:rPr>
        <w:t>3.7</w:t>
      </w:r>
      <w:r w:rsidRPr="00D01585">
        <w:rPr>
          <w:lang w:val="ru-RU"/>
        </w:rPr>
        <w:tab/>
        <w:t>Несколько других советников отмечают беспрецедентность ситуации с поступлением двух конкурирующих заявок и подчеркивают необходимость официального, основанного на</w:t>
      </w:r>
      <w:r w:rsidR="00AB07BC">
        <w:rPr>
          <w:lang w:val="ru-RU"/>
        </w:rPr>
        <w:t> </w:t>
      </w:r>
      <w:r w:rsidRPr="00D01585">
        <w:rPr>
          <w:lang w:val="ru-RU"/>
        </w:rPr>
        <w:t>совместной работе и прозрачного процесса подачи заявок на проведение будущих конференций МСЭ. Выражается надежда, что до разработки подобной процедуры в случае отсутствия соглашения о месте проведения будет достигнут консенсус по проведению ВКР-27 в</w:t>
      </w:r>
      <w:r w:rsidR="00AB07BC">
        <w:rPr>
          <w:lang w:val="ru-RU"/>
        </w:rPr>
        <w:t> </w:t>
      </w:r>
      <w:r w:rsidRPr="00D01585">
        <w:rPr>
          <w:lang w:val="ru-RU"/>
        </w:rPr>
        <w:t>Женеве — варианте по умолчанию, который обеспечит институциональную преемственность и близость к штаб-квартире МСЭ.</w:t>
      </w:r>
    </w:p>
    <w:p w14:paraId="0E375B92" w14:textId="490BB2BB" w:rsidR="00B3077D" w:rsidRPr="00D01585" w:rsidRDefault="00B3077D" w:rsidP="00B3077D">
      <w:pPr>
        <w:rPr>
          <w:lang w:val="ru-RU"/>
        </w:rPr>
      </w:pPr>
      <w:r w:rsidRPr="00D01585">
        <w:rPr>
          <w:lang w:val="ru-RU"/>
        </w:rPr>
        <w:t>3.8</w:t>
      </w:r>
      <w:r w:rsidRPr="00D01585">
        <w:rPr>
          <w:lang w:val="ru-RU"/>
        </w:rPr>
        <w:tab/>
        <w:t xml:space="preserve">Советник от Китая напоминает, что в 2019 и 2023 годах ВКР проводились за пределами Женевы и нет оснований полагать, что </w:t>
      </w:r>
      <w:r w:rsidR="00541C11" w:rsidRPr="00D01585">
        <w:rPr>
          <w:lang w:val="ru-RU"/>
        </w:rPr>
        <w:t>конференцию уставного уровня</w:t>
      </w:r>
      <w:r w:rsidRPr="00D01585">
        <w:rPr>
          <w:lang w:val="ru-RU"/>
        </w:rPr>
        <w:t xml:space="preserve"> нельзя пров</w:t>
      </w:r>
      <w:r w:rsidR="00FB17DB" w:rsidRPr="00D01585">
        <w:rPr>
          <w:lang w:val="ru-RU"/>
        </w:rPr>
        <w:t>одить</w:t>
      </w:r>
      <w:r w:rsidRPr="00D01585">
        <w:rPr>
          <w:lang w:val="ru-RU"/>
        </w:rPr>
        <w:t xml:space="preserve"> в</w:t>
      </w:r>
      <w:r w:rsidR="00AB07BC">
        <w:rPr>
          <w:lang w:val="ru-RU"/>
        </w:rPr>
        <w:t> </w:t>
      </w:r>
      <w:r w:rsidRPr="00D01585">
        <w:rPr>
          <w:lang w:val="ru-RU"/>
        </w:rPr>
        <w:t>другом месте. Как отмечается в Документе C25/58, МСЭ забронировал МЦКЖ в Женеве на</w:t>
      </w:r>
      <w:r w:rsidR="00AB07BC">
        <w:rPr>
          <w:lang w:val="ru-RU"/>
        </w:rPr>
        <w:t> </w:t>
      </w:r>
      <w:r w:rsidRPr="00D01585">
        <w:rPr>
          <w:lang w:val="ru-RU"/>
        </w:rPr>
        <w:t>случай, если от Государств-Членов не поступит приглашений принять ВКР-27 и связанные с</w:t>
      </w:r>
      <w:r w:rsidR="00AB07BC">
        <w:rPr>
          <w:lang w:val="ru-RU"/>
        </w:rPr>
        <w:t> </w:t>
      </w:r>
      <w:r w:rsidRPr="00D01585">
        <w:rPr>
          <w:lang w:val="ru-RU"/>
        </w:rPr>
        <w:t>ней мероприятия, но, поскольку Китай направил приглашение, бронирование МЦКЖ может быть отменено.</w:t>
      </w:r>
      <w:r w:rsidR="00274961" w:rsidRPr="00D01585">
        <w:rPr>
          <w:lang w:val="ru-RU"/>
        </w:rPr>
        <w:t xml:space="preserve"> Она также напоминает, что в опубликованном 3 мая 2024 года Документе</w:t>
      </w:r>
      <w:r w:rsidR="00E06CF9" w:rsidRPr="00D01585">
        <w:rPr>
          <w:lang w:val="ru-RU"/>
        </w:rPr>
        <w:t> </w:t>
      </w:r>
      <w:r w:rsidR="00274961" w:rsidRPr="00D01585">
        <w:rPr>
          <w:lang w:val="ru-RU"/>
        </w:rPr>
        <w:t>C24/64 о подготовке к ВКР-27 какие-либо приглашения от Государств-Членов не</w:t>
      </w:r>
      <w:r w:rsidR="00AB07BC">
        <w:rPr>
          <w:lang w:val="ru-RU"/>
        </w:rPr>
        <w:t> </w:t>
      </w:r>
      <w:r w:rsidR="00274961" w:rsidRPr="00D01585">
        <w:rPr>
          <w:lang w:val="ru-RU"/>
        </w:rPr>
        <w:t xml:space="preserve">упоминаются. 31 мая 2024 года, после того как Китай направил в </w:t>
      </w:r>
      <w:r w:rsidR="00F335AF" w:rsidRPr="00D01585">
        <w:rPr>
          <w:lang w:val="ru-RU"/>
        </w:rPr>
        <w:t xml:space="preserve">Секретариат </w:t>
      </w:r>
      <w:r w:rsidR="00274961" w:rsidRPr="00D01585">
        <w:rPr>
          <w:lang w:val="ru-RU"/>
        </w:rPr>
        <w:t>МСЭ письмо с</w:t>
      </w:r>
      <w:r w:rsidR="00AB07BC">
        <w:rPr>
          <w:lang w:val="ru-RU"/>
        </w:rPr>
        <w:t> </w:t>
      </w:r>
      <w:r w:rsidR="00274961" w:rsidRPr="00D01585">
        <w:rPr>
          <w:lang w:val="ru-RU"/>
        </w:rPr>
        <w:t>заявкой на проведение ВКР-27, в обновленной версии указанного выше документа</w:t>
      </w:r>
      <w:r w:rsidR="00AB07BC">
        <w:rPr>
          <w:lang w:val="ru-RU"/>
        </w:rPr>
        <w:t> </w:t>
      </w:r>
      <w:r w:rsidR="00274961" w:rsidRPr="00D01585">
        <w:rPr>
          <w:lang w:val="ru-RU"/>
        </w:rPr>
        <w:t>(C24/64(Rev.1)) впервые появились письма-приглашения от двух стран</w:t>
      </w:r>
      <w:r w:rsidR="00AB07BC">
        <w:rPr>
          <w:lang w:val="ru-RU"/>
        </w:rPr>
        <w:t> </w:t>
      </w:r>
      <w:r w:rsidR="00274961" w:rsidRPr="00D01585">
        <w:rPr>
          <w:lang w:val="ru-RU"/>
        </w:rPr>
        <w:t>– Руанды и</w:t>
      </w:r>
      <w:r w:rsidR="00AB07BC">
        <w:rPr>
          <w:lang w:val="ru-RU"/>
        </w:rPr>
        <w:t> </w:t>
      </w:r>
      <w:r w:rsidR="00274961" w:rsidRPr="00D01585">
        <w:rPr>
          <w:lang w:val="ru-RU"/>
        </w:rPr>
        <w:t xml:space="preserve">Китая. Такой ситуации можно было бы избежать, если бы </w:t>
      </w:r>
      <w:r w:rsidR="00F335AF" w:rsidRPr="00D01585">
        <w:rPr>
          <w:lang w:val="ru-RU"/>
        </w:rPr>
        <w:t xml:space="preserve">Секретариат </w:t>
      </w:r>
      <w:r w:rsidR="00274961" w:rsidRPr="00D01585">
        <w:rPr>
          <w:lang w:val="ru-RU"/>
        </w:rPr>
        <w:t>своевременно сообщил Государствам-Членам о письмах-приглашениях. Она выражает надежду на то, что</w:t>
      </w:r>
      <w:r w:rsidR="00AB07BC">
        <w:rPr>
          <w:lang w:val="ru-RU"/>
        </w:rPr>
        <w:t> </w:t>
      </w:r>
      <w:r w:rsidR="00274961" w:rsidRPr="00D01585">
        <w:rPr>
          <w:lang w:val="ru-RU"/>
        </w:rPr>
        <w:t>другие Государства-Члены полностью осознают трудности, с которыми сталкивается Китай, и масштабы усилий, которые уже были приложены, и призывает Государства-Члены следовать существующим правилам, поддержав проведение ВКР-27 в Китае.</w:t>
      </w:r>
    </w:p>
    <w:p w14:paraId="7CC0A1F0" w14:textId="181C2A82" w:rsidR="00B3077D" w:rsidRPr="00D01585" w:rsidRDefault="00B3077D" w:rsidP="00B3077D">
      <w:pPr>
        <w:rPr>
          <w:lang w:val="ru-RU"/>
        </w:rPr>
      </w:pPr>
      <w:r w:rsidRPr="00D01585">
        <w:rPr>
          <w:lang w:val="ru-RU"/>
        </w:rPr>
        <w:lastRenderedPageBreak/>
        <w:t>3.9</w:t>
      </w:r>
      <w:r w:rsidRPr="00D01585">
        <w:rPr>
          <w:lang w:val="ru-RU"/>
        </w:rPr>
        <w:tab/>
        <w:t>Советник по правовым вопросам, отвечая на процедурные вопросы Советников, сообщает, что основные документы МСЭ не содержат кодифицированной процедуры для рассмотрения ситуации, когда два или более Государства-Члена представили конкурирующие предложения о проведении конференции. Решение о проведении конференции в стране, направившей приглашение, представляет собой многоэтапный процесс, юридически закрепленный в статье 3 Конвенции МСЭ и основывающийся на Резолюции 5 (Киото, 1994</w:t>
      </w:r>
      <w:r w:rsidR="00AB07BC">
        <w:rPr>
          <w:lang w:val="en-US"/>
        </w:rPr>
        <w:t> </w:t>
      </w:r>
      <w:r w:rsidR="00AB07BC">
        <w:rPr>
          <w:lang w:val="ru-RU"/>
        </w:rPr>
        <w:t>г.</w:t>
      </w:r>
      <w:r w:rsidRPr="00D01585">
        <w:rPr>
          <w:lang w:val="ru-RU"/>
        </w:rPr>
        <w:t xml:space="preserve">) Полномочной конференции, касающейся приглашений на проведение конференций или собраний вне Женевы. Ключевыми этапами процесса являются определение Советом места и дат проведения конференции, решение по которым затем должно быть подтверждено большинством Государств-Членов. После завершения процедуры </w:t>
      </w:r>
      <w:r w:rsidR="00F335AF" w:rsidRPr="00D01585">
        <w:rPr>
          <w:lang w:val="ru-RU"/>
        </w:rPr>
        <w:t xml:space="preserve">Секретариат </w:t>
      </w:r>
      <w:r w:rsidRPr="00D01585">
        <w:rPr>
          <w:lang w:val="ru-RU"/>
        </w:rPr>
        <w:t>оформляет официальное соглашение с принимающей страной.</w:t>
      </w:r>
    </w:p>
    <w:p w14:paraId="05117358" w14:textId="72F44DB6" w:rsidR="00B3077D" w:rsidRPr="00D01585" w:rsidRDefault="00B3077D" w:rsidP="00B3077D">
      <w:pPr>
        <w:rPr>
          <w:lang w:val="ru-RU"/>
        </w:rPr>
      </w:pPr>
      <w:r w:rsidRPr="00D01585">
        <w:rPr>
          <w:lang w:val="ru-RU"/>
        </w:rPr>
        <w:t>3.10</w:t>
      </w:r>
      <w:r w:rsidRPr="00D01585">
        <w:rPr>
          <w:lang w:val="ru-RU"/>
        </w:rPr>
        <w:tab/>
        <w:t>Председатель предлагает провести неофициальные консультации и представить результаты этих консультаций следующему пленарному заседанию.</w:t>
      </w:r>
    </w:p>
    <w:p w14:paraId="0982B3E4" w14:textId="268261F2" w:rsidR="00B3077D" w:rsidRPr="00D01585" w:rsidRDefault="00B3077D" w:rsidP="00B3077D">
      <w:pPr>
        <w:rPr>
          <w:lang w:val="ru-RU"/>
        </w:rPr>
      </w:pPr>
      <w:r w:rsidRPr="00D01585">
        <w:rPr>
          <w:lang w:val="ru-RU"/>
        </w:rPr>
        <w:t>3.11</w:t>
      </w:r>
      <w:r w:rsidRPr="00D01585">
        <w:rPr>
          <w:lang w:val="ru-RU"/>
        </w:rPr>
        <w:tab/>
        <w:t xml:space="preserve">Предложение </w:t>
      </w:r>
      <w:r w:rsidRPr="00D01585">
        <w:rPr>
          <w:b/>
          <w:bCs/>
          <w:lang w:val="ru-RU"/>
        </w:rPr>
        <w:t>принимается</w:t>
      </w:r>
      <w:r w:rsidRPr="00D01585">
        <w:rPr>
          <w:lang w:val="ru-RU"/>
        </w:rPr>
        <w:t>.</w:t>
      </w:r>
    </w:p>
    <w:p w14:paraId="763BD8CA" w14:textId="13F9072B" w:rsidR="00B3077D" w:rsidRPr="00D01585" w:rsidRDefault="00B3077D" w:rsidP="00B3077D">
      <w:pPr>
        <w:pStyle w:val="Heading1"/>
        <w:rPr>
          <w:lang w:val="ru-RU"/>
        </w:rPr>
      </w:pPr>
      <w:r w:rsidRPr="00D01585">
        <w:rPr>
          <w:bCs/>
          <w:lang w:val="ru-RU"/>
        </w:rPr>
        <w:t>4</w:t>
      </w:r>
      <w:r w:rsidRPr="00D01585">
        <w:rPr>
          <w:lang w:val="ru-RU"/>
        </w:rPr>
        <w:tab/>
      </w:r>
      <w:r w:rsidRPr="00D01585">
        <w:rPr>
          <w:bCs/>
          <w:lang w:val="ru-RU"/>
        </w:rPr>
        <w:t>Сотрудничество с системой Организации Объединенных Наций и</w:t>
      </w:r>
      <w:r w:rsidR="00AB07BC">
        <w:rPr>
          <w:bCs/>
          <w:lang w:val="en-US"/>
        </w:rPr>
        <w:t> </w:t>
      </w:r>
      <w:r w:rsidRPr="00D01585">
        <w:rPr>
          <w:bCs/>
          <w:lang w:val="ru-RU"/>
        </w:rPr>
        <w:t>другими международными межправительственными процессами, в</w:t>
      </w:r>
      <w:r w:rsidR="00AB07BC">
        <w:rPr>
          <w:bCs/>
          <w:lang w:val="en-US"/>
        </w:rPr>
        <w:t> </w:t>
      </w:r>
      <w:r w:rsidRPr="00D01585">
        <w:rPr>
          <w:bCs/>
          <w:lang w:val="ru-RU"/>
        </w:rPr>
        <w:t>том числе в области разработки стандартов (Документы</w:t>
      </w:r>
      <w:r w:rsidRPr="00D01585">
        <w:rPr>
          <w:lang w:val="ru-RU"/>
        </w:rPr>
        <w:t xml:space="preserve"> </w:t>
      </w:r>
      <w:hyperlink r:id="rId24" w:tgtFrame="_blank" w:history="1">
        <w:r w:rsidRPr="00D01585">
          <w:rPr>
            <w:rStyle w:val="Hyperlink"/>
            <w:lang w:val="ru-RU"/>
          </w:rPr>
          <w:t>C25/70</w:t>
        </w:r>
      </w:hyperlink>
      <w:r w:rsidRPr="00D01585">
        <w:rPr>
          <w:lang w:val="ru-RU"/>
        </w:rPr>
        <w:t xml:space="preserve">, </w:t>
      </w:r>
      <w:hyperlink r:id="rId25" w:tgtFrame="_blank" w:history="1">
        <w:r w:rsidRPr="00D01585">
          <w:rPr>
            <w:rStyle w:val="Hyperlink"/>
            <w:lang w:val="ru-RU"/>
          </w:rPr>
          <w:t>C25/97(Rev.1)</w:t>
        </w:r>
      </w:hyperlink>
      <w:r w:rsidRPr="00D01585">
        <w:rPr>
          <w:lang w:val="ru-RU"/>
        </w:rPr>
        <w:t>)</w:t>
      </w:r>
      <w:hyperlink r:id="rId26" w:tgtFrame="_blank" w:history="1"/>
      <w:hyperlink r:id="rId27" w:tgtFrame="_blank" w:history="1"/>
    </w:p>
    <w:p w14:paraId="70F8A89A" w14:textId="5484EAEA" w:rsidR="00B3077D" w:rsidRPr="00D01585" w:rsidRDefault="00B3077D" w:rsidP="00B3077D">
      <w:pPr>
        <w:rPr>
          <w:lang w:val="ru-RU"/>
        </w:rPr>
      </w:pPr>
      <w:r w:rsidRPr="00D01585">
        <w:rPr>
          <w:lang w:val="ru-RU"/>
        </w:rPr>
        <w:t>4.1</w:t>
      </w:r>
      <w:r w:rsidRPr="00D01585">
        <w:rPr>
          <w:lang w:val="ru-RU"/>
        </w:rPr>
        <w:tab/>
        <w:t>Руководитель Департамента по стратегическому планированию и связям с членами представляет Документ C25/70, в котором освещаются основные моменты вклада МСЭ в крупные конференции, процессы и направления работы Организации Объединенных Наций по цифровым темам, включая последующие меры в связи с Пактом во имя будущего, являющимся итоговым документом Саммита будущего, который прошел в сентябре 2024 года. В документе изложены действия и планы МСЭ по реализации ГЦД и его роль как сопредседателя Рабочей группы по цифровым технологиям (РГЦТ), а также вклад в инициативу ООН-80. Далее в отчете описывается начало реализации Инициативы МСЭ по инвестициям в цифровую инфраструктуру (DIII) и ее вклад в качестве информационно-аналитического партнера Рабочей группы "Группы двадцати" по цифровой экономике (DEWG).</w:t>
      </w:r>
    </w:p>
    <w:p w14:paraId="0E691974" w14:textId="6C5A17D8" w:rsidR="00B3077D" w:rsidRPr="00D01585" w:rsidRDefault="00B3077D" w:rsidP="00B3077D">
      <w:pPr>
        <w:rPr>
          <w:lang w:val="ru-RU"/>
        </w:rPr>
      </w:pPr>
      <w:r w:rsidRPr="00D01585">
        <w:rPr>
          <w:lang w:val="ru-RU"/>
        </w:rPr>
        <w:t>4.2</w:t>
      </w:r>
      <w:r w:rsidRPr="00D01585">
        <w:rPr>
          <w:lang w:val="ru-RU"/>
        </w:rPr>
        <w:tab/>
        <w:t>Советник от Южно-Африканской Республики представляет Документ C25/97(Rev.1), в</w:t>
      </w:r>
      <w:r w:rsidR="00AB07BC">
        <w:rPr>
          <w:lang w:val="ru-RU"/>
        </w:rPr>
        <w:t> </w:t>
      </w:r>
      <w:r w:rsidRPr="00D01585">
        <w:rPr>
          <w:lang w:val="ru-RU"/>
        </w:rPr>
        <w:t xml:space="preserve">котором содержится обновленная информация о председательстве Южно-Африканской Республики в "Группе двадцати" с акцентом на работу DEWG. Первоочередной задачей DEWG является расширение возможности установления соединений для открытого для всех цифрового развития в соответствии с решениями Всемирной встречи на высшем уровне по вопросам информационного общества; будет разработана структура, помогающая странам выявлять и устранять препятствия, мешающие реальной возможности установления соединений. Вторым приоритетом является создание основы для более эффективной оценки общественной значимости цифровой инфраструктуры общего пользования. К числу других инициатив относится оказание помощи малым, средним и микропредприятиям в адаптации к технологическим тенденциям и участии в цифровой экономике. Была сформирована целевая группа по воздействию ИИ на процесс развития и рассматривается вопрос о проведении семинара-практикума по использованию </w:t>
      </w:r>
      <w:proofErr w:type="spellStart"/>
      <w:r w:rsidRPr="00D01585">
        <w:rPr>
          <w:lang w:val="ru-RU"/>
        </w:rPr>
        <w:t>дипфейковых</w:t>
      </w:r>
      <w:proofErr w:type="spellEnd"/>
      <w:r w:rsidRPr="00D01585">
        <w:rPr>
          <w:lang w:val="ru-RU"/>
        </w:rPr>
        <w:t xml:space="preserve"> материалов в социальных сетях. МСЭ оказал ценную поддержку DEWG и Рабочей группе по снижению риска бедствий.</w:t>
      </w:r>
    </w:p>
    <w:p w14:paraId="71023434" w14:textId="71C07618" w:rsidR="00B3077D" w:rsidRPr="00D01585" w:rsidRDefault="00B3077D" w:rsidP="00B3077D">
      <w:pPr>
        <w:rPr>
          <w:lang w:val="ru-RU"/>
        </w:rPr>
      </w:pPr>
      <w:r w:rsidRPr="00D01585">
        <w:rPr>
          <w:lang w:val="ru-RU"/>
        </w:rPr>
        <w:t>4.3</w:t>
      </w:r>
      <w:r w:rsidRPr="00D01585">
        <w:rPr>
          <w:lang w:val="ru-RU"/>
        </w:rPr>
        <w:tab/>
        <w:t>Советники выражают признательность за отчет, содержащийся в Документе C25/70, и</w:t>
      </w:r>
      <w:r w:rsidR="00AB07BC">
        <w:rPr>
          <w:lang w:val="ru-RU"/>
        </w:rPr>
        <w:t> </w:t>
      </w:r>
      <w:r w:rsidRPr="00D01585">
        <w:rPr>
          <w:lang w:val="ru-RU"/>
        </w:rPr>
        <w:t>за вклад МСЭ в рамках ГЦД в работу DEWG и четвертой Международной конференции по финансированию развития; однако один из Советников призывает включать в будущие отчеты ссылки на более подробную информацию о результатах сотрудничества МСЭ в рамках системы Организации Объединенных Наций.</w:t>
      </w:r>
    </w:p>
    <w:p w14:paraId="7C99B083" w14:textId="365768A5" w:rsidR="00B3077D" w:rsidRPr="00D01585" w:rsidRDefault="00B3077D" w:rsidP="00B3077D">
      <w:pPr>
        <w:rPr>
          <w:lang w:val="ru-RU"/>
        </w:rPr>
      </w:pPr>
      <w:r w:rsidRPr="00D01585">
        <w:rPr>
          <w:lang w:val="ru-RU"/>
        </w:rPr>
        <w:lastRenderedPageBreak/>
        <w:t>4.4</w:t>
      </w:r>
      <w:r w:rsidRPr="00D01585">
        <w:rPr>
          <w:lang w:val="ru-RU"/>
        </w:rPr>
        <w:tab/>
        <w:t>Один из Советников подчеркивает необходимость достижения ощутимых результатов в области установления соединений, шифрования и инноваций при одновременном обеспечении равного участия развивающихся стран во всех механизмах ГЦД, с тем чтобы глобальные цифровые нормы и рамки отражали потребности всех регионов. Он также призывает к усилению инициатив по расширению прав и возможностей женщин и молодежи, что будет иметь решающее значение для достижения всеобъемлющей цифровой трансформации.</w:t>
      </w:r>
    </w:p>
    <w:p w14:paraId="2F159B16" w14:textId="467E0AE9" w:rsidR="00B3077D" w:rsidRPr="00D01585" w:rsidRDefault="00B3077D" w:rsidP="00B3077D">
      <w:pPr>
        <w:rPr>
          <w:lang w:val="ru-RU"/>
        </w:rPr>
      </w:pPr>
      <w:r w:rsidRPr="00D01585">
        <w:rPr>
          <w:lang w:val="ru-RU"/>
        </w:rPr>
        <w:t>4.5</w:t>
      </w:r>
      <w:r w:rsidRPr="00D01585">
        <w:rPr>
          <w:lang w:val="ru-RU"/>
        </w:rPr>
        <w:tab/>
        <w:t>Один из наблюдателей отмечает, что Пакт во имя будущего не был поддержан всеми государствами – членами Организации Объединенных Наций, и просит отразить в отчете мнения всех Государств – Членов МСЭ. Любые решения, принимаемые в рамках инициативы ООН-80, в частности о пересмотре мандатов и структур, должны основываться на мнениях Государств-Членов. Он также просит представить подробную информацию о финансовых последствиях инициатив, упомянутых в Документе C25/70, и информацию о том, как эти инициативы согласуются с целями Союза.</w:t>
      </w:r>
    </w:p>
    <w:p w14:paraId="6AEB5A74" w14:textId="77777777" w:rsidR="00B3077D" w:rsidRPr="00D01585" w:rsidRDefault="00B3077D" w:rsidP="00B3077D">
      <w:pPr>
        <w:rPr>
          <w:lang w:val="ru-RU"/>
        </w:rPr>
      </w:pPr>
      <w:r w:rsidRPr="00D01585">
        <w:rPr>
          <w:lang w:val="ru-RU"/>
        </w:rPr>
        <w:t>4.6</w:t>
      </w:r>
      <w:r w:rsidRPr="00D01585">
        <w:rPr>
          <w:lang w:val="ru-RU"/>
        </w:rPr>
        <w:tab/>
        <w:t xml:space="preserve">Совет </w:t>
      </w:r>
      <w:r w:rsidRPr="00D01585">
        <w:rPr>
          <w:b/>
          <w:bCs/>
          <w:lang w:val="ru-RU"/>
        </w:rPr>
        <w:t xml:space="preserve">принимает к сведению </w:t>
      </w:r>
      <w:r w:rsidRPr="00D01585">
        <w:rPr>
          <w:lang w:val="ru-RU"/>
        </w:rPr>
        <w:t>отчеты, содержащиеся в Документах C25/70 и C25/97(Rev.1).</w:t>
      </w:r>
    </w:p>
    <w:p w14:paraId="61FA0E92" w14:textId="77777777" w:rsidR="00B3077D" w:rsidRPr="00D01585" w:rsidRDefault="00B3077D" w:rsidP="00B3077D">
      <w:pPr>
        <w:pStyle w:val="Heading1"/>
        <w:rPr>
          <w:lang w:val="ru-RU"/>
        </w:rPr>
      </w:pPr>
      <w:r w:rsidRPr="00D01585">
        <w:rPr>
          <w:bCs/>
          <w:lang w:val="ru-RU"/>
        </w:rPr>
        <w:t>5</w:t>
      </w:r>
      <w:r w:rsidRPr="00D01585">
        <w:rPr>
          <w:lang w:val="ru-RU"/>
        </w:rPr>
        <w:tab/>
      </w:r>
      <w:r w:rsidRPr="00D01585">
        <w:rPr>
          <w:bCs/>
          <w:lang w:val="ru-RU"/>
        </w:rPr>
        <w:t xml:space="preserve">Письмо от администрации Индии относительно Полномочной конференции 2030 года (Документы </w:t>
      </w:r>
      <w:hyperlink r:id="rId28" w:history="1">
        <w:r w:rsidRPr="00D01585">
          <w:rPr>
            <w:rStyle w:val="Hyperlink"/>
            <w:lang w:val="ru-RU"/>
          </w:rPr>
          <w:t>C25/19</w:t>
        </w:r>
      </w:hyperlink>
      <w:r w:rsidRPr="00D01585">
        <w:rPr>
          <w:lang w:val="ru-RU"/>
        </w:rPr>
        <w:t xml:space="preserve">, </w:t>
      </w:r>
      <w:hyperlink r:id="rId29" w:history="1">
        <w:r w:rsidRPr="00D01585">
          <w:rPr>
            <w:rStyle w:val="Hyperlink"/>
            <w:lang w:val="ru-RU"/>
          </w:rPr>
          <w:t>C25/73</w:t>
        </w:r>
      </w:hyperlink>
      <w:r w:rsidRPr="00D01585">
        <w:rPr>
          <w:lang w:val="ru-RU"/>
        </w:rPr>
        <w:t>)</w:t>
      </w:r>
      <w:hyperlink r:id="rId30" w:history="1"/>
      <w:hyperlink r:id="rId31" w:history="1"/>
    </w:p>
    <w:p w14:paraId="510DEFBF" w14:textId="221B29BE" w:rsidR="00B3077D" w:rsidRPr="00D01585" w:rsidRDefault="00B3077D" w:rsidP="00B3077D">
      <w:pPr>
        <w:rPr>
          <w:lang w:val="ru-RU"/>
        </w:rPr>
      </w:pPr>
      <w:r w:rsidRPr="00D01585">
        <w:rPr>
          <w:lang w:val="ru-RU"/>
        </w:rPr>
        <w:t>5.1</w:t>
      </w:r>
      <w:r w:rsidRPr="00D01585">
        <w:rPr>
          <w:lang w:val="ru-RU"/>
        </w:rPr>
        <w:tab/>
        <w:t>Председатель обращает внимание на Документ C25/19, в котором содержится письмо правительства Индии с выражением заинтересованности в проведении у себя Полномочной конференции 2030 года (ПК-30).</w:t>
      </w:r>
    </w:p>
    <w:p w14:paraId="1EB36421" w14:textId="4D3C6C7F" w:rsidR="00B3077D" w:rsidRPr="00D01585" w:rsidRDefault="00B3077D" w:rsidP="00B3077D">
      <w:pPr>
        <w:rPr>
          <w:lang w:val="ru-RU"/>
        </w:rPr>
      </w:pPr>
      <w:r w:rsidRPr="00D01585">
        <w:rPr>
          <w:lang w:val="ru-RU"/>
        </w:rPr>
        <w:t>5.2</w:t>
      </w:r>
      <w:r w:rsidRPr="00D01585">
        <w:rPr>
          <w:lang w:val="ru-RU"/>
        </w:rPr>
        <w:tab/>
        <w:t>Советник от Индии представляет Документ C25/73, в котором содержится предложение Индии о проведении у себя ПК-30. Это предложение отражает глубокую приверженность Индии всеобъемлющему прогрессу и совместному цифровому процветанию. Индия успешно принимала ключевые мероприятия МСЭ, включая Всемирную ассамблею по стандартизации электросвязи 2024 года. В предлагаемом месте проведения будут обеспечены инфраструктура мирового класса, бесперебойная связь и исключительное гостеприимство, для того чтобы все участники смогли продуктивно работать, обогащая свой опыт. Индия выразила просьбу о поддержке своего предложения со стороны Государств-Членов.</w:t>
      </w:r>
    </w:p>
    <w:p w14:paraId="6315157C" w14:textId="005EBB19" w:rsidR="00B3077D" w:rsidRPr="00D01585" w:rsidRDefault="00B3077D" w:rsidP="00B3077D">
      <w:pPr>
        <w:rPr>
          <w:lang w:val="ru-RU"/>
        </w:rPr>
      </w:pPr>
      <w:r w:rsidRPr="00D01585">
        <w:rPr>
          <w:lang w:val="ru-RU"/>
        </w:rPr>
        <w:t>5.3</w:t>
      </w:r>
      <w:r w:rsidRPr="00D01585">
        <w:rPr>
          <w:lang w:val="ru-RU"/>
        </w:rPr>
        <w:tab/>
        <w:t>Председатель предлагает Совету продолжить обсуждение этого вопроса на одном из последующих пленарных заседаний.</w:t>
      </w:r>
    </w:p>
    <w:p w14:paraId="3AE62B89" w14:textId="77777777" w:rsidR="00B3077D" w:rsidRPr="00D01585" w:rsidRDefault="00B3077D" w:rsidP="00B3077D">
      <w:pPr>
        <w:rPr>
          <w:lang w:val="ru-RU"/>
        </w:rPr>
      </w:pPr>
      <w:r w:rsidRPr="00D01585">
        <w:rPr>
          <w:lang w:val="ru-RU"/>
        </w:rPr>
        <w:t>5.4</w:t>
      </w:r>
      <w:r w:rsidRPr="00D01585">
        <w:rPr>
          <w:lang w:val="ru-RU"/>
        </w:rPr>
        <w:tab/>
        <w:t xml:space="preserve">Предложение </w:t>
      </w:r>
      <w:r w:rsidRPr="00D01585">
        <w:rPr>
          <w:b/>
          <w:bCs/>
          <w:lang w:val="ru-RU"/>
        </w:rPr>
        <w:t>принимается</w:t>
      </w:r>
      <w:r w:rsidRPr="00D01585">
        <w:rPr>
          <w:lang w:val="ru-RU"/>
        </w:rPr>
        <w:t>.</w:t>
      </w:r>
    </w:p>
    <w:p w14:paraId="2B20F96B" w14:textId="77777777" w:rsidR="00B3077D" w:rsidRPr="00D01585" w:rsidRDefault="00B3077D" w:rsidP="00B3077D">
      <w:pPr>
        <w:pStyle w:val="Heading1"/>
        <w:rPr>
          <w:lang w:val="ru-RU"/>
        </w:rPr>
      </w:pPr>
      <w:r w:rsidRPr="00D01585">
        <w:rPr>
          <w:bCs/>
          <w:lang w:val="ru-RU"/>
        </w:rPr>
        <w:t>6</w:t>
      </w:r>
      <w:r w:rsidRPr="00D01585">
        <w:rPr>
          <w:lang w:val="ru-RU"/>
        </w:rPr>
        <w:tab/>
      </w:r>
      <w:r w:rsidRPr="00D01585">
        <w:rPr>
          <w:bCs/>
          <w:lang w:val="ru-RU"/>
        </w:rPr>
        <w:t>Заявления Советников и наблюдателей</w:t>
      </w:r>
    </w:p>
    <w:p w14:paraId="2B0D3EC3" w14:textId="77777777" w:rsidR="00B3077D" w:rsidRPr="00D01585" w:rsidRDefault="00B3077D" w:rsidP="00B3077D">
      <w:pPr>
        <w:rPr>
          <w:lang w:val="ru-RU"/>
        </w:rPr>
      </w:pPr>
      <w:r w:rsidRPr="00D01585">
        <w:rPr>
          <w:lang w:val="ru-RU"/>
        </w:rPr>
        <w:t>6.1</w:t>
      </w:r>
      <w:r w:rsidRPr="00D01585">
        <w:rPr>
          <w:lang w:val="ru-RU"/>
        </w:rPr>
        <w:tab/>
        <w:t>Советники от Малайзии, Франции и Таиланда предлагают кандидатуры своих стран для переизбрания в Совет.</w:t>
      </w:r>
    </w:p>
    <w:p w14:paraId="362D7DDB" w14:textId="3AB9AE41" w:rsidR="00B3077D" w:rsidRPr="00D01585" w:rsidRDefault="00B3077D" w:rsidP="00B3077D">
      <w:pPr>
        <w:rPr>
          <w:lang w:val="ru-RU"/>
        </w:rPr>
      </w:pPr>
      <w:r w:rsidRPr="00D01585">
        <w:rPr>
          <w:lang w:val="ru-RU"/>
        </w:rPr>
        <w:t>6.2</w:t>
      </w:r>
      <w:r w:rsidRPr="00D01585">
        <w:rPr>
          <w:lang w:val="ru-RU"/>
        </w:rPr>
        <w:tab/>
        <w:t xml:space="preserve">Наблюдатель от Узбекистана объявляет о выдвижении кандидатуры своей страны для избрания в Совет и кандидатуры г-на Усманова для избрания членом </w:t>
      </w:r>
      <w:proofErr w:type="spellStart"/>
      <w:r w:rsidRPr="00D01585">
        <w:rPr>
          <w:lang w:val="ru-RU"/>
        </w:rPr>
        <w:t>Радиорегламентарного</w:t>
      </w:r>
      <w:proofErr w:type="spellEnd"/>
      <w:r w:rsidRPr="00D01585">
        <w:rPr>
          <w:lang w:val="ru-RU"/>
        </w:rPr>
        <w:t> комитета.</w:t>
      </w:r>
    </w:p>
    <w:p w14:paraId="0A420B2F" w14:textId="77777777" w:rsidR="00B3077D" w:rsidRPr="00D01585" w:rsidRDefault="00B3077D" w:rsidP="00DD7CB2">
      <w:pPr>
        <w:tabs>
          <w:tab w:val="left" w:pos="6237"/>
        </w:tabs>
        <w:spacing w:before="840"/>
        <w:jc w:val="both"/>
        <w:rPr>
          <w:szCs w:val="24"/>
          <w:lang w:val="ru-RU"/>
        </w:rPr>
      </w:pPr>
      <w:r w:rsidRPr="00D01585">
        <w:rPr>
          <w:lang w:val="ru-RU"/>
        </w:rPr>
        <w:t>Генеральный секретарь:</w:t>
      </w:r>
      <w:r w:rsidRPr="00D01585">
        <w:rPr>
          <w:lang w:val="ru-RU"/>
        </w:rPr>
        <w:tab/>
        <w:t>Председатель:</w:t>
      </w:r>
    </w:p>
    <w:p w14:paraId="22B3CEA3" w14:textId="258A1A20" w:rsidR="00B3077D" w:rsidRPr="00D01585" w:rsidRDefault="00B3077D" w:rsidP="00225C9A">
      <w:pPr>
        <w:tabs>
          <w:tab w:val="clear" w:pos="794"/>
          <w:tab w:val="clear" w:pos="1191"/>
          <w:tab w:val="clear" w:pos="1588"/>
          <w:tab w:val="clear" w:pos="1985"/>
          <w:tab w:val="left" w:pos="6237"/>
        </w:tabs>
        <w:spacing w:before="0" w:after="120"/>
        <w:jc w:val="both"/>
        <w:rPr>
          <w:szCs w:val="24"/>
          <w:lang w:val="ru-RU"/>
        </w:rPr>
      </w:pPr>
      <w:r w:rsidRPr="00D01585">
        <w:rPr>
          <w:lang w:val="ru-RU"/>
        </w:rPr>
        <w:t>Д. БОГДАН-МАРТИН</w:t>
      </w:r>
      <w:r w:rsidRPr="00D01585">
        <w:rPr>
          <w:lang w:val="ru-RU"/>
        </w:rPr>
        <w:tab/>
      </w:r>
      <w:r w:rsidR="00D91867" w:rsidRPr="00D01585">
        <w:rPr>
          <w:lang w:val="ru-RU"/>
        </w:rPr>
        <w:t>К</w:t>
      </w:r>
      <w:r w:rsidRPr="00D01585">
        <w:rPr>
          <w:lang w:val="ru-RU"/>
        </w:rPr>
        <w:t>. ФЛУТУР</w:t>
      </w:r>
    </w:p>
    <w:sectPr w:rsidR="00B3077D" w:rsidRPr="00D01585" w:rsidSect="00796BD3">
      <w:footerReference w:type="default" r:id="rId32"/>
      <w:headerReference w:type="first" r:id="rId33"/>
      <w:footerReference w:type="first" r:id="rId3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44E4" w14:textId="77777777" w:rsidR="00F7201A" w:rsidRDefault="00F7201A">
      <w:r>
        <w:separator/>
      </w:r>
    </w:p>
  </w:endnote>
  <w:endnote w:type="continuationSeparator" w:id="0">
    <w:p w14:paraId="35A946B1" w14:textId="77777777" w:rsidR="00F7201A" w:rsidRDefault="00F7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5D907B7C" w14:textId="77777777" w:rsidTr="00E31DCE">
      <w:trPr>
        <w:jc w:val="center"/>
      </w:trPr>
      <w:tc>
        <w:tcPr>
          <w:tcW w:w="1803" w:type="dxa"/>
          <w:vAlign w:val="center"/>
        </w:tcPr>
        <w:p w14:paraId="472211AB" w14:textId="05FF18CA" w:rsidR="00672F8A" w:rsidRDefault="00672F8A" w:rsidP="00672F8A">
          <w:pPr>
            <w:pStyle w:val="Header"/>
            <w:jc w:val="left"/>
            <w:rPr>
              <w:noProof/>
            </w:rPr>
          </w:pPr>
        </w:p>
      </w:tc>
      <w:tc>
        <w:tcPr>
          <w:tcW w:w="8261" w:type="dxa"/>
        </w:tcPr>
        <w:p w14:paraId="010CA7DD" w14:textId="00C282D8"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345D2A">
            <w:rPr>
              <w:bCs/>
            </w:rPr>
            <w:t>5</w:t>
          </w:r>
          <w:r w:rsidRPr="00623AE3">
            <w:rPr>
              <w:bCs/>
            </w:rPr>
            <w:t>/</w:t>
          </w:r>
          <w:r w:rsidR="00B3077D">
            <w:rPr>
              <w:bCs/>
            </w:rPr>
            <w:t>109</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0ADE38B7"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513814C8" w14:textId="77777777" w:rsidTr="00E31DCE">
      <w:trPr>
        <w:jc w:val="center"/>
      </w:trPr>
      <w:tc>
        <w:tcPr>
          <w:tcW w:w="1803" w:type="dxa"/>
          <w:vAlign w:val="center"/>
        </w:tcPr>
        <w:p w14:paraId="1D345822" w14:textId="77777777" w:rsidR="00672F8A" w:rsidRDefault="00D631AA" w:rsidP="00672F8A">
          <w:pPr>
            <w:pStyle w:val="Header"/>
            <w:jc w:val="left"/>
            <w:rPr>
              <w:noProof/>
            </w:rPr>
          </w:pPr>
          <w:r w:rsidRPr="00D631AA">
            <w:rPr>
              <w:color w:val="0563C1"/>
              <w:szCs w:val="14"/>
            </w:rPr>
            <w:t>council.itu.int/2025</w:t>
          </w:r>
        </w:p>
      </w:tc>
      <w:tc>
        <w:tcPr>
          <w:tcW w:w="8261" w:type="dxa"/>
        </w:tcPr>
        <w:p w14:paraId="7C25CD0B" w14:textId="1B297B5D"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345D2A">
            <w:rPr>
              <w:bCs/>
            </w:rPr>
            <w:t>5</w:t>
          </w:r>
          <w:r w:rsidRPr="00623AE3">
            <w:rPr>
              <w:bCs/>
            </w:rPr>
            <w:t>/</w:t>
          </w:r>
          <w:r w:rsidR="00B3077D">
            <w:rPr>
              <w:bCs/>
            </w:rPr>
            <w:t>109</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6F822B2C"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7B05" w14:textId="77777777" w:rsidR="00F7201A" w:rsidRDefault="00F7201A">
      <w:r>
        <w:t>____________________</w:t>
      </w:r>
    </w:p>
  </w:footnote>
  <w:footnote w:type="continuationSeparator" w:id="0">
    <w:p w14:paraId="46F99390" w14:textId="77777777" w:rsidR="00F7201A" w:rsidRDefault="00F7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9"/>
      <w:gridCol w:w="3661"/>
    </w:tblGrid>
    <w:tr w:rsidR="00156890" w:rsidRPr="00784011" w14:paraId="111A2726" w14:textId="77777777" w:rsidTr="00156890">
      <w:trPr>
        <w:trHeight w:val="1104"/>
        <w:jc w:val="center"/>
      </w:trPr>
      <w:tc>
        <w:tcPr>
          <w:tcW w:w="6359" w:type="dxa"/>
          <w:vAlign w:val="center"/>
        </w:tcPr>
        <w:p w14:paraId="4DD77C2D" w14:textId="77777777" w:rsidR="00156890" w:rsidRDefault="00156890" w:rsidP="00796BD3">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32441BDD" wp14:editId="79EDAADF">
                <wp:extent cx="3901233" cy="612000"/>
                <wp:effectExtent l="0" t="0" r="0" b="0"/>
                <wp:docPr id="1838873251" name="Picture 2"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3251" name="Picture 2"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01233" cy="612000"/>
                        </a:xfrm>
                        <a:prstGeom prst="rect">
                          <a:avLst/>
                        </a:prstGeom>
                      </pic:spPr>
                    </pic:pic>
                  </a:graphicData>
                </a:graphic>
              </wp:inline>
            </w:drawing>
          </w:r>
        </w:p>
      </w:tc>
      <w:tc>
        <w:tcPr>
          <w:tcW w:w="3661" w:type="dxa"/>
        </w:tcPr>
        <w:p w14:paraId="5EC39AE5" w14:textId="77777777" w:rsidR="00156890" w:rsidRDefault="00156890" w:rsidP="00796BD3">
          <w:pPr>
            <w:pStyle w:val="Header"/>
            <w:jc w:val="right"/>
            <w:rPr>
              <w:rFonts w:ascii="Arial" w:hAnsi="Arial" w:cs="Arial"/>
              <w:b/>
              <w:bCs/>
              <w:color w:val="009CD6"/>
              <w:szCs w:val="18"/>
            </w:rPr>
          </w:pPr>
        </w:p>
      </w:tc>
    </w:tr>
  </w:tbl>
  <w:p w14:paraId="335C9C1F" w14:textId="77777777" w:rsidR="0014229E" w:rsidRDefault="00796BD3" w:rsidP="0014229E">
    <w:pPr>
      <w:pStyle w:val="Header"/>
      <w:spacing w:after="24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DC1390E" wp14:editId="68B6944B">
              <wp:simplePos x="0" y="0"/>
              <wp:positionH relativeFrom="page">
                <wp:posOffset>21285</wp:posOffset>
              </wp:positionH>
              <wp:positionV relativeFrom="topMargin">
                <wp:posOffset>629920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F4A58" id="Rectangle 5" o:spid="_x0000_s1026" style="position:absolute;margin-left:1.7pt;margin-top:49.6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7D"/>
    <w:rsid w:val="00005BE0"/>
    <w:rsid w:val="000101B5"/>
    <w:rsid w:val="0002183E"/>
    <w:rsid w:val="000569B4"/>
    <w:rsid w:val="0006007D"/>
    <w:rsid w:val="00072548"/>
    <w:rsid w:val="00080E82"/>
    <w:rsid w:val="000B2DE7"/>
    <w:rsid w:val="000E568E"/>
    <w:rsid w:val="0014229E"/>
    <w:rsid w:val="0014734F"/>
    <w:rsid w:val="001561F9"/>
    <w:rsid w:val="00156890"/>
    <w:rsid w:val="0015710D"/>
    <w:rsid w:val="00163A32"/>
    <w:rsid w:val="00165D06"/>
    <w:rsid w:val="00192B41"/>
    <w:rsid w:val="001B7B09"/>
    <w:rsid w:val="001E6719"/>
    <w:rsid w:val="001E7F50"/>
    <w:rsid w:val="001F6363"/>
    <w:rsid w:val="0020402A"/>
    <w:rsid w:val="00225368"/>
    <w:rsid w:val="00225C9A"/>
    <w:rsid w:val="00227FF0"/>
    <w:rsid w:val="00250D21"/>
    <w:rsid w:val="00274961"/>
    <w:rsid w:val="00291EB6"/>
    <w:rsid w:val="002C3F32"/>
    <w:rsid w:val="002D2F57"/>
    <w:rsid w:val="002D48C5"/>
    <w:rsid w:val="0033025A"/>
    <w:rsid w:val="00336BC4"/>
    <w:rsid w:val="00345D2A"/>
    <w:rsid w:val="003F099E"/>
    <w:rsid w:val="003F235E"/>
    <w:rsid w:val="00401FD7"/>
    <w:rsid w:val="004023E0"/>
    <w:rsid w:val="00403DD8"/>
    <w:rsid w:val="00442515"/>
    <w:rsid w:val="0045686C"/>
    <w:rsid w:val="0046795E"/>
    <w:rsid w:val="004918C4"/>
    <w:rsid w:val="00497703"/>
    <w:rsid w:val="004A0374"/>
    <w:rsid w:val="004A2E2C"/>
    <w:rsid w:val="004A45B5"/>
    <w:rsid w:val="004D0129"/>
    <w:rsid w:val="00515795"/>
    <w:rsid w:val="00541C11"/>
    <w:rsid w:val="005627CC"/>
    <w:rsid w:val="00576472"/>
    <w:rsid w:val="005A64D5"/>
    <w:rsid w:val="005B3DEC"/>
    <w:rsid w:val="005F6004"/>
    <w:rsid w:val="005F6930"/>
    <w:rsid w:val="00601994"/>
    <w:rsid w:val="00625A22"/>
    <w:rsid w:val="00660449"/>
    <w:rsid w:val="00667CA3"/>
    <w:rsid w:val="00672F8A"/>
    <w:rsid w:val="006B41A2"/>
    <w:rsid w:val="006E2D42"/>
    <w:rsid w:val="00703676"/>
    <w:rsid w:val="00707304"/>
    <w:rsid w:val="00721606"/>
    <w:rsid w:val="00732269"/>
    <w:rsid w:val="00762555"/>
    <w:rsid w:val="0077110E"/>
    <w:rsid w:val="00785ABD"/>
    <w:rsid w:val="00796BD3"/>
    <w:rsid w:val="007A2DD4"/>
    <w:rsid w:val="007D38B5"/>
    <w:rsid w:val="007E7EA0"/>
    <w:rsid w:val="008069F0"/>
    <w:rsid w:val="00807255"/>
    <w:rsid w:val="0081023E"/>
    <w:rsid w:val="008173AA"/>
    <w:rsid w:val="00840A14"/>
    <w:rsid w:val="00846540"/>
    <w:rsid w:val="008B62B4"/>
    <w:rsid w:val="008D2D7B"/>
    <w:rsid w:val="008E0737"/>
    <w:rsid w:val="008F7C2C"/>
    <w:rsid w:val="00940E96"/>
    <w:rsid w:val="00950A82"/>
    <w:rsid w:val="0098355F"/>
    <w:rsid w:val="009910E5"/>
    <w:rsid w:val="00991F6A"/>
    <w:rsid w:val="009922AF"/>
    <w:rsid w:val="009B0BAE"/>
    <w:rsid w:val="009C1C89"/>
    <w:rsid w:val="009F3448"/>
    <w:rsid w:val="00A01CF9"/>
    <w:rsid w:val="00A20B63"/>
    <w:rsid w:val="00A71773"/>
    <w:rsid w:val="00AA5232"/>
    <w:rsid w:val="00AB07BC"/>
    <w:rsid w:val="00AE2C85"/>
    <w:rsid w:val="00B0107F"/>
    <w:rsid w:val="00B12A37"/>
    <w:rsid w:val="00B3077D"/>
    <w:rsid w:val="00B41837"/>
    <w:rsid w:val="00B63EF2"/>
    <w:rsid w:val="00BA7D89"/>
    <w:rsid w:val="00BC0D39"/>
    <w:rsid w:val="00BC7BC0"/>
    <w:rsid w:val="00BD57B7"/>
    <w:rsid w:val="00BE63E2"/>
    <w:rsid w:val="00BE6584"/>
    <w:rsid w:val="00C462C5"/>
    <w:rsid w:val="00CD2009"/>
    <w:rsid w:val="00CF629C"/>
    <w:rsid w:val="00D01585"/>
    <w:rsid w:val="00D631AA"/>
    <w:rsid w:val="00D91867"/>
    <w:rsid w:val="00D92EEA"/>
    <w:rsid w:val="00DA5A1F"/>
    <w:rsid w:val="00DA5D4E"/>
    <w:rsid w:val="00DA770A"/>
    <w:rsid w:val="00DB6B17"/>
    <w:rsid w:val="00DD7CB2"/>
    <w:rsid w:val="00E05752"/>
    <w:rsid w:val="00E06CF9"/>
    <w:rsid w:val="00E176BA"/>
    <w:rsid w:val="00E423EC"/>
    <w:rsid w:val="00E55121"/>
    <w:rsid w:val="00E8694C"/>
    <w:rsid w:val="00E92405"/>
    <w:rsid w:val="00EB4FCB"/>
    <w:rsid w:val="00EC6BC5"/>
    <w:rsid w:val="00F335AF"/>
    <w:rsid w:val="00F348D0"/>
    <w:rsid w:val="00F35898"/>
    <w:rsid w:val="00F5225B"/>
    <w:rsid w:val="00F556CA"/>
    <w:rsid w:val="00F7201A"/>
    <w:rsid w:val="00FB17DB"/>
    <w:rsid w:val="00FD3366"/>
    <w:rsid w:val="00FE5701"/>
    <w:rsid w:val="00FE7A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AFF99"/>
  <w15:docId w15:val="{2A088859-45C9-4F97-AE04-B300DD78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227FF0"/>
    <w:rPr>
      <w:color w:val="0000FF"/>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hAnchor="page" w:x="1821" w:y="2317"/>
      <w:spacing w:before="120" w:after="160"/>
      <w:jc w:val="left"/>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FB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19/en" TargetMode="External"/><Relationship Id="rId18" Type="http://schemas.openxmlformats.org/officeDocument/2006/relationships/hyperlink" Target="https://www.itu.int/md/S25-CL-C-0092/en" TargetMode="External"/><Relationship Id="rId26" Type="http://schemas.openxmlformats.org/officeDocument/2006/relationships/hyperlink" Target="http://www.itu.int/md/S25-CL-C-0070/en" TargetMode="External"/><Relationship Id="rId3" Type="http://schemas.openxmlformats.org/officeDocument/2006/relationships/settings" Target="settings.xml"/><Relationship Id="rId21" Type="http://schemas.openxmlformats.org/officeDocument/2006/relationships/hyperlink" Target="https://www.itu.int/md/S25-CL-C-0058/en" TargetMode="External"/><Relationship Id="rId34" Type="http://schemas.openxmlformats.org/officeDocument/2006/relationships/footer" Target="footer2.xml"/><Relationship Id="rId7" Type="http://schemas.openxmlformats.org/officeDocument/2006/relationships/hyperlink" Target="https://www.itu.int/md/S25-CL-C-0026/en" TargetMode="External"/><Relationship Id="rId12" Type="http://schemas.openxmlformats.org/officeDocument/2006/relationships/hyperlink" Target="http://www.itu.int/md/S25-CL-C-0097/en" TargetMode="External"/><Relationship Id="rId17" Type="http://schemas.openxmlformats.org/officeDocument/2006/relationships/hyperlink" Target="https://www.itu.int/md/S25-CL-C-0026/en" TargetMode="External"/><Relationship Id="rId25" Type="http://schemas.openxmlformats.org/officeDocument/2006/relationships/hyperlink" Target="http://www.itu.int/md/S25-CL-C-0097/e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md/S25-CL-C-0092/en" TargetMode="External"/><Relationship Id="rId20" Type="http://schemas.openxmlformats.org/officeDocument/2006/relationships/hyperlink" Target="https://www.itu.int/md/S25-CL-C-0101/en" TargetMode="External"/><Relationship Id="rId29" Type="http://schemas.openxmlformats.org/officeDocument/2006/relationships/hyperlink" Target="https://www.itu.int/md/S25-CL-C-0073/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S25-CL-C-0070/en" TargetMode="External"/><Relationship Id="rId24" Type="http://schemas.openxmlformats.org/officeDocument/2006/relationships/hyperlink" Target="http://www.itu.int/md/S25-CL-C-0070/en"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tu.int/md/S25-CL-C-0026/en" TargetMode="External"/><Relationship Id="rId23" Type="http://schemas.openxmlformats.org/officeDocument/2006/relationships/hyperlink" Target="https://www.itu.int/md/S25-CL-INF-0016/en" TargetMode="External"/><Relationship Id="rId28" Type="http://schemas.openxmlformats.org/officeDocument/2006/relationships/hyperlink" Target="https://www.itu.int/md/S25-CL-C-0019/en" TargetMode="External"/><Relationship Id="rId36" Type="http://schemas.openxmlformats.org/officeDocument/2006/relationships/theme" Target="theme/theme1.xml"/><Relationship Id="rId10" Type="http://schemas.openxmlformats.org/officeDocument/2006/relationships/hyperlink" Target="https://www.itu.int/md/S25-CL-C-0101/en" TargetMode="External"/><Relationship Id="rId19" Type="http://schemas.openxmlformats.org/officeDocument/2006/relationships/hyperlink" Target="https://www.itu.int/md/S25-CL-C-0058/en" TargetMode="External"/><Relationship Id="rId31" Type="http://schemas.openxmlformats.org/officeDocument/2006/relationships/hyperlink" Target="https://www.itu.int/md/S25-CL-C-0073/en" TargetMode="External"/><Relationship Id="rId4" Type="http://schemas.openxmlformats.org/officeDocument/2006/relationships/webSettings" Target="webSettings.xml"/><Relationship Id="rId9" Type="http://schemas.openxmlformats.org/officeDocument/2006/relationships/hyperlink" Target="https://www.itu.int/md/S25-CL-C-0058/en" TargetMode="External"/><Relationship Id="rId14" Type="http://schemas.openxmlformats.org/officeDocument/2006/relationships/hyperlink" Target="https://www.itu.int/md/S25-CL-C-0073/en" TargetMode="External"/><Relationship Id="rId22" Type="http://schemas.openxmlformats.org/officeDocument/2006/relationships/hyperlink" Target="https://www.itu.int/md/S25-CL-C-0101/en" TargetMode="External"/><Relationship Id="rId27" Type="http://schemas.openxmlformats.org/officeDocument/2006/relationships/hyperlink" Target="http://www.itu.int/md/S25-CL-C-0097/en" TargetMode="External"/><Relationship Id="rId30" Type="http://schemas.openxmlformats.org/officeDocument/2006/relationships/hyperlink" Target="https://www.itu.int/md/S25-CL-C-0019/en" TargetMode="External"/><Relationship Id="rId35" Type="http://schemas.openxmlformats.org/officeDocument/2006/relationships/fontTable" Target="fontTable.xml"/><Relationship Id="rId8" Type="http://schemas.openxmlformats.org/officeDocument/2006/relationships/hyperlink" Target="https://www.itu.int/md/S25-CL-C-0092/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kachev\AppData\Roaming\Microsoft\Templates\POOL%20R%20-%20ITU\GS\PR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PR_Council25.dotx</Template>
  <TotalTime>1</TotalTime>
  <Pages>9</Pages>
  <Words>3687</Words>
  <Characters>27284</Characters>
  <Application>Microsoft Office Word</Application>
  <DocSecurity>0</DocSecurity>
  <Lines>227</Lines>
  <Paragraphs>61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30910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3rd Plenary meeting of the ITU Council-25</dc:title>
  <dc:subject>ITU Council 2024</dc:subject>
  <dc:creator>GBS</dc:creator>
  <cp:keywords>C25, C2025, Council-25</cp:keywords>
  <dc:description/>
  <cp:lastModifiedBy>GBS</cp:lastModifiedBy>
  <cp:revision>2</cp:revision>
  <cp:lastPrinted>2006-03-28T16:12:00Z</cp:lastPrinted>
  <dcterms:created xsi:type="dcterms:W3CDTF">2025-09-03T16:01:00Z</dcterms:created>
  <dcterms:modified xsi:type="dcterms:W3CDTF">2025-09-03T16:01:00Z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