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3C1802" w:rsidRPr="00813E5E" w14:paraId="775DC796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245A11DE" w:rsidR="003C1802" w:rsidRPr="00E85629" w:rsidRDefault="003C1802" w:rsidP="003C1802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452BA9DC" w:rsidR="003C1802" w:rsidRPr="00E85629" w:rsidRDefault="003C1802" w:rsidP="003C180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Документ C25/1</w:t>
            </w:r>
            <w:r w:rsidR="005452D8">
              <w:rPr>
                <w:b/>
                <w:bCs/>
                <w:color w:val="000000"/>
                <w:lang w:val="en-US"/>
              </w:rPr>
              <w:t>08</w:t>
            </w:r>
            <w:r>
              <w:rPr>
                <w:b/>
                <w:bCs/>
                <w:color w:val="000000"/>
                <w:lang w:val="ru-RU"/>
              </w:rPr>
              <w:t>-R</w:t>
            </w:r>
          </w:p>
        </w:tc>
      </w:tr>
      <w:tr w:rsidR="003C1802" w:rsidRPr="00813E5E" w14:paraId="0854DEA9" w14:textId="77777777" w:rsidTr="00DA770A">
        <w:trPr>
          <w:cantSplit/>
        </w:trPr>
        <w:tc>
          <w:tcPr>
            <w:tcW w:w="3969" w:type="dxa"/>
            <w:vMerge/>
          </w:tcPr>
          <w:p w14:paraId="63BEBE0D" w14:textId="77777777" w:rsidR="003C1802" w:rsidRPr="00813E5E" w:rsidRDefault="003C1802" w:rsidP="003C180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4743D6D8" w:rsidR="003C1802" w:rsidRPr="00E85629" w:rsidRDefault="00797B8E" w:rsidP="003C1802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bCs/>
                <w:color w:val="000000"/>
                <w:lang w:val="en-US"/>
              </w:rPr>
              <w:t>15</w:t>
            </w:r>
            <w:r w:rsidR="003C1802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>августа</w:t>
            </w:r>
            <w:r w:rsidR="003C1802">
              <w:rPr>
                <w:b/>
                <w:bCs/>
                <w:color w:val="000000"/>
                <w:lang w:val="ru-RU"/>
              </w:rPr>
              <w:t xml:space="preserve"> 2025 года</w:t>
            </w:r>
          </w:p>
        </w:tc>
      </w:tr>
      <w:bookmarkEnd w:id="3"/>
      <w:tr w:rsidR="003C1802" w:rsidRPr="00813E5E" w14:paraId="0D05E1B6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3C1802" w:rsidRPr="00813E5E" w:rsidRDefault="003C1802" w:rsidP="003C180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F14D395" w14:textId="2800B9E3" w:rsidR="003C1802" w:rsidRPr="00E85629" w:rsidRDefault="003C1802" w:rsidP="003C180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Оригинал: английский</w:t>
            </w:r>
          </w:p>
        </w:tc>
      </w:tr>
      <w:tr w:rsidR="00796BD3" w:rsidRPr="00813E5E" w14:paraId="6D07D0CD" w14:textId="77777777" w:rsidTr="00DA770A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813E5E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</w:p>
        </w:tc>
        <w:tc>
          <w:tcPr>
            <w:tcW w:w="5245" w:type="dxa"/>
          </w:tcPr>
          <w:p w14:paraId="55710CE0" w14:textId="77777777" w:rsidR="00796BD3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CE4DFF" w14:paraId="07418437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2F15F09" w14:textId="77777777" w:rsidR="002749F2" w:rsidRPr="002B21A1" w:rsidRDefault="002749F2" w:rsidP="002749F2">
            <w:pPr>
              <w:pStyle w:val="Title1"/>
              <w:spacing w:before="480"/>
              <w:rPr>
                <w:lang w:val="ru-RU"/>
              </w:rPr>
            </w:pPr>
            <w:bookmarkStart w:id="5" w:name="dsource" w:colFirst="0" w:colLast="0"/>
            <w:bookmarkEnd w:id="4"/>
            <w:r w:rsidRPr="002B21A1">
              <w:rPr>
                <w:lang w:val="ru-RU"/>
              </w:rPr>
              <w:t>КРАТКИЙ ОТЧЕТ</w:t>
            </w:r>
          </w:p>
          <w:p w14:paraId="5FE24A19" w14:textId="2E1DC05F" w:rsidR="00796BD3" w:rsidRPr="00EF5DF1" w:rsidRDefault="002749F2" w:rsidP="002749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EF5DF1">
              <w:rPr>
                <w:sz w:val="26"/>
                <w:szCs w:val="26"/>
                <w:lang w:val="ru-RU"/>
              </w:rPr>
              <w:t xml:space="preserve">О </w:t>
            </w:r>
            <w:r w:rsidR="005452D8">
              <w:rPr>
                <w:sz w:val="26"/>
                <w:szCs w:val="26"/>
                <w:lang w:val="ru-RU"/>
              </w:rPr>
              <w:t>ВТОРОМ</w:t>
            </w:r>
            <w:r w:rsidRPr="00EF5DF1">
              <w:rPr>
                <w:sz w:val="26"/>
                <w:szCs w:val="26"/>
                <w:lang w:val="ru-RU"/>
              </w:rPr>
              <w:t xml:space="preserve"> ПЛЕНАРНОМ ЗАСЕДАНИИ</w:t>
            </w:r>
          </w:p>
        </w:tc>
      </w:tr>
      <w:tr w:rsidR="00796BD3" w:rsidRPr="00CE4DFF" w14:paraId="1C2D969E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8009F26" w14:textId="157C3D22" w:rsidR="003C1802" w:rsidRPr="003C1802" w:rsidRDefault="003C1802" w:rsidP="00EF5DF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szCs w:val="22"/>
                <w:lang w:val="ru-RU"/>
              </w:rPr>
            </w:pPr>
            <w:bookmarkStart w:id="6" w:name="dtitle1" w:colFirst="0" w:colLast="0"/>
            <w:bookmarkEnd w:id="5"/>
            <w:r w:rsidRPr="003C1802">
              <w:rPr>
                <w:color w:val="000000"/>
                <w:szCs w:val="22"/>
                <w:lang w:val="ru-RU"/>
              </w:rPr>
              <w:t xml:space="preserve">Среда, </w:t>
            </w:r>
            <w:r w:rsidR="005452D8">
              <w:rPr>
                <w:color w:val="000000"/>
                <w:szCs w:val="22"/>
                <w:lang w:val="ru-RU"/>
              </w:rPr>
              <w:t>18</w:t>
            </w:r>
            <w:r w:rsidRPr="003C1802">
              <w:rPr>
                <w:color w:val="000000"/>
                <w:szCs w:val="22"/>
                <w:lang w:val="ru-RU"/>
              </w:rPr>
              <w:t xml:space="preserve"> июня 2025 года, 14 час. 3</w:t>
            </w:r>
            <w:r w:rsidR="005452D8">
              <w:rPr>
                <w:color w:val="000000"/>
                <w:szCs w:val="22"/>
                <w:lang w:val="ru-RU"/>
              </w:rPr>
              <w:t>5</w:t>
            </w:r>
            <w:r w:rsidRPr="003C1802">
              <w:rPr>
                <w:color w:val="000000"/>
                <w:szCs w:val="22"/>
                <w:lang w:val="ru-RU"/>
              </w:rPr>
              <w:t xml:space="preserve"> мин. − 1</w:t>
            </w:r>
            <w:r w:rsidR="005452D8">
              <w:rPr>
                <w:color w:val="000000"/>
                <w:szCs w:val="22"/>
                <w:lang w:val="ru-RU"/>
              </w:rPr>
              <w:t>7</w:t>
            </w:r>
            <w:r w:rsidRPr="003C1802">
              <w:rPr>
                <w:color w:val="000000"/>
                <w:szCs w:val="22"/>
                <w:lang w:val="ru-RU"/>
              </w:rPr>
              <w:t xml:space="preserve"> час. </w:t>
            </w:r>
            <w:r w:rsidR="005452D8">
              <w:rPr>
                <w:color w:val="000000"/>
                <w:szCs w:val="22"/>
                <w:lang w:val="ru-RU"/>
              </w:rPr>
              <w:t>45</w:t>
            </w:r>
            <w:r w:rsidRPr="003C1802">
              <w:rPr>
                <w:color w:val="000000"/>
                <w:szCs w:val="22"/>
                <w:lang w:val="ru-RU"/>
              </w:rPr>
              <w:t xml:space="preserve"> мин.</w:t>
            </w:r>
          </w:p>
          <w:p w14:paraId="7779F15E" w14:textId="1AE62AD5" w:rsidR="00796BD3" w:rsidRPr="002749F2" w:rsidRDefault="003C1802" w:rsidP="002749F2">
            <w:pPr>
              <w:pStyle w:val="Subtitle"/>
              <w:framePr w:hSpace="0" w:wrap="auto" w:hAnchor="text" w:xAlign="left" w:yAlign="inline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2749F2">
              <w:rPr>
                <w:b/>
                <w:color w:val="000000"/>
                <w:sz w:val="22"/>
                <w:szCs w:val="22"/>
                <w:lang w:val="ru-RU"/>
              </w:rPr>
              <w:t>Председатель</w:t>
            </w:r>
            <w:r w:rsidRPr="002749F2">
              <w:rPr>
                <w:color w:val="000000"/>
                <w:sz w:val="22"/>
                <w:szCs w:val="22"/>
                <w:lang w:val="ru-RU"/>
              </w:rPr>
              <w:t>: г-жа К. Флутур (Румыния)</w:t>
            </w:r>
          </w:p>
        </w:tc>
      </w:tr>
      <w:bookmarkEnd w:id="2"/>
      <w:bookmarkEnd w:id="6"/>
    </w:tbl>
    <w:p w14:paraId="6EB9976D" w14:textId="77777777" w:rsidR="00796BD3" w:rsidRPr="005452D8" w:rsidRDefault="00796BD3" w:rsidP="00796BD3">
      <w:pPr>
        <w:rPr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379"/>
        <w:gridCol w:w="2115"/>
      </w:tblGrid>
      <w:tr w:rsidR="003C1802" w:rsidRPr="003C1802" w14:paraId="0D9258DE" w14:textId="77777777" w:rsidTr="003C1802">
        <w:tc>
          <w:tcPr>
            <w:tcW w:w="567" w:type="dxa"/>
          </w:tcPr>
          <w:p w14:paraId="43EAF340" w14:textId="7C559AAA" w:rsidR="003C1802" w:rsidRPr="005452D8" w:rsidRDefault="003C1802" w:rsidP="003C1802">
            <w:pPr>
              <w:jc w:val="center"/>
              <w:rPr>
                <w:lang w:val="ru-RU"/>
              </w:rPr>
            </w:pPr>
            <w:r w:rsidRPr="003C1802">
              <w:rPr>
                <w:color w:val="000000"/>
                <w:lang w:val="ru-RU"/>
              </w:rPr>
              <w:br w:type="page"/>
            </w:r>
            <w:r w:rsidRPr="003C1802">
              <w:rPr>
                <w:color w:val="000000"/>
                <w:lang w:val="ru-RU"/>
              </w:rPr>
              <w:br w:type="page"/>
            </w:r>
          </w:p>
        </w:tc>
        <w:tc>
          <w:tcPr>
            <w:tcW w:w="6379" w:type="dxa"/>
          </w:tcPr>
          <w:p w14:paraId="2782C7E7" w14:textId="7B1B7074" w:rsidR="003C1802" w:rsidRPr="003C1802" w:rsidRDefault="003C1802" w:rsidP="002749F2">
            <w:pPr>
              <w:jc w:val="center"/>
              <w:rPr>
                <w:lang w:val="en-US"/>
              </w:rPr>
            </w:pPr>
            <w:r w:rsidRPr="003C1802">
              <w:rPr>
                <w:b/>
                <w:bCs/>
                <w:color w:val="000000"/>
                <w:lang w:val="ru-RU"/>
              </w:rPr>
              <w:t>Обсуждаемые вопросы</w:t>
            </w:r>
          </w:p>
        </w:tc>
        <w:tc>
          <w:tcPr>
            <w:tcW w:w="2115" w:type="dxa"/>
          </w:tcPr>
          <w:p w14:paraId="5F3BA0BD" w14:textId="66B6065A" w:rsidR="003C1802" w:rsidRPr="003C1802" w:rsidRDefault="003C1802" w:rsidP="002749F2">
            <w:pPr>
              <w:jc w:val="center"/>
              <w:rPr>
                <w:lang w:val="en-US"/>
              </w:rPr>
            </w:pPr>
            <w:r w:rsidRPr="003C1802">
              <w:rPr>
                <w:b/>
                <w:bCs/>
                <w:color w:val="000000"/>
                <w:lang w:val="ru-RU"/>
              </w:rPr>
              <w:t>Документы</w:t>
            </w:r>
          </w:p>
        </w:tc>
      </w:tr>
      <w:tr w:rsidR="005452D8" w:rsidRPr="003C1802" w14:paraId="27371315" w14:textId="77777777" w:rsidTr="003C1802">
        <w:tc>
          <w:tcPr>
            <w:tcW w:w="567" w:type="dxa"/>
          </w:tcPr>
          <w:p w14:paraId="4267E6D5" w14:textId="2D765C81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1</w:t>
            </w:r>
          </w:p>
        </w:tc>
        <w:tc>
          <w:tcPr>
            <w:tcW w:w="6379" w:type="dxa"/>
          </w:tcPr>
          <w:p w14:paraId="270F5D56" w14:textId="715661CA" w:rsidR="005452D8" w:rsidRPr="003C1802" w:rsidRDefault="005452D8" w:rsidP="005452D8">
            <w:pPr>
              <w:rPr>
                <w:lang w:val="ru-RU"/>
              </w:rPr>
            </w:pPr>
            <w:bookmarkStart w:id="7" w:name="_Hlk201218544"/>
            <w:r w:rsidRPr="00543F38">
              <w:rPr>
                <w:color w:val="000000"/>
                <w:lang w:val="ru-RU"/>
              </w:rPr>
              <w:t>Презентация по Полномочной конференции 2026 года</w:t>
            </w:r>
            <w:bookmarkEnd w:id="7"/>
          </w:p>
        </w:tc>
        <w:tc>
          <w:tcPr>
            <w:tcW w:w="2115" w:type="dxa"/>
          </w:tcPr>
          <w:p w14:paraId="137C6B8F" w14:textId="457A7176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52D8">
              <w:rPr>
                <w:szCs w:val="24"/>
                <w:lang w:val="ru-RU"/>
              </w:rPr>
              <w:t>–</w:t>
            </w:r>
          </w:p>
        </w:tc>
      </w:tr>
      <w:tr w:rsidR="005452D8" w:rsidRPr="003C1802" w14:paraId="361BA980" w14:textId="77777777" w:rsidTr="001A0A13">
        <w:tc>
          <w:tcPr>
            <w:tcW w:w="567" w:type="dxa"/>
          </w:tcPr>
          <w:p w14:paraId="641AD91B" w14:textId="12EE8E1C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2</w:t>
            </w:r>
          </w:p>
        </w:tc>
        <w:tc>
          <w:tcPr>
            <w:tcW w:w="6379" w:type="dxa"/>
          </w:tcPr>
          <w:p w14:paraId="7507C6C8" w14:textId="624D4B3F" w:rsidR="005452D8" w:rsidRPr="003C1802" w:rsidRDefault="005452D8" w:rsidP="005452D8">
            <w:pPr>
              <w:rPr>
                <w:lang w:val="ru-RU"/>
              </w:rPr>
            </w:pPr>
            <w:r w:rsidRPr="00543F38">
              <w:rPr>
                <w:color w:val="000000"/>
                <w:lang w:val="ru-RU"/>
              </w:rPr>
              <w:t>Подготовка к Полномочной конференции 2026 года</w:t>
            </w:r>
          </w:p>
        </w:tc>
        <w:tc>
          <w:tcPr>
            <w:tcW w:w="2115" w:type="dxa"/>
            <w:vAlign w:val="center"/>
          </w:tcPr>
          <w:p w14:paraId="4661EF07" w14:textId="7AB5F7E7" w:rsidR="005452D8" w:rsidRPr="003C1802" w:rsidRDefault="005452D8" w:rsidP="005452D8">
            <w:pPr>
              <w:jc w:val="center"/>
              <w:rPr>
                <w:lang w:val="en-US"/>
              </w:rPr>
            </w:pPr>
            <w:hyperlink r:id="rId7" w:history="1">
              <w:r w:rsidRPr="00543F38">
                <w:rPr>
                  <w:rStyle w:val="Hyperlink"/>
                  <w:rFonts w:eastAsia="SimSun"/>
                  <w:lang w:val="ru-RU"/>
                </w:rPr>
                <w:t>C25/4</w:t>
              </w:r>
            </w:hyperlink>
          </w:p>
        </w:tc>
      </w:tr>
      <w:tr w:rsidR="005452D8" w:rsidRPr="003C1802" w14:paraId="12706CC0" w14:textId="77777777" w:rsidTr="003C1802">
        <w:tc>
          <w:tcPr>
            <w:tcW w:w="567" w:type="dxa"/>
          </w:tcPr>
          <w:p w14:paraId="049ABB7C" w14:textId="07423E0C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3</w:t>
            </w:r>
          </w:p>
        </w:tc>
        <w:tc>
          <w:tcPr>
            <w:tcW w:w="6379" w:type="dxa"/>
          </w:tcPr>
          <w:p w14:paraId="3F172491" w14:textId="5504F1D9" w:rsidR="005452D8" w:rsidRPr="003C1802" w:rsidRDefault="005452D8" w:rsidP="005452D8">
            <w:pPr>
              <w:rPr>
                <w:lang w:val="ru-RU"/>
              </w:rPr>
            </w:pPr>
            <w:r w:rsidRPr="00543F38">
              <w:rPr>
                <w:color w:val="000000"/>
                <w:lang w:val="ru-RU"/>
              </w:rPr>
              <w:t>Отчет о Глобальном симпозиуме по стандартам 2024 года и Всемирной ассамблее по стандартизации электросвязи 2024</w:t>
            </w:r>
            <w:r>
              <w:rPr>
                <w:color w:val="000000"/>
                <w:lang w:val="ru-RU"/>
              </w:rPr>
              <w:t> </w:t>
            </w:r>
            <w:r w:rsidRPr="00543F38">
              <w:rPr>
                <w:color w:val="000000"/>
                <w:lang w:val="ru-RU"/>
              </w:rPr>
              <w:t xml:space="preserve">года </w:t>
            </w:r>
          </w:p>
        </w:tc>
        <w:tc>
          <w:tcPr>
            <w:tcW w:w="2115" w:type="dxa"/>
          </w:tcPr>
          <w:p w14:paraId="75E2A211" w14:textId="11DC4BF9" w:rsidR="005452D8" w:rsidRPr="003C1802" w:rsidRDefault="005452D8" w:rsidP="005452D8">
            <w:pPr>
              <w:jc w:val="center"/>
              <w:rPr>
                <w:lang w:val="en-US"/>
              </w:rPr>
            </w:pPr>
            <w:hyperlink r:id="rId8" w:history="1">
              <w:r w:rsidRPr="00543F38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C25/24</w:t>
              </w:r>
            </w:hyperlink>
            <w:r w:rsidRPr="00543F38">
              <w:rPr>
                <w:rFonts w:asciiTheme="minorHAnsi" w:hAnsiTheme="minorHAnsi" w:cstheme="minorHAnsi"/>
                <w:szCs w:val="24"/>
                <w:lang w:val="ru-RU" w:eastAsia="en-GB"/>
              </w:rPr>
              <w:t xml:space="preserve">, </w:t>
            </w:r>
            <w:hyperlink r:id="rId9" w:history="1">
              <w:r w:rsidRPr="00543F38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C25/INF/14</w:t>
              </w:r>
            </w:hyperlink>
          </w:p>
        </w:tc>
      </w:tr>
      <w:tr w:rsidR="005452D8" w:rsidRPr="003C1802" w14:paraId="3FB69B91" w14:textId="77777777" w:rsidTr="003C1802">
        <w:tc>
          <w:tcPr>
            <w:tcW w:w="567" w:type="dxa"/>
          </w:tcPr>
          <w:p w14:paraId="2F562CFF" w14:textId="06ADC1CD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4</w:t>
            </w:r>
          </w:p>
        </w:tc>
        <w:tc>
          <w:tcPr>
            <w:tcW w:w="6379" w:type="dxa"/>
          </w:tcPr>
          <w:p w14:paraId="180903A3" w14:textId="730469F4" w:rsidR="005452D8" w:rsidRPr="003C1802" w:rsidRDefault="005452D8" w:rsidP="005452D8">
            <w:pPr>
              <w:rPr>
                <w:lang w:val="ru-RU"/>
              </w:rPr>
            </w:pPr>
            <w:r w:rsidRPr="00543F38">
              <w:rPr>
                <w:color w:val="000000"/>
                <w:lang w:val="ru-RU"/>
              </w:rPr>
              <w:t>Отчет Председателя Рабочей группы Совета по вопросам международной государственной политики, касающимся интернета</w:t>
            </w:r>
          </w:p>
        </w:tc>
        <w:tc>
          <w:tcPr>
            <w:tcW w:w="2115" w:type="dxa"/>
          </w:tcPr>
          <w:p w14:paraId="2CDD4541" w14:textId="3B11B941" w:rsidR="005452D8" w:rsidRPr="003C1802" w:rsidRDefault="005452D8" w:rsidP="005452D8">
            <w:pPr>
              <w:jc w:val="center"/>
              <w:rPr>
                <w:lang w:val="en-US"/>
              </w:rPr>
            </w:pPr>
            <w:hyperlink r:id="rId10" w:history="1">
              <w:r w:rsidRPr="00543F38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C25/51</w:t>
              </w:r>
            </w:hyperlink>
          </w:p>
        </w:tc>
      </w:tr>
      <w:tr w:rsidR="005452D8" w:rsidRPr="003C1802" w14:paraId="515F9C26" w14:textId="77777777" w:rsidTr="003C1802">
        <w:tc>
          <w:tcPr>
            <w:tcW w:w="567" w:type="dxa"/>
          </w:tcPr>
          <w:p w14:paraId="56A9CDEF" w14:textId="479E8DF2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5</w:t>
            </w:r>
          </w:p>
        </w:tc>
        <w:tc>
          <w:tcPr>
            <w:tcW w:w="6379" w:type="dxa"/>
          </w:tcPr>
          <w:p w14:paraId="4B4E247D" w14:textId="42FEDA9F" w:rsidR="005452D8" w:rsidRPr="003C1802" w:rsidRDefault="005452D8" w:rsidP="005452D8">
            <w:pPr>
              <w:rPr>
                <w:lang w:val="ru-RU"/>
              </w:rPr>
            </w:pPr>
            <w:r w:rsidRPr="00543F38">
              <w:rPr>
                <w:color w:val="000000"/>
                <w:lang w:val="ru-RU"/>
              </w:rPr>
              <w:t>Деятельность МСЭ в области интернета: Резолюции 101, 102, 133, 180 и 206 Полномочной конференции</w:t>
            </w:r>
          </w:p>
        </w:tc>
        <w:tc>
          <w:tcPr>
            <w:tcW w:w="2115" w:type="dxa"/>
          </w:tcPr>
          <w:p w14:paraId="0FDAA103" w14:textId="504F8732" w:rsidR="005452D8" w:rsidRPr="003C1802" w:rsidRDefault="005452D8" w:rsidP="005452D8">
            <w:pPr>
              <w:jc w:val="center"/>
              <w:rPr>
                <w:lang w:val="en-US"/>
              </w:rPr>
            </w:pPr>
            <w:hyperlink r:id="rId11" w:history="1">
              <w:r w:rsidRPr="00543F38">
                <w:rPr>
                  <w:rStyle w:val="Hyperlink"/>
                  <w:lang w:val="ru-RU"/>
                </w:rPr>
                <w:t>C25/33</w:t>
              </w:r>
            </w:hyperlink>
          </w:p>
        </w:tc>
      </w:tr>
      <w:tr w:rsidR="005452D8" w:rsidRPr="003C1802" w14:paraId="04B27811" w14:textId="77777777" w:rsidTr="003C1802">
        <w:tc>
          <w:tcPr>
            <w:tcW w:w="567" w:type="dxa"/>
          </w:tcPr>
          <w:p w14:paraId="4CA4E58C" w14:textId="73805BD6" w:rsidR="005452D8" w:rsidRPr="003C1802" w:rsidRDefault="005452D8" w:rsidP="005452D8">
            <w:pPr>
              <w:jc w:val="center"/>
              <w:rPr>
                <w:lang w:val="en-US"/>
              </w:rPr>
            </w:pPr>
            <w:r w:rsidRPr="00543F38">
              <w:rPr>
                <w:color w:val="000000"/>
                <w:lang w:val="ru-RU"/>
              </w:rPr>
              <w:t>6</w:t>
            </w:r>
          </w:p>
        </w:tc>
        <w:tc>
          <w:tcPr>
            <w:tcW w:w="6379" w:type="dxa"/>
          </w:tcPr>
          <w:p w14:paraId="6D06FE81" w14:textId="00E1EEB3" w:rsidR="005452D8" w:rsidRPr="003C1802" w:rsidRDefault="005452D8" w:rsidP="005452D8">
            <w:pPr>
              <w:rPr>
                <w:lang w:val="ru-RU"/>
              </w:rPr>
            </w:pPr>
            <w:r w:rsidRPr="00543F38">
              <w:rPr>
                <w:color w:val="000000"/>
                <w:lang w:val="ru-RU"/>
              </w:rPr>
              <w:t>Отчет Председателя РГС-ВВУИО&amp;ЦУР по итогам 41-го и 42-го собраний</w:t>
            </w:r>
          </w:p>
        </w:tc>
        <w:tc>
          <w:tcPr>
            <w:tcW w:w="2115" w:type="dxa"/>
          </w:tcPr>
          <w:p w14:paraId="405E821D" w14:textId="66F54CF9" w:rsidR="005452D8" w:rsidRPr="003C1802" w:rsidRDefault="005452D8" w:rsidP="005452D8">
            <w:pPr>
              <w:jc w:val="center"/>
              <w:rPr>
                <w:lang w:val="en-US"/>
              </w:rPr>
            </w:pPr>
            <w:hyperlink r:id="rId12" w:history="1">
              <w:r w:rsidRPr="00543F38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C25/8</w:t>
              </w:r>
            </w:hyperlink>
          </w:p>
        </w:tc>
      </w:tr>
      <w:tr w:rsidR="005452D8" w:rsidRPr="003C1802" w14:paraId="2B7EF247" w14:textId="77777777" w:rsidTr="003C1802">
        <w:tc>
          <w:tcPr>
            <w:tcW w:w="567" w:type="dxa"/>
          </w:tcPr>
          <w:p w14:paraId="310AD375" w14:textId="6B96E012" w:rsidR="005452D8" w:rsidRPr="003C1802" w:rsidRDefault="005452D8" w:rsidP="005452D8">
            <w:pPr>
              <w:jc w:val="center"/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7</w:t>
            </w:r>
          </w:p>
        </w:tc>
        <w:tc>
          <w:tcPr>
            <w:tcW w:w="6379" w:type="dxa"/>
          </w:tcPr>
          <w:p w14:paraId="075EFEDB" w14:textId="161EF6CC" w:rsidR="005452D8" w:rsidRPr="003C1802" w:rsidRDefault="005452D8" w:rsidP="005452D8">
            <w:pPr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Отчет ВВУИО+20 о вкладе МСЭ в выполнение решений ВВУИО и последующую деятельность по итогам ВВУИО и его роли в достижении ЦУР</w:t>
            </w:r>
          </w:p>
        </w:tc>
        <w:tc>
          <w:tcPr>
            <w:tcW w:w="2115" w:type="dxa"/>
          </w:tcPr>
          <w:p w14:paraId="6263D8BF" w14:textId="3CEEA516" w:rsidR="005452D8" w:rsidRDefault="005452D8" w:rsidP="005452D8">
            <w:pPr>
              <w:jc w:val="center"/>
            </w:pPr>
            <w:hyperlink r:id="rId13" w:history="1">
              <w:r w:rsidRPr="00543F38">
                <w:rPr>
                  <w:rStyle w:val="Hyperlink"/>
                  <w:lang w:val="ru-RU"/>
                </w:rPr>
                <w:t>C25/61</w:t>
              </w:r>
            </w:hyperlink>
            <w:r w:rsidRPr="005452D8">
              <w:rPr>
                <w:bCs/>
                <w:lang w:val="ru-RU"/>
              </w:rPr>
              <w:t xml:space="preserve">, </w:t>
            </w:r>
            <w:hyperlink r:id="rId14" w:history="1">
              <w:r w:rsidRPr="00543F38">
                <w:rPr>
                  <w:rStyle w:val="Hyperlink"/>
                  <w:lang w:val="ru-RU"/>
                </w:rPr>
                <w:t>C25/80</w:t>
              </w:r>
            </w:hyperlink>
          </w:p>
        </w:tc>
      </w:tr>
      <w:tr w:rsidR="005452D8" w:rsidRPr="003C1802" w14:paraId="085A5628" w14:textId="77777777" w:rsidTr="003C1802">
        <w:tc>
          <w:tcPr>
            <w:tcW w:w="567" w:type="dxa"/>
          </w:tcPr>
          <w:p w14:paraId="1CA808B6" w14:textId="2A400094" w:rsidR="005452D8" w:rsidRPr="003C1802" w:rsidRDefault="005452D8" w:rsidP="005452D8">
            <w:pPr>
              <w:jc w:val="center"/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8</w:t>
            </w:r>
          </w:p>
        </w:tc>
        <w:tc>
          <w:tcPr>
            <w:tcW w:w="6379" w:type="dxa"/>
          </w:tcPr>
          <w:p w14:paraId="7562E51D" w14:textId="74630175" w:rsidR="005452D8" w:rsidRPr="003C1802" w:rsidRDefault="005452D8" w:rsidP="005452D8">
            <w:pPr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Соболезнования в связи с кончиной Найджела Хиксона</w:t>
            </w:r>
          </w:p>
        </w:tc>
        <w:tc>
          <w:tcPr>
            <w:tcW w:w="2115" w:type="dxa"/>
          </w:tcPr>
          <w:p w14:paraId="6DFC6FCF" w14:textId="6C89A66A" w:rsidR="005452D8" w:rsidRDefault="005452D8" w:rsidP="005452D8">
            <w:pPr>
              <w:jc w:val="center"/>
            </w:pPr>
            <w:r w:rsidRPr="005452D8">
              <w:rPr>
                <w:szCs w:val="24"/>
                <w:lang w:val="ru-RU"/>
              </w:rPr>
              <w:t>–</w:t>
            </w:r>
          </w:p>
        </w:tc>
      </w:tr>
      <w:tr w:rsidR="005452D8" w:rsidRPr="003C1802" w14:paraId="4C629330" w14:textId="77777777" w:rsidTr="003C1802">
        <w:tc>
          <w:tcPr>
            <w:tcW w:w="567" w:type="dxa"/>
          </w:tcPr>
          <w:p w14:paraId="707AFEEB" w14:textId="354A098A" w:rsidR="005452D8" w:rsidRPr="003C1802" w:rsidRDefault="005452D8" w:rsidP="005452D8">
            <w:pPr>
              <w:jc w:val="center"/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9</w:t>
            </w:r>
          </w:p>
        </w:tc>
        <w:tc>
          <w:tcPr>
            <w:tcW w:w="6379" w:type="dxa"/>
          </w:tcPr>
          <w:p w14:paraId="39927089" w14:textId="745CC8FF" w:rsidR="005452D8" w:rsidRPr="003C1802" w:rsidRDefault="005452D8" w:rsidP="005452D8">
            <w:pPr>
              <w:rPr>
                <w:color w:val="000000"/>
                <w:lang w:val="ru-RU"/>
              </w:rPr>
            </w:pPr>
            <w:r w:rsidRPr="00543F38">
              <w:rPr>
                <w:color w:val="000000"/>
                <w:lang w:val="ru-RU"/>
              </w:rPr>
              <w:t>Заявления Советников</w:t>
            </w:r>
          </w:p>
        </w:tc>
        <w:tc>
          <w:tcPr>
            <w:tcW w:w="2115" w:type="dxa"/>
          </w:tcPr>
          <w:p w14:paraId="41F418A7" w14:textId="6E947624" w:rsidR="005452D8" w:rsidRDefault="005452D8" w:rsidP="005452D8">
            <w:pPr>
              <w:jc w:val="center"/>
            </w:pPr>
            <w:r w:rsidRPr="005452D8">
              <w:rPr>
                <w:szCs w:val="24"/>
                <w:lang w:val="ru-RU"/>
              </w:rPr>
              <w:t>–</w:t>
            </w:r>
          </w:p>
        </w:tc>
      </w:tr>
    </w:tbl>
    <w:p w14:paraId="7FC324AA" w14:textId="77777777" w:rsidR="003C1802" w:rsidRPr="005452D8" w:rsidRDefault="003C1802" w:rsidP="00796BD3">
      <w:pPr>
        <w:rPr>
          <w:lang w:val="ru-RU"/>
        </w:rPr>
      </w:pPr>
    </w:p>
    <w:p w14:paraId="60F31B98" w14:textId="77777777" w:rsidR="00165D06" w:rsidRPr="00731B0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31B05">
        <w:rPr>
          <w:lang w:val="ru-RU"/>
        </w:rPr>
        <w:br w:type="page"/>
      </w:r>
    </w:p>
    <w:p w14:paraId="59DED99C" w14:textId="77777777" w:rsidR="005452D8" w:rsidRPr="00543F38" w:rsidRDefault="005452D8" w:rsidP="005452D8">
      <w:pPr>
        <w:pStyle w:val="Heading1"/>
        <w:rPr>
          <w:rFonts w:eastAsia="SimSun"/>
          <w:lang w:val="ru-RU"/>
        </w:rPr>
      </w:pPr>
      <w:r w:rsidRPr="00543F38">
        <w:rPr>
          <w:bCs/>
          <w:lang w:val="ru-RU"/>
        </w:rPr>
        <w:lastRenderedPageBreak/>
        <w:t>1</w:t>
      </w:r>
      <w:r w:rsidRPr="00543F38">
        <w:rPr>
          <w:lang w:val="ru-RU"/>
        </w:rPr>
        <w:tab/>
      </w:r>
      <w:r w:rsidRPr="00543F38">
        <w:rPr>
          <w:bCs/>
          <w:lang w:val="ru-RU"/>
        </w:rPr>
        <w:t>Презентация по Полномочной конференции 2026 года</w:t>
      </w:r>
    </w:p>
    <w:p w14:paraId="554F2D1B" w14:textId="0FED75FA" w:rsidR="005452D8" w:rsidRPr="00543F38" w:rsidRDefault="005452D8" w:rsidP="00CE4DFF">
      <w:pPr>
        <w:jc w:val="both"/>
        <w:rPr>
          <w:rFonts w:eastAsia="SimSun"/>
          <w:lang w:val="ru-RU"/>
        </w:rPr>
      </w:pPr>
      <w:r w:rsidRPr="00543F38">
        <w:rPr>
          <w:lang w:val="ru-RU"/>
        </w:rPr>
        <w:t>1.1</w:t>
      </w:r>
      <w:r w:rsidRPr="00543F38">
        <w:rPr>
          <w:lang w:val="ru-RU"/>
        </w:rPr>
        <w:tab/>
        <w:t xml:space="preserve">Наблюдатель от Катара представляет общую информацию о ходе подготовки к Полномочной конференции 2026 года (ПК-26), которая состоится в Дохинском центре выставок и конференций. После объявления о назначении Председателя в начале 2024 года делегация МСЭ посетила Катар и подтвердила, что место проведения мероприятия удовлетворяет требованиям в отношении площадей, технологий, безопасности, местоположения и доступа. Функции и обязанности в отношении Конференции были определены следующим образом: Регуляторный орган связи Катара отвечает за содержание, </w:t>
      </w:r>
      <w:r w:rsidR="00797B8E">
        <w:rPr>
          <w:lang w:val="ru-RU"/>
        </w:rPr>
        <w:t xml:space="preserve">а </w:t>
      </w:r>
      <w:r w:rsidRPr="00543F38">
        <w:rPr>
          <w:lang w:val="ru-RU"/>
        </w:rPr>
        <w:t>Постоянный комитет Катара по организации конференций – за материально-техническое обеспечение.</w:t>
      </w:r>
    </w:p>
    <w:p w14:paraId="5982532D" w14:textId="77777777" w:rsidR="005452D8" w:rsidRPr="00543F38" w:rsidRDefault="005452D8" w:rsidP="00CE4DFF">
      <w:pPr>
        <w:jc w:val="both"/>
        <w:rPr>
          <w:rFonts w:eastAsia="SimSun"/>
          <w:lang w:val="ru-RU"/>
        </w:rPr>
      </w:pPr>
      <w:r w:rsidRPr="00543F38">
        <w:rPr>
          <w:lang w:val="ru-RU"/>
        </w:rPr>
        <w:t>1.2</w:t>
      </w:r>
      <w:r w:rsidRPr="00543F38">
        <w:rPr>
          <w:lang w:val="ru-RU"/>
        </w:rPr>
        <w:tab/>
        <w:t>В настоящее время завершается подготовка соглашения с принимающей страной и плана места проведения, и в ближайшее время будет представлена платформа по вопросам размещения делегатов в гостиницах. Группа МСЭ вновь посетит Катар в ноябре 2025 года для наблюдения за организацией второй Всемирной встречи на высшем уровне в интересах социального развития.</w:t>
      </w:r>
    </w:p>
    <w:p w14:paraId="77BDD48A" w14:textId="77777777" w:rsidR="005452D8" w:rsidRPr="00543F38" w:rsidRDefault="005452D8" w:rsidP="00CE4DFF">
      <w:pPr>
        <w:jc w:val="both"/>
        <w:rPr>
          <w:rFonts w:eastAsia="SimSun"/>
          <w:lang w:val="ru-RU"/>
        </w:rPr>
      </w:pPr>
      <w:r w:rsidRPr="00543F38">
        <w:rPr>
          <w:lang w:val="ru-RU"/>
        </w:rPr>
        <w:t>1.3</w:t>
      </w:r>
      <w:r w:rsidRPr="00543F38">
        <w:rPr>
          <w:lang w:val="ru-RU"/>
        </w:rPr>
        <w:tab/>
        <w:t>Катар обещал провести Конференцию на мировом уровне в среде, сочетающей традиции и современность. Совместно с МСЭ он завершает разработку цифровой платформы для связи, регистрации и отображения программы работы. Будут представлены руководящие указания по оформлению, начиная с логотипа.</w:t>
      </w:r>
    </w:p>
    <w:p w14:paraId="488FA140" w14:textId="77777777" w:rsidR="005452D8" w:rsidRPr="00543F38" w:rsidRDefault="005452D8" w:rsidP="00CE4DFF">
      <w:pPr>
        <w:jc w:val="both"/>
        <w:rPr>
          <w:rFonts w:eastAsia="SimSun"/>
          <w:lang w:val="ru-RU"/>
        </w:rPr>
      </w:pPr>
      <w:r w:rsidRPr="00543F38">
        <w:rPr>
          <w:lang w:val="ru-RU"/>
        </w:rPr>
        <w:t>1.4</w:t>
      </w:r>
      <w:r w:rsidRPr="00543F38">
        <w:rPr>
          <w:lang w:val="ru-RU"/>
        </w:rPr>
        <w:tab/>
        <w:t>Советники п</w:t>
      </w:r>
      <w:r>
        <w:rPr>
          <w:lang w:val="ru-RU"/>
        </w:rPr>
        <w:t>р</w:t>
      </w:r>
      <w:r w:rsidRPr="00543F38">
        <w:rPr>
          <w:lang w:val="ru-RU"/>
        </w:rPr>
        <w:t xml:space="preserve">осматривают короткий видеоролик </w:t>
      </w:r>
      <w:r w:rsidRPr="005B3374">
        <w:rPr>
          <w:lang w:val="ru-RU"/>
        </w:rPr>
        <w:t xml:space="preserve">о концепции, лежащей в основе логотипа </w:t>
      </w:r>
      <w:r w:rsidRPr="00543F38">
        <w:rPr>
          <w:lang w:val="ru-RU"/>
        </w:rPr>
        <w:t>ПК-26.</w:t>
      </w:r>
    </w:p>
    <w:p w14:paraId="4929FC7A" w14:textId="77777777" w:rsidR="005452D8" w:rsidRPr="00543F38" w:rsidRDefault="005452D8" w:rsidP="00CE4DFF">
      <w:pPr>
        <w:jc w:val="both"/>
        <w:rPr>
          <w:rFonts w:eastAsia="SimSun"/>
          <w:lang w:val="ru-RU"/>
        </w:rPr>
      </w:pPr>
      <w:r w:rsidRPr="00543F38">
        <w:rPr>
          <w:lang w:val="ru-RU"/>
        </w:rPr>
        <w:t>1.5</w:t>
      </w:r>
      <w:r w:rsidRPr="00543F38">
        <w:rPr>
          <w:lang w:val="ru-RU"/>
        </w:rPr>
        <w:tab/>
        <w:t>Генеральный секретарь благодарит Катар за активное сотрудничество и приверженность успешному проведению ПК-26.</w:t>
      </w:r>
    </w:p>
    <w:p w14:paraId="6AC7A132" w14:textId="77777777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t>2</w:t>
      </w:r>
      <w:r w:rsidRPr="00543F38">
        <w:rPr>
          <w:lang w:val="ru-RU"/>
        </w:rPr>
        <w:tab/>
        <w:t>Подготовка к Полномочной конференции 2026 года (Документ </w:t>
      </w:r>
      <w:proofErr w:type="spellStart"/>
      <w:r>
        <w:fldChar w:fldCharType="begin"/>
      </w:r>
      <w:r>
        <w:instrText>HYPERLINK</w:instrText>
      </w:r>
      <w:r w:rsidRPr="00CE4DFF">
        <w:rPr>
          <w:lang w:val="ru-RU"/>
        </w:rPr>
        <w:instrText xml:space="preserve"> "</w:instrText>
      </w:r>
      <w:r>
        <w:instrText>https</w:instrText>
      </w:r>
      <w:r w:rsidRPr="00CE4DFF">
        <w:rPr>
          <w:lang w:val="ru-RU"/>
        </w:rPr>
        <w:instrText>://</w:instrText>
      </w:r>
      <w:r>
        <w:instrText>www</w:instrText>
      </w:r>
      <w:r w:rsidRPr="00CE4DFF">
        <w:rPr>
          <w:lang w:val="ru-RU"/>
        </w:rPr>
        <w:instrText>.</w:instrText>
      </w:r>
      <w:r>
        <w:instrText>itu</w:instrText>
      </w:r>
      <w:r w:rsidRPr="00CE4DFF">
        <w:rPr>
          <w:lang w:val="ru-RU"/>
        </w:rPr>
        <w:instrText>.</w:instrText>
      </w:r>
      <w:r>
        <w:instrText>int</w:instrText>
      </w:r>
      <w:r w:rsidRPr="00CE4DFF">
        <w:rPr>
          <w:lang w:val="ru-RU"/>
        </w:rPr>
        <w:instrText>/</w:instrText>
      </w:r>
      <w:r>
        <w:instrText>md</w:instrText>
      </w:r>
      <w:r w:rsidRPr="00CE4DFF">
        <w:rPr>
          <w:lang w:val="ru-RU"/>
        </w:rPr>
        <w:instrText>/</w:instrText>
      </w:r>
      <w:r>
        <w:instrText>S</w:instrText>
      </w:r>
      <w:r w:rsidRPr="00CE4DFF">
        <w:rPr>
          <w:lang w:val="ru-RU"/>
        </w:rPr>
        <w:instrText>25-</w:instrText>
      </w:r>
      <w:r>
        <w:instrText>CL</w:instrText>
      </w:r>
      <w:r w:rsidRPr="00CE4DFF">
        <w:rPr>
          <w:lang w:val="ru-RU"/>
        </w:rPr>
        <w:instrText>-</w:instrText>
      </w:r>
      <w:r>
        <w:instrText>C</w:instrText>
      </w:r>
      <w:r w:rsidRPr="00CE4DFF">
        <w:rPr>
          <w:lang w:val="ru-RU"/>
        </w:rPr>
        <w:instrText>-0004/</w:instrText>
      </w:r>
      <w:r>
        <w:instrText>en</w:instrText>
      </w:r>
      <w:r w:rsidRPr="00CE4DFF">
        <w:rPr>
          <w:lang w:val="ru-RU"/>
        </w:rPr>
        <w:instrText>"</w:instrText>
      </w:r>
      <w:r>
        <w:fldChar w:fldCharType="separate"/>
      </w:r>
      <w:r w:rsidRPr="00543F38">
        <w:rPr>
          <w:rStyle w:val="Hyperlink"/>
          <w:lang w:val="ru-RU"/>
        </w:rPr>
        <w:t>C25</w:t>
      </w:r>
      <w:proofErr w:type="spellEnd"/>
      <w:r w:rsidRPr="00543F38">
        <w:rPr>
          <w:rStyle w:val="Hyperlink"/>
          <w:lang w:val="ru-RU"/>
        </w:rPr>
        <w:t>/4</w:t>
      </w:r>
      <w:r>
        <w:fldChar w:fldCharType="end"/>
      </w:r>
      <w:r w:rsidRPr="00543F38">
        <w:rPr>
          <w:lang w:val="ru-RU"/>
        </w:rPr>
        <w:t>)</w:t>
      </w:r>
      <w:hyperlink r:id="rId15" w:history="1"/>
    </w:p>
    <w:p w14:paraId="077FE2F2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2.1</w:t>
      </w:r>
      <w:r w:rsidRPr="00543F38">
        <w:rPr>
          <w:lang w:val="ru-RU"/>
        </w:rPr>
        <w:tab/>
        <w:t>Секретарь пленарного заседания представляет Документ C25/4, в котором содержится обновленная информация о подготовке к ПК-26 и запланированных улучшениях. Секретариат и принимающая страна проводят ежемесячные собрания в онлайновом режиме для обмена информацией, обсуждения элементов подготовки и завершения работы над соглашением с принимающей страной. Начата подготовка назначенного Председателя.</w:t>
      </w:r>
    </w:p>
    <w:p w14:paraId="5032010E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2.2</w:t>
      </w:r>
      <w:r w:rsidRPr="00543F38">
        <w:rPr>
          <w:lang w:val="ru-RU"/>
        </w:rPr>
        <w:tab/>
        <w:t>В приложении к документу содержатся руководящие указания по этическим аспектам определенных предвыборных мероприятий, проводимых перед Полномочной конференцией, которые Совету предлагается вновь одобрить.</w:t>
      </w:r>
    </w:p>
    <w:p w14:paraId="295F5732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2.3</w:t>
      </w:r>
      <w:r w:rsidRPr="00543F38">
        <w:rPr>
          <w:lang w:val="ru-RU"/>
        </w:rPr>
        <w:tab/>
        <w:t xml:space="preserve">Несколько Советников и один </w:t>
      </w:r>
      <w:r>
        <w:rPr>
          <w:lang w:val="ru-RU"/>
        </w:rPr>
        <w:t xml:space="preserve">из </w:t>
      </w:r>
      <w:r w:rsidRPr="00543F38">
        <w:rPr>
          <w:lang w:val="ru-RU"/>
        </w:rPr>
        <w:t>наблюдател</w:t>
      </w:r>
      <w:r>
        <w:rPr>
          <w:lang w:val="ru-RU"/>
        </w:rPr>
        <w:t>ей</w:t>
      </w:r>
      <w:r w:rsidRPr="00543F38">
        <w:rPr>
          <w:lang w:val="ru-RU"/>
        </w:rPr>
        <w:t xml:space="preserve"> благодарят правительство Катара за прием ПК-26 и за предпринимаемые усилия. Один из Советников напоминает, что регион арабских государств имеет большой опыт успешного проведения мероприятий МСЭ.</w:t>
      </w:r>
    </w:p>
    <w:p w14:paraId="49A0DC3A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2.4</w:t>
      </w:r>
      <w:r w:rsidRPr="00543F38">
        <w:rPr>
          <w:lang w:val="ru-RU"/>
        </w:rPr>
        <w:tab/>
        <w:t>Несколько Советников дают высокую оценку региональному и межрегиональному подготовительному процессу. Предл</w:t>
      </w:r>
      <w:r>
        <w:rPr>
          <w:lang w:val="ru-RU"/>
        </w:rPr>
        <w:t xml:space="preserve">агается </w:t>
      </w:r>
      <w:r w:rsidRPr="00543F38">
        <w:rPr>
          <w:lang w:val="ru-RU"/>
        </w:rPr>
        <w:t>провести три межрегиональных собрания, как в 2018 и 2022 годах, предпочтительно в Женеве, а также приурочить их к другим собраниям МСЭ, с тем чтобы воспользоваться высоким уровнем присутствия дипломатического персонала и содействовать сокращению транспортных расходов. Собрания следует проводить в таком формате и в такое время, чтобы обеспечить возможность как дистанционного, так и очного участия.</w:t>
      </w:r>
    </w:p>
    <w:p w14:paraId="3B2D665A" w14:textId="26E689DA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2.5</w:t>
      </w:r>
      <w:r w:rsidRPr="00543F38">
        <w:rPr>
          <w:lang w:val="ru-RU"/>
        </w:rPr>
        <w:tab/>
        <w:t xml:space="preserve">Советник от Саудовской Аравии объявляет о готовности его администрации провести </w:t>
      </w:r>
      <w:r w:rsidR="00797B8E">
        <w:rPr>
          <w:lang w:val="ru-RU"/>
        </w:rPr>
        <w:t xml:space="preserve">последнее </w:t>
      </w:r>
      <w:r w:rsidRPr="00543F38">
        <w:rPr>
          <w:lang w:val="ru-RU"/>
        </w:rPr>
        <w:t>межрегиональное собрание перед ПК-26.</w:t>
      </w:r>
    </w:p>
    <w:p w14:paraId="57BC56E5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2.6</w:t>
      </w:r>
      <w:r w:rsidRPr="00543F38">
        <w:rPr>
          <w:lang w:val="ru-RU"/>
        </w:rPr>
        <w:tab/>
        <w:t xml:space="preserve">Советники поддерживают усилия по расширению участия женщин и представителей молодежи. Следует четко определить роль представителей молодежи в целях содействия </w:t>
      </w:r>
      <w:r w:rsidRPr="00543F38">
        <w:rPr>
          <w:lang w:val="ru-RU"/>
        </w:rPr>
        <w:lastRenderedPageBreak/>
        <w:t>реальному участию с их стороны. Один из Советников предлагает повторно организовать курс Академии МСЭ 2022 года</w:t>
      </w:r>
      <w:r>
        <w:rPr>
          <w:lang w:val="ru-RU"/>
        </w:rPr>
        <w:t xml:space="preserve"> по вопросам </w:t>
      </w:r>
      <w:r w:rsidRPr="00543F38">
        <w:rPr>
          <w:lang w:val="ru-RU"/>
        </w:rPr>
        <w:t>Полномочной конференции и навыкам ведения переговоров для делегатов-женщин, включи</w:t>
      </w:r>
      <w:r>
        <w:rPr>
          <w:lang w:val="ru-RU"/>
        </w:rPr>
        <w:t>в также</w:t>
      </w:r>
      <w:r w:rsidRPr="00543F38">
        <w:rPr>
          <w:lang w:val="ru-RU"/>
        </w:rPr>
        <w:t xml:space="preserve"> новых и молодых делегатов. Делегатам, принимающим участие в первый раз, также следует воспользоваться предлагаемыми курсами подготовки руководителей рабочих групп или исследовательских комиссий.</w:t>
      </w:r>
    </w:p>
    <w:p w14:paraId="6F5E84FA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2.7</w:t>
      </w:r>
      <w:r w:rsidRPr="00543F38">
        <w:rPr>
          <w:lang w:val="ru-RU"/>
        </w:rPr>
        <w:tab/>
        <w:t>Несколько Советников отмечают пользу организации специализированного сегмента на уровне министров, но подчеркивают необходимость выделения достаточного времени или проведения альтернативных сессий для максимального вовлечения на высоком уровне и содействия более динамичному участию.</w:t>
      </w:r>
    </w:p>
    <w:p w14:paraId="18205958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2.8</w:t>
      </w:r>
      <w:r w:rsidRPr="00543F38">
        <w:rPr>
          <w:lang w:val="ru-RU"/>
        </w:rPr>
        <w:tab/>
        <w:t>Несколько Советников подчеркивают, что документы Конференции должны быть прежде всего всеобъемлющими. Сокращение объемов документов не должно негативным образом сказываться на способности Государств-Членов принимать обоснованные решения.</w:t>
      </w:r>
    </w:p>
    <w:p w14:paraId="2C103573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2.9</w:t>
      </w:r>
      <w:r w:rsidRPr="00543F38">
        <w:rPr>
          <w:lang w:val="ru-RU"/>
        </w:rPr>
        <w:tab/>
        <w:t>Один из Советников говорит, что, поскольку в руководящих указаниях по этическим аспектам определенных предвыборных мероприятий предусматриваются четкие меры, позволяющие предотвратить случаи неэтичного поведения, и поскольку кандидаты зачастую объявляются публично до официального сообщения Генеральному секретарю, из п. 12.2 Положений о персонале МСЭ и Правил о персонале следует исключить требование о направлении назначаемого сотрудника в специальный отпуск без сохранения содержания после официального сообщения о выдвижении кандидатуры.</w:t>
      </w:r>
    </w:p>
    <w:p w14:paraId="04DF4443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2.10</w:t>
      </w:r>
      <w:r w:rsidRPr="00543F38">
        <w:rPr>
          <w:lang w:val="ru-RU"/>
        </w:rPr>
        <w:tab/>
        <w:t>Один из Советников поддерживает сокращение количества предвыборных материалов в целях укрепления экологически ответственного поведения и рекомендует организовывать переработку материалов там, где они используются. Он также предлагает секретариату изучить варианты электронного голосования, опираясь на передовой опыт других учреждений системы Организации Объединенных Наций.</w:t>
      </w:r>
    </w:p>
    <w:p w14:paraId="044A7CC2" w14:textId="3751FD58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 xml:space="preserve">2.11 </w:t>
      </w:r>
      <w:r w:rsidRPr="00543F38">
        <w:rPr>
          <w:lang w:val="ru-RU"/>
        </w:rPr>
        <w:tab/>
        <w:t xml:space="preserve">Назначенный Председатель ПК-26 г-н Ахмад Абдулла аль-Муслемани подтверждает поддержку проведения встреч на уровне министров в первые три дня Конференции для активизации политического диалога. Принимающая страна будет следовать стандартам устойчивости Организации Объединенных Наций, в том числе в отношении сокращения потребления бумаги и электроэнергии. Катар стремится способствовать всеохватному участию женщин и представителей молодежи путем обмена опытом и организации подготовки в преддверии Конференции. На посту Председателя он будет работать над достижением консенсуса и поощрением сотрудничества, опираясь на опыт председателей ПК-18 и ПК-22. </w:t>
      </w:r>
      <w:r w:rsidR="00797B8E" w:rsidRPr="00797B8E">
        <w:rPr>
          <w:lang w:val="ru-RU"/>
        </w:rPr>
        <w:t>Он особо подчерк</w:t>
      </w:r>
      <w:r w:rsidR="00797B8E">
        <w:rPr>
          <w:lang w:val="ru-RU"/>
        </w:rPr>
        <w:t>ивает</w:t>
      </w:r>
      <w:r w:rsidR="00797B8E" w:rsidRPr="00797B8E">
        <w:rPr>
          <w:lang w:val="ru-RU"/>
        </w:rPr>
        <w:t xml:space="preserve"> знач</w:t>
      </w:r>
      <w:r w:rsidR="00797B8E">
        <w:rPr>
          <w:lang w:val="ru-RU"/>
        </w:rPr>
        <w:t>имость</w:t>
      </w:r>
      <w:r w:rsidR="00797B8E" w:rsidRPr="00797B8E">
        <w:rPr>
          <w:lang w:val="ru-RU"/>
        </w:rPr>
        <w:t xml:space="preserve"> межрегионального подготовительного процесса, который был </w:t>
      </w:r>
      <w:r w:rsidR="00797B8E">
        <w:rPr>
          <w:lang w:val="ru-RU"/>
        </w:rPr>
        <w:t>введен</w:t>
      </w:r>
      <w:r w:rsidR="00797B8E" w:rsidRPr="00797B8E">
        <w:rPr>
          <w:lang w:val="ru-RU"/>
        </w:rPr>
        <w:t xml:space="preserve"> в преддверии </w:t>
      </w:r>
      <w:r w:rsidR="00797B8E">
        <w:rPr>
          <w:lang w:val="ru-RU"/>
        </w:rPr>
        <w:t>ПК</w:t>
      </w:r>
      <w:r w:rsidR="00797B8E" w:rsidRPr="00797B8E">
        <w:rPr>
          <w:lang w:val="ru-RU"/>
        </w:rPr>
        <w:t>-18, и заяв</w:t>
      </w:r>
      <w:r w:rsidR="00797B8E">
        <w:rPr>
          <w:lang w:val="ru-RU"/>
        </w:rPr>
        <w:t>ляет</w:t>
      </w:r>
      <w:r w:rsidR="00797B8E" w:rsidRPr="00797B8E">
        <w:rPr>
          <w:lang w:val="ru-RU"/>
        </w:rPr>
        <w:t xml:space="preserve">, что он </w:t>
      </w:r>
      <w:r w:rsidR="00797B8E">
        <w:rPr>
          <w:lang w:val="ru-RU"/>
        </w:rPr>
        <w:t>в полной мере</w:t>
      </w:r>
      <w:r w:rsidR="00797B8E" w:rsidRPr="00797B8E">
        <w:rPr>
          <w:lang w:val="ru-RU"/>
        </w:rPr>
        <w:t xml:space="preserve"> вовлечен в этот процесс в преддверии </w:t>
      </w:r>
      <w:r w:rsidR="00797B8E">
        <w:rPr>
          <w:lang w:val="ru-RU"/>
        </w:rPr>
        <w:t>ПК</w:t>
      </w:r>
      <w:r w:rsidR="00797B8E" w:rsidRPr="00797B8E">
        <w:rPr>
          <w:lang w:val="ru-RU"/>
        </w:rPr>
        <w:t xml:space="preserve">-26. </w:t>
      </w:r>
      <w:r w:rsidR="00797B8E">
        <w:rPr>
          <w:lang w:val="ru-RU"/>
        </w:rPr>
        <w:t>Результативный</w:t>
      </w:r>
      <w:r w:rsidR="00797B8E" w:rsidRPr="00797B8E">
        <w:rPr>
          <w:lang w:val="ru-RU"/>
        </w:rPr>
        <w:t xml:space="preserve"> и основанный на сотрудничестве подготовительный процесс обеспечит успех Конференции. Он также добав</w:t>
      </w:r>
      <w:r w:rsidR="00797B8E">
        <w:rPr>
          <w:lang w:val="ru-RU"/>
        </w:rPr>
        <w:t>ляет</w:t>
      </w:r>
      <w:r w:rsidR="00797B8E" w:rsidRPr="00797B8E">
        <w:rPr>
          <w:lang w:val="ru-RU"/>
        </w:rPr>
        <w:t>, что географический баланс в руководстве будет обеспечиваться на основе региональных предложений.</w:t>
      </w:r>
    </w:p>
    <w:p w14:paraId="38A0DDB8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2.12</w:t>
      </w:r>
      <w:r w:rsidRPr="00543F38">
        <w:rPr>
          <w:lang w:val="ru-RU"/>
        </w:rPr>
        <w:tab/>
        <w:t xml:space="preserve">Советник от Румынии, выступая </w:t>
      </w:r>
      <w:r>
        <w:rPr>
          <w:lang w:val="ru-RU"/>
        </w:rPr>
        <w:t xml:space="preserve">от имени </w:t>
      </w:r>
      <w:r w:rsidRPr="00543F38">
        <w:rPr>
          <w:lang w:val="ru-RU"/>
        </w:rPr>
        <w:t>принимающей стр</w:t>
      </w:r>
      <w:r>
        <w:rPr>
          <w:lang w:val="ru-RU"/>
        </w:rPr>
        <w:t>а</w:t>
      </w:r>
      <w:r w:rsidRPr="00543F38">
        <w:rPr>
          <w:lang w:val="ru-RU"/>
        </w:rPr>
        <w:t>ны ПК-22, выражает признательность за созданные условия в Дохе, решительную поддержку секретариата и процесс межрегиональной координации, который позволит сэкономить время и сократить число сессий в вечерние часы. Она поддерживает запланированные инициативы в области подготовки и меры в области экологизации и одобряет руководящие указания по мероприятиям в рамках предвыборных кампаний.</w:t>
      </w:r>
    </w:p>
    <w:p w14:paraId="0E669B03" w14:textId="3386CD20" w:rsidR="005452D8" w:rsidRPr="00570200" w:rsidRDefault="005452D8" w:rsidP="00007BE4">
      <w:pPr>
        <w:jc w:val="both"/>
        <w:rPr>
          <w:spacing w:val="-2"/>
          <w:lang w:val="ru-RU"/>
        </w:rPr>
      </w:pPr>
      <w:r w:rsidRPr="00570200">
        <w:rPr>
          <w:spacing w:val="-2"/>
          <w:lang w:val="ru-RU"/>
        </w:rPr>
        <w:t>2.13</w:t>
      </w:r>
      <w:r w:rsidRPr="00570200">
        <w:rPr>
          <w:spacing w:val="-2"/>
          <w:lang w:val="ru-RU"/>
        </w:rPr>
        <w:tab/>
        <w:t xml:space="preserve">Секретарь пленарного заседания подтверждает, что секретариат продолжит предлагать курсы подготовки по процессам Конференции. Она приветствует предложение Саудовской Аравии принять </w:t>
      </w:r>
      <w:r w:rsidR="00C44F11" w:rsidRPr="00570200">
        <w:rPr>
          <w:spacing w:val="-2"/>
          <w:lang w:val="ru-RU"/>
        </w:rPr>
        <w:t xml:space="preserve">последнее </w:t>
      </w:r>
      <w:r w:rsidRPr="00570200">
        <w:rPr>
          <w:spacing w:val="-2"/>
          <w:lang w:val="ru-RU"/>
        </w:rPr>
        <w:t>межрегиональное подготовительное собрание, на котором будет обеспечена возможность дистанционного участия. Что касается предлагаемой поправки к п.</w:t>
      </w:r>
      <w:r w:rsidR="007B615C" w:rsidRPr="00570200">
        <w:rPr>
          <w:spacing w:val="-2"/>
          <w:lang w:val="ru-RU"/>
        </w:rPr>
        <w:t> </w:t>
      </w:r>
      <w:r w:rsidRPr="00570200">
        <w:rPr>
          <w:spacing w:val="-2"/>
          <w:lang w:val="ru-RU"/>
        </w:rPr>
        <w:t xml:space="preserve">12.2 Положений о персонале и Правил о персонале, то этот вопрос относится к компетенции Совета. </w:t>
      </w:r>
      <w:r w:rsidRPr="00570200">
        <w:rPr>
          <w:spacing w:val="-2"/>
          <w:lang w:val="ru-RU"/>
        </w:rPr>
        <w:lastRenderedPageBreak/>
        <w:t>Руководящие указания по этическим аспектам определенных предвыборных мероприятий, оставленные без изменений и уже одобренные в 2017 и 2021</w:t>
      </w:r>
      <w:r w:rsidR="00AA1DF8" w:rsidRPr="00570200">
        <w:rPr>
          <w:spacing w:val="-2"/>
          <w:lang w:val="en-US"/>
        </w:rPr>
        <w:t> </w:t>
      </w:r>
      <w:r w:rsidRPr="00570200">
        <w:rPr>
          <w:spacing w:val="-2"/>
          <w:lang w:val="ru-RU"/>
        </w:rPr>
        <w:t>годах, не являются юридически обязывающими; повторное одобрение обеспечило бы дальнейшие ориентиры для предстоящих предвыборных кампаний.</w:t>
      </w:r>
    </w:p>
    <w:p w14:paraId="11557A4A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2.14</w:t>
      </w:r>
      <w:r w:rsidRPr="00543F38">
        <w:rPr>
          <w:lang w:val="ru-RU"/>
        </w:rPr>
        <w:tab/>
        <w:t>Председатель предлагает Совету принять к сведению Документ C25/4 и повторно одобрить Руководящие указания по этическим аспектам определенных предвыборных мероприятий.</w:t>
      </w:r>
    </w:p>
    <w:p w14:paraId="17412534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2.15</w:t>
      </w:r>
      <w:r w:rsidRPr="00543F38">
        <w:rPr>
          <w:lang w:val="ru-RU"/>
        </w:rPr>
        <w:tab/>
        <w:t xml:space="preserve">Предложение </w:t>
      </w:r>
      <w:r w:rsidRPr="00543F38">
        <w:rPr>
          <w:b/>
          <w:bCs/>
          <w:lang w:val="ru-RU"/>
        </w:rPr>
        <w:t>принимается</w:t>
      </w:r>
      <w:r w:rsidRPr="00543F38">
        <w:rPr>
          <w:lang w:val="ru-RU"/>
        </w:rPr>
        <w:t>.</w:t>
      </w:r>
    </w:p>
    <w:p w14:paraId="393CF7D6" w14:textId="5F7047E2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t>3</w:t>
      </w:r>
      <w:r w:rsidRPr="00543F38">
        <w:rPr>
          <w:lang w:val="ru-RU"/>
        </w:rPr>
        <w:tab/>
        <w:t xml:space="preserve">Отчет о Глобальном симпозиуме по стандартам 2024 года и Всемирной ассамблее по стандартизации электросвязи 2024 года </w:t>
      </w:r>
      <w:r w:rsidR="00AA1DF8">
        <w:rPr>
          <w:lang w:val="ru-RU"/>
        </w:rPr>
        <w:br/>
      </w:r>
      <w:r w:rsidRPr="00543F38">
        <w:rPr>
          <w:lang w:val="ru-RU"/>
        </w:rPr>
        <w:t xml:space="preserve">(Документы </w:t>
      </w:r>
      <w:hyperlink r:id="rId16" w:history="1">
        <w:proofErr w:type="spellStart"/>
        <w:r w:rsidRPr="00543F38">
          <w:rPr>
            <w:rStyle w:val="Hyperlink"/>
            <w:rFonts w:eastAsia="SimSun"/>
            <w:lang w:val="ru-RU"/>
          </w:rPr>
          <w:t>C25</w:t>
        </w:r>
        <w:proofErr w:type="spellEnd"/>
        <w:r w:rsidRPr="00543F38">
          <w:rPr>
            <w:rStyle w:val="Hyperlink"/>
            <w:rFonts w:eastAsia="SimSun"/>
            <w:lang w:val="ru-RU"/>
          </w:rPr>
          <w:t>/24</w:t>
        </w:r>
      </w:hyperlink>
      <w:r w:rsidRPr="00543F38">
        <w:rPr>
          <w:rFonts w:eastAsia="SimSun"/>
          <w:lang w:val="ru-RU"/>
        </w:rPr>
        <w:t xml:space="preserve">, </w:t>
      </w:r>
      <w:hyperlink r:id="rId17" w:history="1">
        <w:proofErr w:type="spellStart"/>
        <w:r w:rsidRPr="00543F38">
          <w:rPr>
            <w:rStyle w:val="Hyperlink"/>
            <w:rFonts w:eastAsia="SimSun"/>
            <w:lang w:val="ru-RU"/>
          </w:rPr>
          <w:t>C25</w:t>
        </w:r>
        <w:proofErr w:type="spellEnd"/>
        <w:r w:rsidRPr="00543F38">
          <w:rPr>
            <w:rStyle w:val="Hyperlink"/>
            <w:rFonts w:eastAsia="SimSun"/>
            <w:lang w:val="ru-RU"/>
          </w:rPr>
          <w:t>/</w:t>
        </w:r>
        <w:proofErr w:type="spellStart"/>
        <w:r w:rsidRPr="00543F38">
          <w:rPr>
            <w:rStyle w:val="Hyperlink"/>
            <w:rFonts w:eastAsia="SimSun"/>
            <w:lang w:val="ru-RU"/>
          </w:rPr>
          <w:t>INF</w:t>
        </w:r>
        <w:proofErr w:type="spellEnd"/>
        <w:r w:rsidRPr="00543F38">
          <w:rPr>
            <w:rStyle w:val="Hyperlink"/>
            <w:rFonts w:eastAsia="SimSun"/>
            <w:lang w:val="ru-RU"/>
          </w:rPr>
          <w:t>/14</w:t>
        </w:r>
      </w:hyperlink>
      <w:r w:rsidRPr="00543F38">
        <w:rPr>
          <w:lang w:val="ru-RU"/>
        </w:rPr>
        <w:t>)</w:t>
      </w:r>
      <w:hyperlink r:id="rId18" w:history="1"/>
      <w:hyperlink r:id="rId19" w:history="1"/>
    </w:p>
    <w:p w14:paraId="72FC8C34" w14:textId="5D17612F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3.1</w:t>
      </w:r>
      <w:r w:rsidRPr="00543F38">
        <w:rPr>
          <w:lang w:val="ru-RU"/>
        </w:rPr>
        <w:tab/>
        <w:t>Директор Бюро стандартизации электросвязи (БСЭ) выражает искреннюю благодарность правительству Индии за исключительное гостеприимство и организацию Глобального симпозиума по стандартам 2024 года (ГСС-24) и Всемирной ассамблеи по стандартизации электросвязи 2024 года (ВАСЭ-24).</w:t>
      </w:r>
    </w:p>
    <w:p w14:paraId="5D9BA152" w14:textId="38B39993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3.2</w:t>
      </w:r>
      <w:r w:rsidRPr="00543F38">
        <w:rPr>
          <w:lang w:val="ru-RU"/>
        </w:rPr>
        <w:tab/>
        <w:t>Заместитель Директора БСЭ представляет отчет секретариата об этих двух мероприятиях (Документ C25/24) и предлагает Советникам обращаться к Документу C25/INF/14 для получения более подробной информации об этих мероприятиях.</w:t>
      </w:r>
    </w:p>
    <w:p w14:paraId="3688BF80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3.3</w:t>
      </w:r>
      <w:r w:rsidRPr="00543F38">
        <w:rPr>
          <w:lang w:val="ru-RU"/>
        </w:rPr>
        <w:tab/>
        <w:t>Несколько Советников дают высокую оценку итогам обоих мероприятий, отмечая, что вклады ГСС-24 способствовали достижению результатов ВАСЭ-24, в том числе новых и пересмотренных Резолюций о работе МСЭ-Т в ключевых областях, таких как устойчивая цифровая трансформация, цифровая инфраструктура общего пользования и цифровизация обществ, а также объединению 9-й и 16-й Исследовательских комиссий в новую 21-ю Исследовательскую комиссию МСЭ-Т.</w:t>
      </w:r>
    </w:p>
    <w:p w14:paraId="37275CE1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3.4</w:t>
      </w:r>
      <w:r w:rsidRPr="00543F38">
        <w:rPr>
          <w:lang w:val="ru-RU"/>
        </w:rPr>
        <w:tab/>
        <w:t>Еще один Советник приветствует уделение все большего внимания стандартизации в области искусственного интеллекта (ИИ) и устойчивости, а также прогресс, достигнутый Сетью женщин в МСЭ-Т. Он поддерживает предложение о выдвижении женщин на руководящие должности в МСЭ-Т.</w:t>
      </w:r>
    </w:p>
    <w:p w14:paraId="7C22F33C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3.5</w:t>
      </w:r>
      <w:r w:rsidRPr="00543F38">
        <w:rPr>
          <w:lang w:val="ru-RU"/>
        </w:rPr>
        <w:tab/>
        <w:t>Генеральный секретарь благодарит правительство Индии за гостеприимство и прекрасную организацию обоих мероприятий. Итоги ВАСЭ-24 отражают общую приверженность ответственной цифровой трансформации.</w:t>
      </w:r>
    </w:p>
    <w:p w14:paraId="63DA3A48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3.6</w:t>
      </w:r>
      <w:r w:rsidRPr="00543F38">
        <w:rPr>
          <w:lang w:val="ru-RU"/>
        </w:rPr>
        <w:tab/>
        <w:t xml:space="preserve">Советник от Индии выражает благодарность </w:t>
      </w:r>
      <w:r>
        <w:rPr>
          <w:lang w:val="ru-RU"/>
        </w:rPr>
        <w:t xml:space="preserve">от имени </w:t>
      </w:r>
      <w:r w:rsidRPr="00543F38">
        <w:rPr>
          <w:lang w:val="ru-RU"/>
        </w:rPr>
        <w:t>правительства своей страны Государствам-Членам, руководству и персоналу МСЭ за их поддержку в обеспечении успеха ВАСЭ-24.</w:t>
      </w:r>
    </w:p>
    <w:p w14:paraId="45FAD52A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3.7</w:t>
      </w:r>
      <w:r w:rsidRPr="00543F38">
        <w:rPr>
          <w:lang w:val="ru-RU"/>
        </w:rPr>
        <w:tab/>
        <w:t xml:space="preserve">Совет </w:t>
      </w:r>
      <w:r w:rsidRPr="00543F38">
        <w:rPr>
          <w:b/>
          <w:bCs/>
          <w:lang w:val="ru-RU"/>
        </w:rPr>
        <w:t xml:space="preserve">принимает к сведению </w:t>
      </w:r>
      <w:r w:rsidRPr="00543F38">
        <w:rPr>
          <w:lang w:val="ru-RU"/>
        </w:rPr>
        <w:t>отчет, содержащийся в Документе C25/24.</w:t>
      </w:r>
    </w:p>
    <w:p w14:paraId="42D09382" w14:textId="64F83E89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t>4</w:t>
      </w:r>
      <w:r w:rsidRPr="00543F38">
        <w:rPr>
          <w:lang w:val="ru-RU"/>
        </w:rPr>
        <w:tab/>
        <w:t xml:space="preserve">Отчет Председателя Рабочей группы Совета по вопросам международной государственной политики, касающимся интернета (Документ </w:t>
      </w:r>
      <w:hyperlink r:id="rId20" w:history="1">
        <w:proofErr w:type="spellStart"/>
        <w:r w:rsidRPr="00543F38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</w:t>
        </w:r>
        <w:proofErr w:type="spellEnd"/>
        <w:r w:rsidRPr="00543F38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/51</w:t>
        </w:r>
      </w:hyperlink>
      <w:r w:rsidRPr="00543F38">
        <w:rPr>
          <w:lang w:val="ru-RU"/>
        </w:rPr>
        <w:t>)</w:t>
      </w:r>
      <w:hyperlink r:id="rId21" w:history="1"/>
    </w:p>
    <w:p w14:paraId="56B7C79A" w14:textId="66B3B511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4.1</w:t>
      </w:r>
      <w:r w:rsidRPr="00543F38">
        <w:rPr>
          <w:lang w:val="ru-RU"/>
        </w:rPr>
        <w:tab/>
        <w:t>Председатель Рабочей группы Совета по вопросам международной государственной политики, касающимся интернета (РГС-Интернет), представляет Документ C25/51, в котором кратко изложены итоги 20-го и 21-го собраний Группы, состоявшихся 4 октября 2024 года и 19</w:t>
      </w:r>
      <w:r>
        <w:rPr>
          <w:rFonts w:cs="Calibri"/>
          <w:lang w:val="ru-RU"/>
        </w:rPr>
        <w:t>−</w:t>
      </w:r>
      <w:r w:rsidRPr="00543F38">
        <w:rPr>
          <w:lang w:val="ru-RU"/>
        </w:rPr>
        <w:t>20 февраля 2025 года, соответственно.</w:t>
      </w:r>
    </w:p>
    <w:p w14:paraId="637155EE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lastRenderedPageBreak/>
        <w:t>4.2</w:t>
      </w:r>
      <w:r w:rsidRPr="00543F38">
        <w:rPr>
          <w:lang w:val="ru-RU"/>
        </w:rPr>
        <w:tab/>
        <w:t xml:space="preserve">Несколько Советников отмечают, что принимать участие в работе РГС-Интернет могут исключительно Государства-Члены, и предлагают включить в нее Членов Секторов, в частности представителей сообщества технических экспертов, специальные знания и опыт </w:t>
      </w:r>
      <w:r>
        <w:rPr>
          <w:lang w:val="ru-RU"/>
        </w:rPr>
        <w:t xml:space="preserve">которых </w:t>
      </w:r>
      <w:r w:rsidRPr="00543F38">
        <w:rPr>
          <w:lang w:val="ru-RU"/>
        </w:rPr>
        <w:t xml:space="preserve">весьма актуальны. Один из Советников спрашивает, следует ли Полномочной конференции внести поправки в круг ведения Группы путем пересмотра Резолюции 102 (Пересм. Бухарест, 2022 г.). Один из наблюдателей напоминает, что в ходе предыдущих обсуждений на Совете </w:t>
      </w:r>
      <w:r>
        <w:rPr>
          <w:lang w:val="ru-RU"/>
        </w:rPr>
        <w:t xml:space="preserve">по вопросу </w:t>
      </w:r>
      <w:r w:rsidRPr="00543F38">
        <w:rPr>
          <w:lang w:val="ru-RU"/>
        </w:rPr>
        <w:t>членств</w:t>
      </w:r>
      <w:r>
        <w:rPr>
          <w:lang w:val="ru-RU"/>
        </w:rPr>
        <w:t>а</w:t>
      </w:r>
      <w:r w:rsidRPr="00543F38">
        <w:rPr>
          <w:lang w:val="ru-RU"/>
        </w:rPr>
        <w:t xml:space="preserve"> в РГС-Интернет был</w:t>
      </w:r>
      <w:r>
        <w:rPr>
          <w:lang w:val="ru-RU"/>
        </w:rPr>
        <w:t>и высказаны противоположные мнения,</w:t>
      </w:r>
      <w:r w:rsidRPr="00543F38">
        <w:rPr>
          <w:lang w:val="ru-RU"/>
        </w:rPr>
        <w:t xml:space="preserve"> и говорит, что этот вопрос следует поднять на ПК-26. Секретарь пленарного заседания подтверждает, что изменения в круг ведения, закрепленный в Резолюции ПК, может вносить только Полномочная конференция.</w:t>
      </w:r>
    </w:p>
    <w:p w14:paraId="0DFA7663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4.3</w:t>
      </w:r>
      <w:r w:rsidRPr="00543F38">
        <w:rPr>
          <w:lang w:val="ru-RU"/>
        </w:rPr>
        <w:tab/>
        <w:t>Несколько Советников ссылаются на продолжающиеся открытые консультации по развивающимся странам, не имеющим выхода к морю (ЛЛДС), и призывают секретариат изучить возможность целе</w:t>
      </w:r>
      <w:r>
        <w:rPr>
          <w:lang w:val="ru-RU"/>
        </w:rPr>
        <w:t xml:space="preserve">направленной работы </w:t>
      </w:r>
      <w:r w:rsidRPr="00543F38">
        <w:rPr>
          <w:lang w:val="ru-RU"/>
        </w:rPr>
        <w:t>и создания потенциала для ЛЛДС, которые зависят от транзитных стран в вопросах установления соединений. Государствам-Членам настоятельно рекоменд</w:t>
      </w:r>
      <w:r>
        <w:rPr>
          <w:lang w:val="ru-RU"/>
        </w:rPr>
        <w:t xml:space="preserve">уется </w:t>
      </w:r>
      <w:r w:rsidRPr="00543F38">
        <w:rPr>
          <w:lang w:val="ru-RU"/>
        </w:rPr>
        <w:t>прин</w:t>
      </w:r>
      <w:r>
        <w:rPr>
          <w:lang w:val="ru-RU"/>
        </w:rPr>
        <w:t>я</w:t>
      </w:r>
      <w:r w:rsidRPr="00543F38">
        <w:rPr>
          <w:lang w:val="ru-RU"/>
        </w:rPr>
        <w:t xml:space="preserve">ть активное участие в этих консультациях. </w:t>
      </w:r>
    </w:p>
    <w:p w14:paraId="5C9C6F28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4.4</w:t>
      </w:r>
      <w:r w:rsidRPr="00543F38">
        <w:rPr>
          <w:lang w:val="ru-RU"/>
        </w:rPr>
        <w:tab/>
        <w:t>Несколько Советников рекомендуют включать в будущие отчеты РГС-Интернет резюме и обновленную информацию о ходе выполнения предыдущих рекомендаций, с тем чтобы облегчить оценку того, привели ли консультации к конкретным результатам или остаются в основном платформами для обсуждений. Один из наблюдателей отмечает, что в данном отчете не содержится каких-либо рекомендаций для Совета.</w:t>
      </w:r>
    </w:p>
    <w:p w14:paraId="78613E66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4.5</w:t>
      </w:r>
      <w:r w:rsidRPr="00543F38">
        <w:rPr>
          <w:lang w:val="ru-RU"/>
        </w:rPr>
        <w:tab/>
        <w:t>Одн</w:t>
      </w:r>
      <w:r>
        <w:rPr>
          <w:lang w:val="ru-RU"/>
        </w:rPr>
        <w:t>а</w:t>
      </w:r>
      <w:r w:rsidRPr="00543F38">
        <w:rPr>
          <w:lang w:val="ru-RU"/>
        </w:rPr>
        <w:t xml:space="preserve"> из Советников просит выполнить Резолюцию 1305 (C09, последнее изменение C24) Совета</w:t>
      </w:r>
      <w:r>
        <w:rPr>
          <w:lang w:val="ru-RU"/>
        </w:rPr>
        <w:t>,</w:t>
      </w:r>
      <w:r w:rsidRPr="00543F38">
        <w:rPr>
          <w:lang w:val="ru-RU"/>
        </w:rPr>
        <w:t xml:space="preserve"> в частности п. 2 раздела </w:t>
      </w:r>
      <w:r w:rsidRPr="00543F38">
        <w:rPr>
          <w:i/>
          <w:iCs/>
          <w:lang w:val="ru-RU"/>
        </w:rPr>
        <w:t>поручает Генеральному секретарю</w:t>
      </w:r>
      <w:r w:rsidRPr="00543F38">
        <w:rPr>
          <w:lang w:val="ru-RU"/>
        </w:rPr>
        <w:t>, с тем чтобы повысить эффективность работы РГС-Интернет и консультаций в ее рамках. Еще один Советник подчеркивает важность выполнения РГС-Интернет элементов своего мандата помимо консультаций.</w:t>
      </w:r>
    </w:p>
    <w:p w14:paraId="45A3CC56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4.6</w:t>
      </w:r>
      <w:r w:rsidRPr="00543F38">
        <w:rPr>
          <w:lang w:val="ru-RU"/>
        </w:rPr>
        <w:tab/>
        <w:t>Еще одн</w:t>
      </w:r>
      <w:r>
        <w:rPr>
          <w:lang w:val="ru-RU"/>
        </w:rPr>
        <w:t>а</w:t>
      </w:r>
      <w:r w:rsidRPr="00543F38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543F38">
        <w:rPr>
          <w:lang w:val="ru-RU"/>
        </w:rPr>
        <w:t>Советник</w:t>
      </w:r>
      <w:r>
        <w:rPr>
          <w:lang w:val="ru-RU"/>
        </w:rPr>
        <w:t>ов</w:t>
      </w:r>
      <w:r w:rsidRPr="00543F38">
        <w:rPr>
          <w:lang w:val="ru-RU"/>
        </w:rPr>
        <w:t xml:space="preserve"> подчеркивает роль государственной политики в содействии многоязычию интернета и обеспечении реальной возможности установления соединений для ЛЛДС в качестве приоритетных областей деятельности МСЭ. </w:t>
      </w:r>
    </w:p>
    <w:p w14:paraId="37E2CDB1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4.7</w:t>
      </w:r>
      <w:r w:rsidRPr="00543F38">
        <w:rPr>
          <w:lang w:val="ru-RU"/>
        </w:rPr>
        <w:tab/>
        <w:t xml:space="preserve">Председатель РГС-Интернет настоятельно призывает Государства-Члены представлять предложения к следующему собранию и приглашает к широкому участию в открытых консультациях. Руководящий состав взаимодействовал с заинтересованными сторонами и продолжит эту работу, в том числе на предстоящем Форуме по вопросам управления использованием интернета в Норвегии. </w:t>
      </w:r>
    </w:p>
    <w:p w14:paraId="12F9DFF6" w14:textId="2283EE4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4.8</w:t>
      </w:r>
      <w:r w:rsidRPr="00543F38">
        <w:rPr>
          <w:lang w:val="ru-RU"/>
        </w:rPr>
        <w:tab/>
        <w:t xml:space="preserve">Совет </w:t>
      </w:r>
      <w:r w:rsidRPr="00543F38">
        <w:rPr>
          <w:b/>
          <w:bCs/>
          <w:lang w:val="ru-RU"/>
        </w:rPr>
        <w:t xml:space="preserve">принимает к сведению </w:t>
      </w:r>
      <w:r w:rsidRPr="00543F38">
        <w:rPr>
          <w:lang w:val="ru-RU"/>
        </w:rPr>
        <w:t>отчет, содержащийся в Документе C25/51.</w:t>
      </w:r>
    </w:p>
    <w:p w14:paraId="17119FFC" w14:textId="77777777" w:rsidR="005452D8" w:rsidRPr="00543F38" w:rsidRDefault="005452D8" w:rsidP="005452D8">
      <w:pPr>
        <w:pStyle w:val="Heading1"/>
        <w:rPr>
          <w:lang w:val="ru-RU"/>
        </w:rPr>
      </w:pPr>
      <w:bookmarkStart w:id="8" w:name="_Hlk201249041"/>
      <w:r w:rsidRPr="00543F38">
        <w:rPr>
          <w:bCs/>
          <w:lang w:val="ru-RU"/>
        </w:rPr>
        <w:t>5</w:t>
      </w:r>
      <w:r w:rsidRPr="00543F38">
        <w:rPr>
          <w:lang w:val="ru-RU"/>
        </w:rPr>
        <w:tab/>
        <w:t xml:space="preserve">Деятельность МСЭ в области интернета: Резолюции 101, 102, 133, 180 и 206 Полномочной конференции (Документ </w:t>
      </w:r>
      <w:hyperlink r:id="rId22" w:history="1">
        <w:proofErr w:type="spellStart"/>
        <w:r w:rsidRPr="00543F38">
          <w:rPr>
            <w:rStyle w:val="Hyperlink"/>
            <w:lang w:val="ru-RU"/>
          </w:rPr>
          <w:t>C25</w:t>
        </w:r>
        <w:proofErr w:type="spellEnd"/>
        <w:r w:rsidRPr="00543F38">
          <w:rPr>
            <w:rStyle w:val="Hyperlink"/>
            <w:lang w:val="ru-RU"/>
          </w:rPr>
          <w:t>/33</w:t>
        </w:r>
      </w:hyperlink>
      <w:r w:rsidRPr="00543F38">
        <w:rPr>
          <w:lang w:val="ru-RU"/>
        </w:rPr>
        <w:t>)</w:t>
      </w:r>
      <w:hyperlink r:id="rId23" w:history="1"/>
    </w:p>
    <w:p w14:paraId="1A334231" w14:textId="26E0E050" w:rsidR="005452D8" w:rsidRPr="00570200" w:rsidRDefault="005452D8" w:rsidP="00007BE4">
      <w:pPr>
        <w:jc w:val="both"/>
        <w:rPr>
          <w:rFonts w:cs="Calibri"/>
          <w:spacing w:val="-2"/>
          <w:szCs w:val="24"/>
          <w:lang w:val="ru-RU"/>
        </w:rPr>
      </w:pPr>
      <w:r w:rsidRPr="00570200">
        <w:rPr>
          <w:spacing w:val="-2"/>
          <w:lang w:val="ru-RU"/>
        </w:rPr>
        <w:t>5.1</w:t>
      </w:r>
      <w:r w:rsidRPr="00570200">
        <w:rPr>
          <w:spacing w:val="-2"/>
          <w:lang w:val="ru-RU"/>
        </w:rPr>
        <w:tab/>
        <w:t>Представитель Генерального секретариата представляет Документ C25/33, в котором содержится отчет о деятельности МСЭ, связанной со следующими Резолюциями ПК: Резолюцией 101 (Пересм. Бухарест, 2022 г.) о сетях, базирующихся на протоколе Интернет, Резолюцией 102 (Пересм. Бухарест, 2022 г.) о роли МСЭ в вопросах международной государственной политики, касающихся интернета и управления ресурсами интернета, включая наименования доменов и адреса, Резолюцией 133 (Пересм. Бухарест, 2022 г.) о роли администраций Государств-Членов в управлении интернационализированными (многоязычными) наименованиями доменов, Резолюцией 180 (Пересм. Бухарест, 2022 г.) о</w:t>
      </w:r>
      <w:r w:rsidR="007B615C" w:rsidRPr="00570200">
        <w:rPr>
          <w:spacing w:val="-2"/>
          <w:lang w:val="ru-RU"/>
        </w:rPr>
        <w:t> </w:t>
      </w:r>
      <w:r w:rsidRPr="00570200">
        <w:rPr>
          <w:spacing w:val="-2"/>
          <w:lang w:val="ru-RU"/>
        </w:rPr>
        <w:t>содействии внедрению протокола Интернет версии 6 и Резолюцией 206 (Пересм. Дубай, 2018</w:t>
      </w:r>
      <w:r w:rsidR="007B615C" w:rsidRPr="00570200">
        <w:rPr>
          <w:spacing w:val="-2"/>
          <w:lang w:val="ru-RU"/>
        </w:rPr>
        <w:t> </w:t>
      </w:r>
      <w:r w:rsidRPr="00570200">
        <w:rPr>
          <w:spacing w:val="-2"/>
          <w:lang w:val="ru-RU"/>
        </w:rPr>
        <w:t>г.) об ОТТ.</w:t>
      </w:r>
    </w:p>
    <w:p w14:paraId="3B7F1BC1" w14:textId="77777777" w:rsidR="005452D8" w:rsidRPr="00543F38" w:rsidRDefault="005452D8" w:rsidP="00007BE4">
      <w:pPr>
        <w:jc w:val="both"/>
        <w:rPr>
          <w:rFonts w:cs="Calibri"/>
          <w:szCs w:val="24"/>
          <w:lang w:val="ru-RU"/>
        </w:rPr>
      </w:pPr>
      <w:r w:rsidRPr="00543F38">
        <w:rPr>
          <w:lang w:val="ru-RU"/>
        </w:rPr>
        <w:t>5.2</w:t>
      </w:r>
      <w:r w:rsidRPr="00543F38">
        <w:rPr>
          <w:lang w:val="ru-RU"/>
        </w:rPr>
        <w:tab/>
        <w:t xml:space="preserve">Советник от Парагвая повторно представляет просьбу его страны, озвученную на собраниях РГС-Интернет, о том, чтобы отчеты о деятельности МСЭ в области интернета </w:t>
      </w:r>
      <w:r w:rsidRPr="00543F38">
        <w:rPr>
          <w:lang w:val="ru-RU"/>
        </w:rPr>
        <w:lastRenderedPageBreak/>
        <w:t>содержали ссылку на Резолюцию 1 (Дубай, 2012 г.) Всемирной конференции по международной электросвязи о специальных мерах для развивающихся стран, не имеющих выхода к морю, и малых островных развивающихся государств в отношении доступа к международным волоконно-оптическим сетям. Он предлагает включить данные из отчетов "Факты и цифры: в центре внимания – малые островные развивающиеся государства" и "Факты и цифры: в центре внимания – развивающиеся страны, не имеющие выхода к морю", поскольку эти данные выявят пробелы и послужат ориентиром для разработки следующего стратегического плана Союза.</w:t>
      </w:r>
    </w:p>
    <w:p w14:paraId="16589FAB" w14:textId="77777777" w:rsidR="005452D8" w:rsidRPr="00007BE4" w:rsidRDefault="005452D8" w:rsidP="00007BE4">
      <w:pPr>
        <w:jc w:val="both"/>
        <w:rPr>
          <w:rFonts w:cs="Calibri"/>
          <w:spacing w:val="-2"/>
          <w:szCs w:val="24"/>
          <w:lang w:val="ru-RU"/>
        </w:rPr>
      </w:pPr>
      <w:r w:rsidRPr="00007BE4">
        <w:rPr>
          <w:spacing w:val="-2"/>
          <w:lang w:val="ru-RU"/>
        </w:rPr>
        <w:t>5.3</w:t>
      </w:r>
      <w:r w:rsidRPr="00007BE4">
        <w:rPr>
          <w:spacing w:val="-2"/>
          <w:lang w:val="ru-RU"/>
        </w:rPr>
        <w:tab/>
        <w:t xml:space="preserve">Одна из Советников предлагает рассмотреть в рамках РГС-Интернет и соответствующей исследовательской комиссии МСЭ-Т вопрос о создании отдельных оперативных групп МСЭ-Т по ИИ и интернету вещей, при этом основное внимание предполагается уделять вопросам социально-экономического развития в целом, не ограничиваясь цифровым сельским хозяйством. </w:t>
      </w:r>
    </w:p>
    <w:p w14:paraId="60F233D1" w14:textId="497B1915" w:rsidR="005452D8" w:rsidRPr="00570200" w:rsidRDefault="005452D8" w:rsidP="00007BE4">
      <w:pPr>
        <w:jc w:val="both"/>
        <w:rPr>
          <w:rFonts w:cs="Calibri"/>
          <w:spacing w:val="-2"/>
          <w:szCs w:val="24"/>
          <w:lang w:val="ru-RU"/>
        </w:rPr>
      </w:pPr>
      <w:r w:rsidRPr="00570200">
        <w:rPr>
          <w:spacing w:val="-2"/>
          <w:lang w:val="ru-RU"/>
        </w:rPr>
        <w:t>5.4</w:t>
      </w:r>
      <w:r w:rsidRPr="00570200">
        <w:rPr>
          <w:spacing w:val="-2"/>
          <w:lang w:val="ru-RU"/>
        </w:rPr>
        <w:tab/>
        <w:t>Советник от Кубы просит пересмотреть п. 2.9 Документа C25/33, с тем чтобы уточнить информацию об инцидентах, охватываемых Резолюцией 69 (Пересм. Хаммамет, 2016 г.) ВАСЭ о доступе к ресурсам интернета и их использовании на недискриминационной основе. На Кубе нет возможности получить доступ ко многим ресурсам в интернете из-за односторонних мер; таким образом, сообщение, что за период с 2009 года было зарегистрировано 37 таких инцидентов, не соответствует действительности. Санкции, введенные против Кубы Соединенными Штатами Америки в нарушение международного права, ограничили доступ к произведенным по лицензии технологиям и оборудованию, включая антенны подвижной связи и компьютерные системы, которые более чем на 10 процентов состоят из компонентов американского происхождения или защищены патентом США. Не представляется возможным получить доступ к определенным веб-сайтам и поисковым системам, равно как и к специализированной информации, необходимой для образования. Куба, являющаяся членом Ассоциации GSM с 2003 года, с 2020 года была лишена права участия в связи с односторонними мерами. Тем не менее, она смогла участвовать в мероприятиях "на полях" Всемирного конгресса по подвижной связи в Барселоне благодаря принимающей стране. До тех пор, пока будут действовать односторонние меры, Куба не сможет достичь стратегических целей, касающихся универсальной возможности установления соединений и устойчивой цифровой трансформации. Для достижения универсальной возможности установления соединений она призывает МСЭ обеспечить выполнение Статьи 1 Устава МСЭ и Резолюции</w:t>
      </w:r>
      <w:r w:rsidR="00B22592" w:rsidRPr="00570200">
        <w:rPr>
          <w:spacing w:val="-2"/>
          <w:lang w:val="ru-RU"/>
        </w:rPr>
        <w:t> </w:t>
      </w:r>
      <w:r w:rsidRPr="00570200">
        <w:rPr>
          <w:spacing w:val="-2"/>
          <w:lang w:val="ru-RU"/>
        </w:rPr>
        <w:t>69 (Пересм. Хаммамет, 2016 г.) и призвать Государства-Члены воздерживаться от введения односторонних мер в отношении других.</w:t>
      </w:r>
    </w:p>
    <w:p w14:paraId="46BACAD1" w14:textId="77777777" w:rsidR="005452D8" w:rsidRPr="00543F38" w:rsidRDefault="005452D8" w:rsidP="00007BE4">
      <w:pPr>
        <w:jc w:val="both"/>
        <w:rPr>
          <w:rFonts w:cs="Calibri"/>
          <w:szCs w:val="24"/>
          <w:lang w:val="ru-RU"/>
        </w:rPr>
      </w:pPr>
      <w:r w:rsidRPr="00543F38">
        <w:rPr>
          <w:lang w:val="ru-RU"/>
        </w:rPr>
        <w:t>5.5</w:t>
      </w:r>
      <w:r w:rsidRPr="00543F38">
        <w:rPr>
          <w:lang w:val="ru-RU"/>
        </w:rPr>
        <w:tab/>
        <w:t xml:space="preserve">Советник от Соединенных Штатов Америки говорит, что экономические санкции представляют собой законный, надлежащий и эффективный инструмент борьбы с угрозами национальной безопасности и стабильности. Санкции не являются карательными, а скорее направлены на изменение поведения и ограничение возможности злоумышленников использовать финансовую систему Соединенных Штатов Америки в своих интересах или представлять угрозу стране или ее союзникам или партнерам. Санкции могут быть сняты в случае существенных изменений в поведении. </w:t>
      </w:r>
    </w:p>
    <w:p w14:paraId="0703915D" w14:textId="77777777" w:rsidR="005452D8" w:rsidRPr="00543F38" w:rsidRDefault="005452D8" w:rsidP="00007BE4">
      <w:pPr>
        <w:jc w:val="both"/>
        <w:rPr>
          <w:rFonts w:cs="Calibri"/>
          <w:szCs w:val="24"/>
          <w:lang w:val="ru-RU"/>
        </w:rPr>
      </w:pPr>
      <w:r w:rsidRPr="00543F38">
        <w:rPr>
          <w:lang w:val="ru-RU"/>
        </w:rPr>
        <w:t>5.6</w:t>
      </w:r>
      <w:r w:rsidRPr="00543F38">
        <w:rPr>
          <w:lang w:val="ru-RU"/>
        </w:rPr>
        <w:tab/>
        <w:t xml:space="preserve">Советник от Кубы повторяет, что применение экономических санкций приводит к тому, что народ Кубы лишается доступа к технологиям и собственного потенциала развития в области ИКТ и электросвязи. </w:t>
      </w:r>
    </w:p>
    <w:p w14:paraId="2EEC63AB" w14:textId="54F8E186" w:rsidR="005452D8" w:rsidRPr="00007BE4" w:rsidRDefault="005452D8" w:rsidP="00007BE4">
      <w:pPr>
        <w:jc w:val="both"/>
        <w:rPr>
          <w:spacing w:val="-2"/>
          <w:lang w:val="ru-RU"/>
        </w:rPr>
      </w:pPr>
      <w:r w:rsidRPr="00007BE4">
        <w:rPr>
          <w:spacing w:val="-2"/>
          <w:lang w:val="ru-RU"/>
        </w:rPr>
        <w:t>5.7</w:t>
      </w:r>
      <w:r w:rsidRPr="00007BE4">
        <w:rPr>
          <w:spacing w:val="-2"/>
          <w:lang w:val="ru-RU"/>
        </w:rPr>
        <w:tab/>
        <w:t xml:space="preserve">Совет </w:t>
      </w:r>
      <w:r w:rsidRPr="00007BE4">
        <w:rPr>
          <w:b/>
          <w:bCs/>
          <w:spacing w:val="-2"/>
          <w:lang w:val="ru-RU"/>
        </w:rPr>
        <w:t>принимает к сведению</w:t>
      </w:r>
      <w:r w:rsidRPr="00007BE4">
        <w:rPr>
          <w:spacing w:val="-2"/>
          <w:lang w:val="ru-RU"/>
        </w:rPr>
        <w:t xml:space="preserve"> отчет, содержащийся в Документе C25/33, и </w:t>
      </w:r>
      <w:r w:rsidRPr="00007BE4">
        <w:rPr>
          <w:b/>
          <w:bCs/>
          <w:spacing w:val="-2"/>
          <w:lang w:val="ru-RU"/>
        </w:rPr>
        <w:t>предлагает</w:t>
      </w:r>
      <w:r w:rsidR="007B615C" w:rsidRPr="00007BE4">
        <w:rPr>
          <w:b/>
          <w:bCs/>
          <w:spacing w:val="-2"/>
          <w:lang w:val="ru-RU"/>
        </w:rPr>
        <w:t> </w:t>
      </w:r>
      <w:r w:rsidRPr="00007BE4">
        <w:rPr>
          <w:spacing w:val="-2"/>
          <w:lang w:val="ru-RU"/>
        </w:rPr>
        <w:t>Государствам – Членам Совета представить любые мнения в письменном виде до</w:t>
      </w:r>
      <w:r w:rsidR="007B615C" w:rsidRPr="00007BE4">
        <w:rPr>
          <w:spacing w:val="-2"/>
          <w:lang w:val="ru-RU"/>
        </w:rPr>
        <w:t> </w:t>
      </w:r>
      <w:r w:rsidRPr="00007BE4">
        <w:rPr>
          <w:spacing w:val="-2"/>
          <w:lang w:val="ru-RU"/>
        </w:rPr>
        <w:t>12</w:t>
      </w:r>
      <w:r w:rsidR="007B615C" w:rsidRPr="00007BE4">
        <w:rPr>
          <w:spacing w:val="-2"/>
          <w:lang w:val="ru-RU"/>
        </w:rPr>
        <w:t> </w:t>
      </w:r>
      <w:r w:rsidRPr="00007BE4">
        <w:rPr>
          <w:spacing w:val="-2"/>
          <w:lang w:val="ru-RU"/>
        </w:rPr>
        <w:t>час.</w:t>
      </w:r>
      <w:r w:rsidR="007B615C" w:rsidRPr="00007BE4">
        <w:rPr>
          <w:spacing w:val="-2"/>
          <w:lang w:val="ru-RU"/>
        </w:rPr>
        <w:t> </w:t>
      </w:r>
      <w:r w:rsidRPr="00007BE4">
        <w:rPr>
          <w:spacing w:val="-2"/>
          <w:lang w:val="ru-RU"/>
        </w:rPr>
        <w:t>00</w:t>
      </w:r>
      <w:r w:rsidR="007B615C" w:rsidRPr="00007BE4">
        <w:rPr>
          <w:spacing w:val="-2"/>
          <w:lang w:val="ru-RU"/>
        </w:rPr>
        <w:t> </w:t>
      </w:r>
      <w:r w:rsidRPr="00007BE4">
        <w:rPr>
          <w:spacing w:val="-2"/>
          <w:lang w:val="ru-RU"/>
        </w:rPr>
        <w:t>мин. по женевскому времени пятницы, 20 июня 2025 года, в целях передачи отчета Генеральному секретарю Организации Объединенных Наций вместе с подборкой мнений Государств – Членов Совета, соответствующими краткими отчетами и сопроводительной запиской.</w:t>
      </w:r>
    </w:p>
    <w:bookmarkEnd w:id="8"/>
    <w:p w14:paraId="3DB86A84" w14:textId="77777777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lastRenderedPageBreak/>
        <w:t>6</w:t>
      </w:r>
      <w:r w:rsidRPr="00543F38">
        <w:rPr>
          <w:lang w:val="ru-RU"/>
        </w:rPr>
        <w:tab/>
        <w:t xml:space="preserve">Отчет Председателя РГС-ВВУИО&amp;ЦУР по итогам 41-го и 42-го собраний (Документ </w:t>
      </w:r>
      <w:hyperlink r:id="rId24" w:history="1">
        <w:proofErr w:type="spellStart"/>
        <w:r w:rsidRPr="00543F38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</w:t>
        </w:r>
        <w:proofErr w:type="spellEnd"/>
        <w:r w:rsidRPr="00543F38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/8</w:t>
        </w:r>
      </w:hyperlink>
      <w:r w:rsidRPr="00543F38">
        <w:rPr>
          <w:lang w:val="ru-RU"/>
        </w:rPr>
        <w:t>)</w:t>
      </w:r>
      <w:hyperlink r:id="rId25" w:history="1"/>
    </w:p>
    <w:p w14:paraId="66DB2A29" w14:textId="7B91B40B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6.1</w:t>
      </w:r>
      <w:r w:rsidRPr="00543F38">
        <w:rPr>
          <w:lang w:val="ru-RU"/>
        </w:rPr>
        <w:tab/>
        <w:t>Председатель Рабочей группы Совета по Всемирной встрече на высшем уровне по вопросам информационного общества (ВВУИО) и Целям в области устойчивого развития (РГС</w:t>
      </w:r>
      <w:r w:rsidR="00983943">
        <w:rPr>
          <w:lang w:val="ru-RU"/>
        </w:rPr>
        <w:noBreakHyphen/>
      </w:r>
      <w:r w:rsidRPr="00543F38">
        <w:rPr>
          <w:lang w:val="ru-RU"/>
        </w:rPr>
        <w:t xml:space="preserve">ВВУИО&amp;ЦУР) представляет отчет, содержащийся в Документе C25/8, в котором кратко изложены основные результаты 41-го и 42-го собраний Группы. </w:t>
      </w:r>
    </w:p>
    <w:p w14:paraId="00ED496E" w14:textId="7B21EC39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6.2</w:t>
      </w:r>
      <w:r w:rsidRPr="00543F38">
        <w:rPr>
          <w:lang w:val="ru-RU"/>
        </w:rPr>
        <w:tab/>
        <w:t>Многие Советники дают высокую оценку отчету и подтверждают свою приверженность процессу ВВУИО. Выраж</w:t>
      </w:r>
      <w:r>
        <w:rPr>
          <w:lang w:val="ru-RU"/>
        </w:rPr>
        <w:t xml:space="preserve">ается </w:t>
      </w:r>
      <w:r w:rsidRPr="00543F38">
        <w:rPr>
          <w:lang w:val="ru-RU"/>
        </w:rPr>
        <w:t xml:space="preserve">широкая поддержка его продолжению после 2025 года. </w:t>
      </w:r>
      <w:r w:rsidR="00797B8E">
        <w:rPr>
          <w:lang w:val="ru-RU"/>
        </w:rPr>
        <w:t>Принимая во внимание</w:t>
      </w:r>
      <w:r w:rsidR="00797B8E" w:rsidRPr="00797B8E">
        <w:rPr>
          <w:lang w:val="ru-RU"/>
        </w:rPr>
        <w:t xml:space="preserve"> необходимость</w:t>
      </w:r>
      <w:r w:rsidR="00797B8E">
        <w:rPr>
          <w:lang w:val="ru-RU"/>
        </w:rPr>
        <w:t xml:space="preserve"> обеспечения</w:t>
      </w:r>
      <w:r w:rsidR="00797B8E" w:rsidRPr="00797B8E">
        <w:rPr>
          <w:lang w:val="ru-RU"/>
        </w:rPr>
        <w:t xml:space="preserve"> взаимодополняемости и предотвращения дублирования, важно согласовать и интегрировать </w:t>
      </w:r>
      <w:r w:rsidR="00797B8E">
        <w:rPr>
          <w:lang w:val="ru-RU"/>
        </w:rPr>
        <w:t>задачи</w:t>
      </w:r>
      <w:r w:rsidR="00797B8E" w:rsidRPr="00797B8E">
        <w:rPr>
          <w:lang w:val="ru-RU"/>
        </w:rPr>
        <w:t xml:space="preserve"> Глобального цифрового </w:t>
      </w:r>
      <w:r w:rsidR="00797B8E">
        <w:rPr>
          <w:lang w:val="ru-RU"/>
        </w:rPr>
        <w:t>договора</w:t>
      </w:r>
      <w:r w:rsidR="00797B8E" w:rsidRPr="00797B8E">
        <w:rPr>
          <w:lang w:val="ru-RU"/>
        </w:rPr>
        <w:t xml:space="preserve"> (</w:t>
      </w:r>
      <w:r w:rsidR="00797B8E">
        <w:rPr>
          <w:lang w:val="ru-RU"/>
        </w:rPr>
        <w:t>ГЦД</w:t>
      </w:r>
      <w:r w:rsidR="00797B8E" w:rsidRPr="00797B8E">
        <w:rPr>
          <w:lang w:val="ru-RU"/>
        </w:rPr>
        <w:t>) и Пакта во имя будущего в рамках процесса ВВ</w:t>
      </w:r>
      <w:r w:rsidR="00AA1DF8">
        <w:rPr>
          <w:lang w:val="ru-RU"/>
        </w:rPr>
        <w:t>УИ</w:t>
      </w:r>
      <w:r w:rsidR="00797B8E" w:rsidRPr="00797B8E">
        <w:rPr>
          <w:lang w:val="ru-RU"/>
        </w:rPr>
        <w:t xml:space="preserve">О, </w:t>
      </w:r>
      <w:r w:rsidR="00797B8E">
        <w:rPr>
          <w:lang w:val="ru-RU"/>
        </w:rPr>
        <w:t xml:space="preserve">в </w:t>
      </w:r>
      <w:r w:rsidR="00797B8E" w:rsidRPr="00797B8E">
        <w:rPr>
          <w:lang w:val="ru-RU"/>
        </w:rPr>
        <w:t>особенно</w:t>
      </w:r>
      <w:r w:rsidR="00797B8E">
        <w:rPr>
          <w:lang w:val="ru-RU"/>
        </w:rPr>
        <w:t>сти</w:t>
      </w:r>
      <w:r w:rsidR="00797B8E" w:rsidRPr="00797B8E">
        <w:rPr>
          <w:lang w:val="ru-RU"/>
        </w:rPr>
        <w:t xml:space="preserve"> в том, что касается искусственного интеллекта и управления данными. Поскольку предыдущие обсуждения по этим темам выявили противоречия, повторно рассматривать их было бы излишне обременительно.</w:t>
      </w:r>
    </w:p>
    <w:p w14:paraId="2A26AEF8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6.3</w:t>
      </w:r>
      <w:r w:rsidRPr="00543F38">
        <w:rPr>
          <w:lang w:val="ru-RU"/>
        </w:rPr>
        <w:tab/>
        <w:t>Одна из Советников напоминает, что ее страна при принятии Пакта во имя будущего дистанцировалась от этого документа и приложений к нему. Она рассматривает Повестку дня в области устойчивого развития на период до 2030 года как не имеющие обязательной юридической силы устремления, которые могут интерпретироваться на национальном уровне. Ее страна сохраняет оговорки в отношении ссылок на Повестку дня на период до 2030 года, Цели Организации Объединенных Наций в области устойчивого развития (ЦУР), Пакт во имя будущего и ГЦД.</w:t>
      </w:r>
    </w:p>
    <w:p w14:paraId="291327CE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6.4</w:t>
      </w:r>
      <w:r w:rsidRPr="00543F38">
        <w:rPr>
          <w:lang w:val="ru-RU"/>
        </w:rPr>
        <w:tab/>
        <w:t xml:space="preserve">Другой Советник говорит, что вклады всех заинтересованных сторон следует использовать в качестве основы для процесса обзора ВВУИО+20. Следует сохранять отличие ВВУИО от других механизмов ввиду ее уникального мандата и процесса. Направления деятельности ВВУИО, которые должны быть нейтральными в технологическом отношении, сохраняют свою актуальность в контексте новых и появляющихся технологий, и пересматривать их нецелесообразно. Его страна поддерживает придание мандату Форума по </w:t>
      </w:r>
      <w:r>
        <w:rPr>
          <w:lang w:val="ru-RU"/>
        </w:rPr>
        <w:t xml:space="preserve">вопросам </w:t>
      </w:r>
      <w:r w:rsidRPr="00543F38">
        <w:rPr>
          <w:lang w:val="ru-RU"/>
        </w:rPr>
        <w:t>управлени</w:t>
      </w:r>
      <w:r>
        <w:rPr>
          <w:lang w:val="ru-RU"/>
        </w:rPr>
        <w:t>я</w:t>
      </w:r>
      <w:r w:rsidRPr="00543F38">
        <w:rPr>
          <w:lang w:val="ru-RU"/>
        </w:rPr>
        <w:t xml:space="preserve"> использованием интернета постоянного характера и выполнение руководящих указаний, принятых в Сан-Паулу с участием многих заинтересованных сторон и получивших широкую поддержку.</w:t>
      </w:r>
    </w:p>
    <w:p w14:paraId="5EEAC24B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6.5</w:t>
      </w:r>
      <w:r w:rsidRPr="00543F38">
        <w:rPr>
          <w:lang w:val="ru-RU"/>
        </w:rPr>
        <w:tab/>
        <w:t xml:space="preserve">Один из Советников призывает активизировать реализацию направлений деятельности ВВУИО на региональном уровне с помощью целевых инициатив, направленных на удовлетворение конкретных потребностей различных регионов в поддержку цифровой трансформации и устойчивого развития. </w:t>
      </w:r>
    </w:p>
    <w:p w14:paraId="6F2C9F22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6.6</w:t>
      </w:r>
      <w:r w:rsidRPr="00543F38">
        <w:rPr>
          <w:lang w:val="ru-RU"/>
        </w:rPr>
        <w:tab/>
        <w:t xml:space="preserve">Совет </w:t>
      </w:r>
      <w:r w:rsidRPr="00543F38">
        <w:rPr>
          <w:b/>
          <w:bCs/>
          <w:lang w:val="ru-RU"/>
        </w:rPr>
        <w:t xml:space="preserve">принимает к сведению </w:t>
      </w:r>
      <w:r w:rsidRPr="00543F38">
        <w:rPr>
          <w:lang w:val="ru-RU"/>
        </w:rPr>
        <w:t>отчет, содержащийся в Документе C25/8.</w:t>
      </w:r>
    </w:p>
    <w:p w14:paraId="1DE1C275" w14:textId="77777777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t>7</w:t>
      </w:r>
      <w:r w:rsidRPr="00543F38">
        <w:rPr>
          <w:lang w:val="ru-RU"/>
        </w:rPr>
        <w:tab/>
      </w:r>
      <w:r w:rsidRPr="00543F38">
        <w:rPr>
          <w:bCs/>
          <w:lang w:val="ru-RU"/>
        </w:rPr>
        <w:t xml:space="preserve">Отчет ВВУИО+20 о вкладе МСЭ в выполнение решений ВВУИО и последующую деятельность по итогам ВВУИО и его роли в достижении </w:t>
      </w:r>
      <w:proofErr w:type="spellStart"/>
      <w:r w:rsidRPr="00543F38">
        <w:rPr>
          <w:bCs/>
          <w:lang w:val="ru-RU"/>
        </w:rPr>
        <w:t>ЦУР</w:t>
      </w:r>
      <w:proofErr w:type="spellEnd"/>
      <w:r w:rsidRPr="00543F38">
        <w:rPr>
          <w:lang w:val="ru-RU"/>
        </w:rPr>
        <w:t xml:space="preserve"> (Документы </w:t>
      </w:r>
      <w:hyperlink r:id="rId26" w:history="1">
        <w:proofErr w:type="spellStart"/>
        <w:r w:rsidRPr="00543F38">
          <w:rPr>
            <w:rStyle w:val="Hyperlink"/>
            <w:lang w:val="ru-RU"/>
          </w:rPr>
          <w:t>C25</w:t>
        </w:r>
        <w:proofErr w:type="spellEnd"/>
        <w:r w:rsidRPr="00543F38">
          <w:rPr>
            <w:rStyle w:val="Hyperlink"/>
            <w:lang w:val="ru-RU"/>
          </w:rPr>
          <w:t>/61</w:t>
        </w:r>
      </w:hyperlink>
      <w:r w:rsidRPr="00543F38">
        <w:rPr>
          <w:lang w:val="ru-RU"/>
        </w:rPr>
        <w:t xml:space="preserve">, </w:t>
      </w:r>
      <w:hyperlink r:id="rId27" w:history="1">
        <w:proofErr w:type="spellStart"/>
        <w:r w:rsidRPr="00543F38">
          <w:rPr>
            <w:rStyle w:val="Hyperlink"/>
            <w:lang w:val="ru-RU"/>
          </w:rPr>
          <w:t>C25</w:t>
        </w:r>
        <w:proofErr w:type="spellEnd"/>
        <w:r w:rsidRPr="00543F38">
          <w:rPr>
            <w:rStyle w:val="Hyperlink"/>
            <w:lang w:val="ru-RU"/>
          </w:rPr>
          <w:t>/80</w:t>
        </w:r>
      </w:hyperlink>
      <w:r w:rsidRPr="00543F38">
        <w:rPr>
          <w:lang w:val="ru-RU"/>
        </w:rPr>
        <w:t>)</w:t>
      </w:r>
      <w:hyperlink r:id="rId28" w:history="1"/>
      <w:hyperlink r:id="rId29" w:history="1"/>
    </w:p>
    <w:p w14:paraId="78EDB394" w14:textId="6923763D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7.1</w:t>
      </w:r>
      <w:r w:rsidRPr="00543F38">
        <w:rPr>
          <w:lang w:val="ru-RU"/>
        </w:rPr>
        <w:tab/>
        <w:t>Руководитель Департамента по стратегическому планированию и связям с членами представляет отчет, содержащийся в Документе C25/61, в который включены руководящие указания и материалы, представленные на собраниях Совета и РГС-ВВУИО&amp;ЦУР 2024 года. В</w:t>
      </w:r>
      <w:r w:rsidR="00983943">
        <w:rPr>
          <w:lang w:val="ru-RU"/>
        </w:rPr>
        <w:t> </w:t>
      </w:r>
      <w:r w:rsidRPr="00543F38">
        <w:rPr>
          <w:lang w:val="ru-RU"/>
        </w:rPr>
        <w:t>отчет можно было бы включить итоги мероприятия высокого уровня ВВУИО+20, которое состоится в июле 2025 года, и краткое изложение представлений, направленных по итогам предложения МСЭ представлять вклады по обзору ВВУИО+20. Обзор ВВУИО+20, который проведет Генеральная Ассамблея Организации Объединенных Наций в декабре 2025 года, предоставит возможность оценить прогресс, выявить проблемы и укрепить сотрудничество.</w:t>
      </w:r>
    </w:p>
    <w:p w14:paraId="520F33FE" w14:textId="23E98DA9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lastRenderedPageBreak/>
        <w:t>7.2</w:t>
      </w:r>
      <w:r w:rsidRPr="00543F38">
        <w:rPr>
          <w:lang w:val="ru-RU"/>
        </w:rPr>
        <w:tab/>
        <w:t>Наблюдатель от Российской Федерации представляет Документ C25/80 и предлагает Советникам рассмотреть содержащиеся в нем предложения по процессу ВВУИО после 2025</w:t>
      </w:r>
      <w:r>
        <w:rPr>
          <w:lang w:val="ru-RU"/>
        </w:rPr>
        <w:t> </w:t>
      </w:r>
      <w:r w:rsidRPr="00543F38">
        <w:rPr>
          <w:lang w:val="ru-RU"/>
        </w:rPr>
        <w:t>года.</w:t>
      </w:r>
    </w:p>
    <w:p w14:paraId="2C4A8199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7.3</w:t>
      </w:r>
      <w:r w:rsidRPr="00543F38">
        <w:rPr>
          <w:lang w:val="ru-RU"/>
        </w:rPr>
        <w:tab/>
        <w:t>Многие Советники приветствуют отчет и выражают свою поддержку процессу ВВУИО и вкладу МСЭ в достижение ЦУР. Они ожидают проведения мероприятия высокого уровня ВВУИО+20 в июле 2025 года и призывают все заинтересованные стороны принять в нем участие. Направления деятельности ВВУИО обеспечивают прочную основу для обсуждения вопросов цифрового управления, и следует укреплять механизмы с участием многих заинтересованных сторон, успешно созданные в рамках ВВУИО. Один из Советников подчеркивает важность этой основы для развивающихся стран и глобального Юга, в особенности для содействия доступу к появляющимся технологиям. Еще один Советник призывает сосредоточить процесс обзора ВВУИО+20 на невыполненных результатах ВВУИО, а двое других Советников подчеркивают необходимость предотвратить дублирование в процессе ВВУИО, особенно в отношении ГЦД, и вместе с тем обеспечивать взаимодополняемость усилий.</w:t>
      </w:r>
    </w:p>
    <w:p w14:paraId="415A9AC1" w14:textId="7D43202F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7.4</w:t>
      </w:r>
      <w:r w:rsidRPr="00543F38">
        <w:rPr>
          <w:lang w:val="ru-RU"/>
        </w:rPr>
        <w:tab/>
        <w:t>Несколько Советников поддерживают содержащиеся в Документе C25/80 предложения о процессе ВВУИО после 2025 года</w:t>
      </w:r>
      <w:r>
        <w:rPr>
          <w:lang w:val="ru-RU"/>
        </w:rPr>
        <w:t>;</w:t>
      </w:r>
      <w:r w:rsidRPr="00543F38">
        <w:rPr>
          <w:lang w:val="ru-RU"/>
        </w:rPr>
        <w:t xml:space="preserve"> вместе с тем ряд Советников, выступая за продолжение этого процесса, заявляют, что, прежде чем принимать решение, Совету следует дождаться результатов собрания высокого уровня Генеральной Ассамблеи Организации Объединенных Наций по обзору ВВУИО+20, которое запланировано на 16–17 декабря 2025</w:t>
      </w:r>
      <w:r w:rsidR="00983943">
        <w:rPr>
          <w:lang w:val="ru-RU"/>
        </w:rPr>
        <w:t> </w:t>
      </w:r>
      <w:r w:rsidRPr="00543F38">
        <w:rPr>
          <w:lang w:val="ru-RU"/>
        </w:rPr>
        <w:t xml:space="preserve">года. </w:t>
      </w:r>
    </w:p>
    <w:p w14:paraId="4BEFC597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7.5</w:t>
      </w:r>
      <w:r w:rsidRPr="00543F38">
        <w:rPr>
          <w:lang w:val="ru-RU"/>
        </w:rPr>
        <w:tab/>
        <w:t xml:space="preserve">Совет </w:t>
      </w:r>
      <w:r w:rsidRPr="00543F38">
        <w:rPr>
          <w:b/>
          <w:bCs/>
          <w:lang w:val="ru-RU"/>
        </w:rPr>
        <w:t xml:space="preserve">принимает к сведению </w:t>
      </w:r>
      <w:r w:rsidRPr="00543F38">
        <w:rPr>
          <w:lang w:val="ru-RU"/>
        </w:rPr>
        <w:t xml:space="preserve">отчет, содержащийся в Документе C25/61, и </w:t>
      </w:r>
      <w:r w:rsidRPr="00543F38">
        <w:rPr>
          <w:b/>
          <w:bCs/>
          <w:lang w:val="ru-RU"/>
        </w:rPr>
        <w:t xml:space="preserve">принимает решение </w:t>
      </w:r>
      <w:r>
        <w:rPr>
          <w:lang w:val="ru-RU"/>
        </w:rPr>
        <w:t>отложить</w:t>
      </w:r>
      <w:r w:rsidRPr="00543F38">
        <w:rPr>
          <w:lang w:val="ru-RU"/>
        </w:rPr>
        <w:t xml:space="preserve"> рассмотрение предложений, содержащихся в Документе C25/80, до </w:t>
      </w:r>
      <w:r>
        <w:rPr>
          <w:lang w:val="ru-RU"/>
        </w:rPr>
        <w:t xml:space="preserve">завершения </w:t>
      </w:r>
      <w:r w:rsidRPr="00543F38">
        <w:rPr>
          <w:lang w:val="ru-RU"/>
        </w:rPr>
        <w:t>собрания высокого уровня Генеральной Ассамблеи Организации Объединенных Наций, посвященного обзору ВВУИО+20.</w:t>
      </w:r>
    </w:p>
    <w:p w14:paraId="487C05C6" w14:textId="77777777" w:rsidR="005452D8" w:rsidRPr="00543F38" w:rsidRDefault="005452D8" w:rsidP="005452D8">
      <w:pPr>
        <w:pStyle w:val="Heading1"/>
        <w:rPr>
          <w:lang w:val="ru-RU"/>
        </w:rPr>
      </w:pPr>
      <w:r w:rsidRPr="00543F38">
        <w:rPr>
          <w:bCs/>
          <w:lang w:val="ru-RU"/>
        </w:rPr>
        <w:t>8</w:t>
      </w:r>
      <w:r w:rsidRPr="00543F38">
        <w:rPr>
          <w:lang w:val="ru-RU"/>
        </w:rPr>
        <w:tab/>
      </w:r>
      <w:r w:rsidRPr="00543F38">
        <w:rPr>
          <w:bCs/>
          <w:lang w:val="ru-RU"/>
        </w:rPr>
        <w:t>Соболезнования в связи с кончиной Найджела Хиксона</w:t>
      </w:r>
    </w:p>
    <w:p w14:paraId="58F6678D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8.1</w:t>
      </w:r>
      <w:r w:rsidRPr="00543F38">
        <w:rPr>
          <w:lang w:val="ru-RU"/>
        </w:rPr>
        <w:tab/>
        <w:t xml:space="preserve">Председатель РГС-Интернет говорит, что Рабочая группа понесла большую утрату в связи с кончиной ее заместителя </w:t>
      </w:r>
      <w:r>
        <w:rPr>
          <w:lang w:val="ru-RU"/>
        </w:rPr>
        <w:t xml:space="preserve">Председателя </w:t>
      </w:r>
      <w:r w:rsidRPr="00543F38">
        <w:rPr>
          <w:lang w:val="ru-RU"/>
        </w:rPr>
        <w:t>от региона Европы г-на Найджела Хиксона, преданного профессионала в области глобального управления использованием интернета, и в сообществе специалистов по вопросам интернета его присутствия и мнения будет очень не хватать.</w:t>
      </w:r>
    </w:p>
    <w:p w14:paraId="7FEF7844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8.2</w:t>
      </w:r>
      <w:r w:rsidRPr="00543F38">
        <w:rPr>
          <w:lang w:val="ru-RU"/>
        </w:rPr>
        <w:tab/>
        <w:t>Председатель Совета, несколько Советников и один</w:t>
      </w:r>
      <w:r>
        <w:rPr>
          <w:lang w:val="ru-RU"/>
        </w:rPr>
        <w:t xml:space="preserve"> из </w:t>
      </w:r>
      <w:r w:rsidRPr="00543F38">
        <w:rPr>
          <w:lang w:val="ru-RU"/>
        </w:rPr>
        <w:t>наблюдател</w:t>
      </w:r>
      <w:r>
        <w:rPr>
          <w:lang w:val="ru-RU"/>
        </w:rPr>
        <w:t>ей</w:t>
      </w:r>
      <w:r w:rsidRPr="00543F38">
        <w:rPr>
          <w:lang w:val="ru-RU"/>
        </w:rPr>
        <w:t xml:space="preserve"> выражают соболезнования администрации Соединенного Королевства. </w:t>
      </w:r>
    </w:p>
    <w:p w14:paraId="20E5C60F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8.3</w:t>
      </w:r>
      <w:r w:rsidRPr="00543F38">
        <w:rPr>
          <w:lang w:val="ru-RU"/>
        </w:rPr>
        <w:tab/>
        <w:t>Генеральный секретарь также выражает искренние соболезнования семье и друзьям Найджела Хиксона. Для нее было честью работать вместе с ним в течение многих лет, и она уверена, что его будут помнить с глубоким уважением и благодарностью.</w:t>
      </w:r>
    </w:p>
    <w:p w14:paraId="29EC02F2" w14:textId="77777777" w:rsidR="005452D8" w:rsidRPr="00543F38" w:rsidRDefault="005452D8" w:rsidP="00007BE4">
      <w:pPr>
        <w:jc w:val="both"/>
        <w:rPr>
          <w:lang w:val="ru-RU"/>
        </w:rPr>
      </w:pPr>
      <w:r w:rsidRPr="00543F38">
        <w:rPr>
          <w:lang w:val="ru-RU"/>
        </w:rPr>
        <w:t>8.4</w:t>
      </w:r>
      <w:r w:rsidRPr="00543F38">
        <w:rPr>
          <w:lang w:val="ru-RU"/>
        </w:rPr>
        <w:tab/>
        <w:t>Советник от Соединенного Королевства благодарит Советников за соболезнования в связи с кончиной Найджела Хиксона, которого будет очень не хватать коллегам и друзьям во всем мире.</w:t>
      </w:r>
    </w:p>
    <w:p w14:paraId="5E39BB0E" w14:textId="77777777" w:rsidR="005452D8" w:rsidRPr="00543F38" w:rsidRDefault="005452D8" w:rsidP="00983943">
      <w:pPr>
        <w:pStyle w:val="Heading1"/>
        <w:rPr>
          <w:lang w:val="ru-RU"/>
        </w:rPr>
      </w:pPr>
      <w:r w:rsidRPr="00543F38">
        <w:rPr>
          <w:bCs/>
          <w:lang w:val="ru-RU"/>
        </w:rPr>
        <w:t>9</w:t>
      </w:r>
      <w:r w:rsidRPr="00543F38">
        <w:rPr>
          <w:lang w:val="ru-RU"/>
        </w:rPr>
        <w:tab/>
      </w:r>
      <w:r w:rsidRPr="00543F38">
        <w:rPr>
          <w:bCs/>
          <w:lang w:val="ru-RU"/>
        </w:rPr>
        <w:t>Заявления Советников</w:t>
      </w:r>
    </w:p>
    <w:p w14:paraId="67C9EA51" w14:textId="77777777" w:rsidR="005452D8" w:rsidRPr="00543F38" w:rsidRDefault="005452D8" w:rsidP="00983943">
      <w:pPr>
        <w:keepNext/>
        <w:rPr>
          <w:lang w:val="ru-RU"/>
        </w:rPr>
      </w:pPr>
      <w:r w:rsidRPr="00543F38">
        <w:rPr>
          <w:lang w:val="ru-RU"/>
        </w:rPr>
        <w:t>9.1</w:t>
      </w:r>
      <w:r w:rsidRPr="00543F38">
        <w:rPr>
          <w:lang w:val="ru-RU"/>
        </w:rPr>
        <w:tab/>
        <w:t>Советники от Австралии и Бразилии объявляют о выдвижении кандидатур своих стран для переизбрания в Совет.</w:t>
      </w:r>
    </w:p>
    <w:p w14:paraId="232CBF1C" w14:textId="77777777" w:rsidR="00EF5DF1" w:rsidRPr="002B21A1" w:rsidRDefault="00EF5DF1" w:rsidP="00007BE4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480"/>
        <w:jc w:val="both"/>
        <w:rPr>
          <w:szCs w:val="24"/>
          <w:lang w:val="ru-RU"/>
        </w:rPr>
      </w:pPr>
      <w:r w:rsidRPr="002B21A1">
        <w:rPr>
          <w:lang w:val="ru-RU"/>
        </w:rPr>
        <w:t>Генеральный секретарь:</w:t>
      </w:r>
      <w:r w:rsidRPr="002B21A1">
        <w:rPr>
          <w:lang w:val="ru-RU"/>
        </w:rPr>
        <w:tab/>
        <w:t>Председатель:</w:t>
      </w:r>
    </w:p>
    <w:p w14:paraId="694E5922" w14:textId="70FD686B" w:rsidR="003C1802" w:rsidRDefault="00EF5DF1" w:rsidP="00EF5DF1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0" w:after="120"/>
        <w:jc w:val="both"/>
        <w:rPr>
          <w:lang w:val="es-ES"/>
        </w:rPr>
      </w:pPr>
      <w:r w:rsidRPr="002B21A1">
        <w:rPr>
          <w:lang w:val="ru-RU"/>
        </w:rPr>
        <w:t>Д. БОГДАН-МАРТИН</w:t>
      </w:r>
      <w:r w:rsidRPr="002B21A1">
        <w:rPr>
          <w:lang w:val="ru-RU"/>
        </w:rPr>
        <w:tab/>
        <w:t xml:space="preserve">К. </w:t>
      </w:r>
      <w:proofErr w:type="spellStart"/>
      <w:r w:rsidRPr="002B21A1">
        <w:rPr>
          <w:lang w:val="ru-RU"/>
        </w:rPr>
        <w:t>ФЛУТУР</w:t>
      </w:r>
      <w:proofErr w:type="spellEnd"/>
    </w:p>
    <w:p w14:paraId="3671A509" w14:textId="59750C53" w:rsidR="008D1177" w:rsidRPr="008D1177" w:rsidRDefault="008D1177" w:rsidP="008D1177">
      <w:pPr>
        <w:jc w:val="center"/>
      </w:pPr>
      <w:r>
        <w:t>______________</w:t>
      </w:r>
    </w:p>
    <w:sectPr w:rsidR="008D1177" w:rsidRPr="008D1177" w:rsidSect="00796BD3">
      <w:footerReference w:type="default" r:id="rId30"/>
      <w:headerReference w:type="first" r:id="rId31"/>
      <w:footerReference w:type="first" r:id="rId3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7E36" w14:textId="77777777" w:rsidR="008C2802" w:rsidRDefault="008C2802">
      <w:r>
        <w:separator/>
      </w:r>
    </w:p>
  </w:endnote>
  <w:endnote w:type="continuationSeparator" w:id="0">
    <w:p w14:paraId="4D3FF013" w14:textId="77777777" w:rsidR="008C2802" w:rsidRDefault="008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7C8C7D32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9B0129C" w14:textId="6334EBF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3C1802">
            <w:rPr>
              <w:bCs/>
            </w:rPr>
            <w:t>1</w:t>
          </w:r>
          <w:r w:rsidR="005452D8">
            <w:rPr>
              <w:bCs/>
              <w:lang w:val="ru-RU"/>
            </w:rPr>
            <w:t>08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2DFE8FF" w:rsidR="00672F8A" w:rsidRDefault="00D631AA" w:rsidP="00672F8A">
          <w:pPr>
            <w:pStyle w:val="Header"/>
            <w:jc w:val="left"/>
            <w:rPr>
              <w:noProof/>
            </w:rPr>
          </w:pPr>
          <w:proofErr w:type="spellStart"/>
          <w:r w:rsidRPr="00D631AA">
            <w:rPr>
              <w:color w:val="0563C1"/>
              <w:szCs w:val="14"/>
            </w:rPr>
            <w:t>council.itu.int</w:t>
          </w:r>
          <w:proofErr w:type="spellEnd"/>
          <w:r w:rsidRPr="00D631AA">
            <w:rPr>
              <w:color w:val="0563C1"/>
              <w:szCs w:val="14"/>
            </w:rPr>
            <w:t>/2025</w:t>
          </w:r>
        </w:p>
      </w:tc>
      <w:tc>
        <w:tcPr>
          <w:tcW w:w="8261" w:type="dxa"/>
        </w:tcPr>
        <w:p w14:paraId="346B5B17" w14:textId="5C24B33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3C1802">
            <w:rPr>
              <w:bCs/>
            </w:rPr>
            <w:t>1</w:t>
          </w:r>
          <w:r w:rsidR="005452D8">
            <w:rPr>
              <w:bCs/>
              <w:lang w:val="ru-RU"/>
            </w:rPr>
            <w:t>08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E4EE" w14:textId="77777777" w:rsidR="008C2802" w:rsidRDefault="008C2802">
      <w:r>
        <w:t>____________________</w:t>
      </w:r>
    </w:p>
  </w:footnote>
  <w:footnote w:type="continuationSeparator" w:id="0">
    <w:p w14:paraId="617D102B" w14:textId="77777777" w:rsidR="008C2802" w:rsidRDefault="008C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548BDF22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19801713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008408D1" w14:textId="6452FD5C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771B1545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B7791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07BE4"/>
    <w:rsid w:val="0002183E"/>
    <w:rsid w:val="00022329"/>
    <w:rsid w:val="00026A9A"/>
    <w:rsid w:val="000569B4"/>
    <w:rsid w:val="0006007D"/>
    <w:rsid w:val="0007184B"/>
    <w:rsid w:val="00080E82"/>
    <w:rsid w:val="000B2DE7"/>
    <w:rsid w:val="000E568E"/>
    <w:rsid w:val="000E5C47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749F2"/>
    <w:rsid w:val="00291EB6"/>
    <w:rsid w:val="002C3F32"/>
    <w:rsid w:val="002D2F57"/>
    <w:rsid w:val="002D48C5"/>
    <w:rsid w:val="002F7227"/>
    <w:rsid w:val="0033025A"/>
    <w:rsid w:val="00342CEF"/>
    <w:rsid w:val="00345D2A"/>
    <w:rsid w:val="003C1802"/>
    <w:rsid w:val="003C48AA"/>
    <w:rsid w:val="003D6F72"/>
    <w:rsid w:val="003F099E"/>
    <w:rsid w:val="003F235E"/>
    <w:rsid w:val="003F2CAA"/>
    <w:rsid w:val="00401FD7"/>
    <w:rsid w:val="004023E0"/>
    <w:rsid w:val="00403DD8"/>
    <w:rsid w:val="00442515"/>
    <w:rsid w:val="0045686C"/>
    <w:rsid w:val="00456E3F"/>
    <w:rsid w:val="004850C9"/>
    <w:rsid w:val="004918C4"/>
    <w:rsid w:val="00497703"/>
    <w:rsid w:val="004A0374"/>
    <w:rsid w:val="004A45B5"/>
    <w:rsid w:val="004C597F"/>
    <w:rsid w:val="004D0129"/>
    <w:rsid w:val="00515795"/>
    <w:rsid w:val="005452D8"/>
    <w:rsid w:val="00570200"/>
    <w:rsid w:val="005A64D5"/>
    <w:rsid w:val="005B042F"/>
    <w:rsid w:val="005B3DEC"/>
    <w:rsid w:val="00601994"/>
    <w:rsid w:val="00603B62"/>
    <w:rsid w:val="00612736"/>
    <w:rsid w:val="00660449"/>
    <w:rsid w:val="00672F8A"/>
    <w:rsid w:val="006E2D42"/>
    <w:rsid w:val="00703676"/>
    <w:rsid w:val="00707304"/>
    <w:rsid w:val="00731B05"/>
    <w:rsid w:val="00732269"/>
    <w:rsid w:val="00762555"/>
    <w:rsid w:val="0077110E"/>
    <w:rsid w:val="00783926"/>
    <w:rsid w:val="00785ABD"/>
    <w:rsid w:val="00796BD3"/>
    <w:rsid w:val="00797B8E"/>
    <w:rsid w:val="007A2DD4"/>
    <w:rsid w:val="007B615C"/>
    <w:rsid w:val="007D38B5"/>
    <w:rsid w:val="007E7EA0"/>
    <w:rsid w:val="00807255"/>
    <w:rsid w:val="0081023E"/>
    <w:rsid w:val="008173AA"/>
    <w:rsid w:val="00840A14"/>
    <w:rsid w:val="008B4484"/>
    <w:rsid w:val="008B62B4"/>
    <w:rsid w:val="008C2802"/>
    <w:rsid w:val="008D1177"/>
    <w:rsid w:val="008D2D7B"/>
    <w:rsid w:val="008E0737"/>
    <w:rsid w:val="008E1EFB"/>
    <w:rsid w:val="008F7C2C"/>
    <w:rsid w:val="00940E96"/>
    <w:rsid w:val="00950A82"/>
    <w:rsid w:val="00983943"/>
    <w:rsid w:val="009B0BAE"/>
    <w:rsid w:val="009C1C89"/>
    <w:rsid w:val="009F3448"/>
    <w:rsid w:val="00A01CF9"/>
    <w:rsid w:val="00A20B63"/>
    <w:rsid w:val="00A71773"/>
    <w:rsid w:val="00AA1DF8"/>
    <w:rsid w:val="00AE2C85"/>
    <w:rsid w:val="00B0107F"/>
    <w:rsid w:val="00B12A37"/>
    <w:rsid w:val="00B22592"/>
    <w:rsid w:val="00B41837"/>
    <w:rsid w:val="00B63EF2"/>
    <w:rsid w:val="00BA7D89"/>
    <w:rsid w:val="00BC0D39"/>
    <w:rsid w:val="00BC7BC0"/>
    <w:rsid w:val="00BD57B7"/>
    <w:rsid w:val="00BE63E2"/>
    <w:rsid w:val="00C012E5"/>
    <w:rsid w:val="00C42122"/>
    <w:rsid w:val="00C44F11"/>
    <w:rsid w:val="00C462C5"/>
    <w:rsid w:val="00C46378"/>
    <w:rsid w:val="00C54C1D"/>
    <w:rsid w:val="00CD2009"/>
    <w:rsid w:val="00CE4DFF"/>
    <w:rsid w:val="00CF629C"/>
    <w:rsid w:val="00D631AA"/>
    <w:rsid w:val="00D64BAA"/>
    <w:rsid w:val="00D92EEA"/>
    <w:rsid w:val="00DA5D4E"/>
    <w:rsid w:val="00DA770A"/>
    <w:rsid w:val="00E05752"/>
    <w:rsid w:val="00E176BA"/>
    <w:rsid w:val="00E423EC"/>
    <w:rsid w:val="00E55121"/>
    <w:rsid w:val="00E61DDC"/>
    <w:rsid w:val="00EB4FCB"/>
    <w:rsid w:val="00EC6BC5"/>
    <w:rsid w:val="00EF5DF1"/>
    <w:rsid w:val="00F348D0"/>
    <w:rsid w:val="00F35898"/>
    <w:rsid w:val="00F5225B"/>
    <w:rsid w:val="00F6165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7F7DF9"/>
  <w15:docId w15:val="{E3373710-F0C9-464E-B9D0-C039B75E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F5DF1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CE4DFF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paragraph" w:styleId="CommentText">
    <w:name w:val="annotation text"/>
    <w:basedOn w:val="Normal"/>
    <w:link w:val="CommentTextChar"/>
    <w:semiHidden/>
    <w:unhideWhenUsed/>
    <w:rsid w:val="003C18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1802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18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18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1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61/en" TargetMode="External"/><Relationship Id="rId18" Type="http://schemas.openxmlformats.org/officeDocument/2006/relationships/hyperlink" Target="https://www.itu.int/md/S25-CL-C-0024/en" TargetMode="External"/><Relationship Id="rId26" Type="http://schemas.openxmlformats.org/officeDocument/2006/relationships/hyperlink" Target="https://www.itu.int/md/S25-CL-C-0061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S25-CL-C-0051/e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tu.int/md/S25-CL-C-0004/en" TargetMode="External"/><Relationship Id="rId12" Type="http://schemas.openxmlformats.org/officeDocument/2006/relationships/hyperlink" Target="https://www.itu.int/md/S25-CL-C-0008/en" TargetMode="External"/><Relationship Id="rId17" Type="http://schemas.openxmlformats.org/officeDocument/2006/relationships/hyperlink" Target="https://www.itu.int/md/S25-CL-INF-0014/en" TargetMode="External"/><Relationship Id="rId25" Type="http://schemas.openxmlformats.org/officeDocument/2006/relationships/hyperlink" Target="https://www.itu.int/md/S25-CL-C-0008/e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md/S25-CL-C-0024/en" TargetMode="External"/><Relationship Id="rId20" Type="http://schemas.openxmlformats.org/officeDocument/2006/relationships/hyperlink" Target="https://www.itu.int/md/S25-CL-C-0051/en" TargetMode="External"/><Relationship Id="rId29" Type="http://schemas.openxmlformats.org/officeDocument/2006/relationships/hyperlink" Target="https://www.itu.int/md/S25-CL-C-0080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33/en" TargetMode="External"/><Relationship Id="rId24" Type="http://schemas.openxmlformats.org/officeDocument/2006/relationships/hyperlink" Target="https://www.itu.int/md/S25-CL-C-0008/en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004/en" TargetMode="External"/><Relationship Id="rId23" Type="http://schemas.openxmlformats.org/officeDocument/2006/relationships/hyperlink" Target="https://www.itu.int/md/S25-CL-C-0033/en" TargetMode="External"/><Relationship Id="rId28" Type="http://schemas.openxmlformats.org/officeDocument/2006/relationships/hyperlink" Target="https://www.itu.int/md/S25-CL-C-0061/en" TargetMode="External"/><Relationship Id="rId10" Type="http://schemas.openxmlformats.org/officeDocument/2006/relationships/hyperlink" Target="https://www.itu.int/md/S25-CL-C-0051/en" TargetMode="External"/><Relationship Id="rId19" Type="http://schemas.openxmlformats.org/officeDocument/2006/relationships/hyperlink" Target="https://www.itu.int/md/S25-CL-INF-0014/en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INF-0014/en" TargetMode="External"/><Relationship Id="rId14" Type="http://schemas.openxmlformats.org/officeDocument/2006/relationships/hyperlink" Target="https://www.itu.int/md/S25-CL-C-0080/en" TargetMode="External"/><Relationship Id="rId22" Type="http://schemas.openxmlformats.org/officeDocument/2006/relationships/hyperlink" Target="https://www.itu.int/md/S25-CL-C-0033/en" TargetMode="External"/><Relationship Id="rId27" Type="http://schemas.openxmlformats.org/officeDocument/2006/relationships/hyperlink" Target="https://www.itu.int/md/S25-CL-C-0080/en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itu.int/md/S25-CL-C-0024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3123</Words>
  <Characters>22831</Characters>
  <Application>Microsoft Office Word</Application>
  <DocSecurity>0</DocSecurity>
  <Lines>190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25903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second Plenary meeting</dc:title>
  <dc:subject>ITU Council 2025</dc:subject>
  <cp:keywords>C2025, C25, Council-25</cp:keywords>
  <dc:description/>
  <cp:lastPrinted>2006-03-28T16:12:00Z</cp:lastPrinted>
  <dcterms:created xsi:type="dcterms:W3CDTF">2025-08-15T14:52:00Z</dcterms:created>
  <dcterms:modified xsi:type="dcterms:W3CDTF">2025-08-15T14:56:00Z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