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13F7D" w14:paraId="0043AC80" w14:textId="77777777" w:rsidTr="00AD3606">
        <w:trPr>
          <w:cantSplit/>
          <w:trHeight w:val="23"/>
        </w:trPr>
        <w:tc>
          <w:tcPr>
            <w:tcW w:w="3969" w:type="dxa"/>
            <w:vMerge w:val="restart"/>
            <w:tcMar>
              <w:left w:w="0" w:type="dxa"/>
            </w:tcMar>
          </w:tcPr>
          <w:p w14:paraId="60A806D3" w14:textId="33A86F31" w:rsidR="00AD3606" w:rsidRPr="00013F7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06AC11D" w:rsidR="00AD3606" w:rsidRPr="00013F7D" w:rsidRDefault="00AD3606" w:rsidP="00472BAD">
            <w:pPr>
              <w:tabs>
                <w:tab w:val="left" w:pos="851"/>
              </w:tabs>
              <w:spacing w:before="0" w:line="240" w:lineRule="atLeast"/>
              <w:jc w:val="right"/>
              <w:rPr>
                <w:b/>
              </w:rPr>
            </w:pPr>
            <w:r w:rsidRPr="00013F7D">
              <w:rPr>
                <w:b/>
              </w:rPr>
              <w:t>Document C2</w:t>
            </w:r>
            <w:r w:rsidR="000C76A9" w:rsidRPr="00013F7D">
              <w:rPr>
                <w:b/>
              </w:rPr>
              <w:t>5</w:t>
            </w:r>
            <w:r w:rsidRPr="00013F7D">
              <w:rPr>
                <w:b/>
              </w:rPr>
              <w:t>/</w:t>
            </w:r>
            <w:r w:rsidR="00140B7C">
              <w:rPr>
                <w:b/>
              </w:rPr>
              <w:t>108</w:t>
            </w:r>
            <w:r w:rsidR="001E1CE1" w:rsidRPr="00013F7D">
              <w:rPr>
                <w:b/>
              </w:rPr>
              <w:noBreakHyphen/>
            </w:r>
            <w:r w:rsidRPr="00013F7D">
              <w:rPr>
                <w:b/>
              </w:rPr>
              <w:t>E</w:t>
            </w:r>
          </w:p>
        </w:tc>
      </w:tr>
      <w:tr w:rsidR="00AD3606" w:rsidRPr="00013F7D" w14:paraId="789B45BA" w14:textId="77777777" w:rsidTr="00AD3606">
        <w:trPr>
          <w:cantSplit/>
        </w:trPr>
        <w:tc>
          <w:tcPr>
            <w:tcW w:w="3969" w:type="dxa"/>
            <w:vMerge/>
          </w:tcPr>
          <w:p w14:paraId="3F3D4E17" w14:textId="77777777" w:rsidR="00AD3606" w:rsidRPr="00013F7D"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56D4D05" w:rsidR="00AD3606" w:rsidRPr="00013F7D" w:rsidRDefault="00251E05" w:rsidP="00AD3606">
            <w:pPr>
              <w:tabs>
                <w:tab w:val="left" w:pos="851"/>
              </w:tabs>
              <w:spacing w:before="0"/>
              <w:jc w:val="right"/>
              <w:rPr>
                <w:b/>
              </w:rPr>
            </w:pPr>
            <w:r w:rsidRPr="00251E05">
              <w:rPr>
                <w:b/>
              </w:rPr>
              <w:t>15</w:t>
            </w:r>
            <w:r w:rsidR="00413B31" w:rsidRPr="00251E05">
              <w:rPr>
                <w:b/>
              </w:rPr>
              <w:t xml:space="preserve"> </w:t>
            </w:r>
            <w:r w:rsidR="006528D3" w:rsidRPr="00251E05">
              <w:rPr>
                <w:b/>
              </w:rPr>
              <w:t>August</w:t>
            </w:r>
            <w:r w:rsidR="00611253" w:rsidRPr="00251E05">
              <w:rPr>
                <w:b/>
              </w:rPr>
              <w:t xml:space="preserve"> </w:t>
            </w:r>
            <w:r w:rsidR="00AD3606" w:rsidRPr="00251E05">
              <w:rPr>
                <w:b/>
              </w:rPr>
              <w:t>202</w:t>
            </w:r>
            <w:r w:rsidR="000C76A9" w:rsidRPr="00251E05">
              <w:rPr>
                <w:b/>
              </w:rPr>
              <w:t>5</w:t>
            </w:r>
          </w:p>
        </w:tc>
      </w:tr>
      <w:tr w:rsidR="00AD3606" w:rsidRPr="00013F7D" w14:paraId="58A84C4A" w14:textId="77777777" w:rsidTr="00AD3606">
        <w:trPr>
          <w:cantSplit/>
          <w:trHeight w:val="23"/>
        </w:trPr>
        <w:tc>
          <w:tcPr>
            <w:tcW w:w="3969" w:type="dxa"/>
            <w:vMerge/>
          </w:tcPr>
          <w:p w14:paraId="77CEDDAA" w14:textId="77777777" w:rsidR="00AD3606" w:rsidRPr="00013F7D"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013F7D" w:rsidRDefault="00AD3606" w:rsidP="00AD3606">
            <w:pPr>
              <w:tabs>
                <w:tab w:val="left" w:pos="851"/>
              </w:tabs>
              <w:spacing w:before="0" w:line="240" w:lineRule="atLeast"/>
              <w:jc w:val="right"/>
              <w:rPr>
                <w:b/>
              </w:rPr>
            </w:pPr>
            <w:r w:rsidRPr="00013F7D">
              <w:rPr>
                <w:b/>
              </w:rPr>
              <w:t>Original: English</w:t>
            </w:r>
          </w:p>
        </w:tc>
      </w:tr>
      <w:tr w:rsidR="00472BAD" w:rsidRPr="00013F7D" w14:paraId="12C5EF5F" w14:textId="77777777" w:rsidTr="00AD3606">
        <w:trPr>
          <w:cantSplit/>
          <w:trHeight w:val="23"/>
        </w:trPr>
        <w:tc>
          <w:tcPr>
            <w:tcW w:w="3969" w:type="dxa"/>
          </w:tcPr>
          <w:p w14:paraId="4B839BA2" w14:textId="77777777" w:rsidR="00472BAD" w:rsidRPr="00013F7D" w:rsidRDefault="00472BAD" w:rsidP="00AD3606">
            <w:pPr>
              <w:tabs>
                <w:tab w:val="left" w:pos="851"/>
              </w:tabs>
              <w:spacing w:line="240" w:lineRule="atLeast"/>
              <w:rPr>
                <w:b/>
              </w:rPr>
            </w:pPr>
          </w:p>
        </w:tc>
        <w:tc>
          <w:tcPr>
            <w:tcW w:w="5245" w:type="dxa"/>
          </w:tcPr>
          <w:p w14:paraId="12F66D25" w14:textId="77777777" w:rsidR="00472BAD" w:rsidRPr="00013F7D" w:rsidRDefault="00472BAD" w:rsidP="00AD3606">
            <w:pPr>
              <w:tabs>
                <w:tab w:val="left" w:pos="851"/>
              </w:tabs>
              <w:spacing w:before="0" w:line="240" w:lineRule="atLeast"/>
              <w:jc w:val="right"/>
              <w:rPr>
                <w:b/>
              </w:rPr>
            </w:pPr>
          </w:p>
        </w:tc>
      </w:tr>
      <w:tr w:rsidR="007244B9" w:rsidRPr="00013F7D" w14:paraId="54F40449" w14:textId="77777777" w:rsidTr="003243AE">
        <w:trPr>
          <w:cantSplit/>
          <w:trHeight w:val="23"/>
        </w:trPr>
        <w:tc>
          <w:tcPr>
            <w:tcW w:w="9214" w:type="dxa"/>
            <w:gridSpan w:val="2"/>
          </w:tcPr>
          <w:p w14:paraId="26A57B8C" w14:textId="77777777" w:rsidR="007244B9" w:rsidRPr="00013F7D"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013F7D">
              <w:rPr>
                <w:b/>
                <w:bCs/>
                <w:sz w:val="34"/>
                <w:szCs w:val="34"/>
              </w:rPr>
              <w:t>SUMMARY RECORD</w:t>
            </w:r>
          </w:p>
          <w:p w14:paraId="35817936" w14:textId="77777777" w:rsidR="007244B9" w:rsidRPr="00013F7D"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013F7D">
              <w:rPr>
                <w:b/>
                <w:bCs/>
                <w:sz w:val="34"/>
                <w:szCs w:val="34"/>
              </w:rPr>
              <w:t>OF THE</w:t>
            </w:r>
          </w:p>
          <w:p w14:paraId="3C599D4A" w14:textId="23DA1D6D" w:rsidR="007244B9" w:rsidRPr="00013F7D" w:rsidRDefault="00D661C0" w:rsidP="0051181E">
            <w:pPr>
              <w:tabs>
                <w:tab w:val="left" w:pos="851"/>
              </w:tabs>
              <w:spacing w:after="240" w:line="240" w:lineRule="atLeast"/>
              <w:jc w:val="center"/>
              <w:rPr>
                <w:b/>
              </w:rPr>
            </w:pPr>
            <w:r w:rsidRPr="00013F7D">
              <w:rPr>
                <w:b/>
                <w:bCs/>
                <w:sz w:val="34"/>
                <w:szCs w:val="34"/>
              </w:rPr>
              <w:t>SECOND</w:t>
            </w:r>
            <w:r w:rsidR="007244B9" w:rsidRPr="00013F7D">
              <w:rPr>
                <w:b/>
                <w:bCs/>
                <w:sz w:val="34"/>
                <w:szCs w:val="34"/>
              </w:rPr>
              <w:t xml:space="preserve"> PLENARY MEETING</w:t>
            </w:r>
          </w:p>
        </w:tc>
      </w:tr>
      <w:tr w:rsidR="007244B9" w:rsidRPr="00013F7D" w14:paraId="66DF5894" w14:textId="77777777" w:rsidTr="003243AE">
        <w:trPr>
          <w:cantSplit/>
          <w:trHeight w:val="23"/>
        </w:trPr>
        <w:tc>
          <w:tcPr>
            <w:tcW w:w="9214" w:type="dxa"/>
            <w:gridSpan w:val="2"/>
          </w:tcPr>
          <w:p w14:paraId="75F88B8B" w14:textId="6D19FC5F" w:rsidR="007244B9" w:rsidRPr="00013F7D" w:rsidRDefault="00D661C0"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013F7D">
              <w:rPr>
                <w:rFonts w:cs="Calibri"/>
                <w:szCs w:val="24"/>
                <w:lang w:eastAsia="en-GB"/>
              </w:rPr>
              <w:t>Wednesday, 18 June 2025, from 1435 to 1745 hours</w:t>
            </w:r>
          </w:p>
          <w:p w14:paraId="7C47BB0A" w14:textId="2C228D83" w:rsidR="007244B9" w:rsidRPr="00013F7D" w:rsidRDefault="007244B9" w:rsidP="007244B9">
            <w:pPr>
              <w:tabs>
                <w:tab w:val="left" w:pos="851"/>
              </w:tabs>
              <w:spacing w:after="240" w:line="240" w:lineRule="atLeast"/>
              <w:jc w:val="center"/>
              <w:rPr>
                <w:bCs/>
              </w:rPr>
            </w:pPr>
            <w:r w:rsidRPr="00013F7D">
              <w:rPr>
                <w:b/>
                <w:bCs/>
              </w:rPr>
              <w:t>Chair</w:t>
            </w:r>
            <w:r w:rsidRPr="00013F7D">
              <w:t xml:space="preserve">: </w:t>
            </w:r>
            <w:r w:rsidR="000C76A9" w:rsidRPr="00013F7D">
              <w:rPr>
                <w:rFonts w:cs="Calibri"/>
                <w:szCs w:val="24"/>
                <w:lang w:eastAsia="en-GB"/>
              </w:rPr>
              <w:t>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013F7D" w14:paraId="14B76029" w14:textId="77777777" w:rsidTr="7FF38753">
        <w:tc>
          <w:tcPr>
            <w:tcW w:w="242" w:type="pct"/>
          </w:tcPr>
          <w:p w14:paraId="7F154504" w14:textId="77777777" w:rsidR="007244B9" w:rsidRPr="00013F7D" w:rsidRDefault="007244B9" w:rsidP="007244B9">
            <w:pPr>
              <w:spacing w:before="480"/>
              <w:rPr>
                <w:b/>
                <w:bCs/>
                <w:szCs w:val="24"/>
              </w:rPr>
            </w:pPr>
            <w:bookmarkStart w:id="8" w:name="_Hlk141438382"/>
            <w:bookmarkStart w:id="9" w:name="_Hlk133421428"/>
            <w:bookmarkEnd w:id="2"/>
            <w:bookmarkEnd w:id="7"/>
            <w:r w:rsidRPr="00013F7D">
              <w:rPr>
                <w:b/>
                <w:bCs/>
                <w:szCs w:val="24"/>
              </w:rPr>
              <w:br w:type="page"/>
            </w:r>
            <w:r w:rsidRPr="00013F7D">
              <w:rPr>
                <w:b/>
                <w:bCs/>
                <w:szCs w:val="24"/>
              </w:rPr>
              <w:br w:type="page"/>
            </w:r>
          </w:p>
        </w:tc>
        <w:tc>
          <w:tcPr>
            <w:tcW w:w="3580" w:type="pct"/>
            <w:hideMark/>
          </w:tcPr>
          <w:p w14:paraId="6E059BF8" w14:textId="77777777" w:rsidR="007244B9" w:rsidRPr="00013F7D" w:rsidRDefault="007244B9" w:rsidP="007244B9">
            <w:pPr>
              <w:spacing w:before="480" w:after="120"/>
              <w:rPr>
                <w:b/>
                <w:bCs/>
                <w:szCs w:val="24"/>
              </w:rPr>
            </w:pPr>
            <w:r w:rsidRPr="00013F7D">
              <w:rPr>
                <w:b/>
                <w:bCs/>
                <w:szCs w:val="24"/>
              </w:rPr>
              <w:t>Subjects discussed</w:t>
            </w:r>
          </w:p>
        </w:tc>
        <w:tc>
          <w:tcPr>
            <w:tcW w:w="1178" w:type="pct"/>
            <w:hideMark/>
          </w:tcPr>
          <w:p w14:paraId="683D5A20" w14:textId="35ED7D84" w:rsidR="007244B9" w:rsidRPr="00013F7D" w:rsidRDefault="007244B9" w:rsidP="005B766E">
            <w:pPr>
              <w:spacing w:before="480"/>
              <w:jc w:val="center"/>
              <w:rPr>
                <w:b/>
                <w:bCs/>
                <w:szCs w:val="24"/>
              </w:rPr>
            </w:pPr>
            <w:r w:rsidRPr="00013F7D">
              <w:rPr>
                <w:b/>
                <w:bCs/>
                <w:szCs w:val="24"/>
              </w:rPr>
              <w:t>Documents</w:t>
            </w:r>
          </w:p>
        </w:tc>
      </w:tr>
      <w:tr w:rsidR="009156F1" w:rsidRPr="00013F7D" w14:paraId="21752EA8" w14:textId="77777777" w:rsidTr="7FF38753">
        <w:trPr>
          <w:trHeight w:val="20"/>
        </w:trPr>
        <w:tc>
          <w:tcPr>
            <w:tcW w:w="242" w:type="pct"/>
            <w:hideMark/>
          </w:tcPr>
          <w:p w14:paraId="59F0B2E6" w14:textId="77777777" w:rsidR="009156F1" w:rsidRPr="00013F7D" w:rsidRDefault="009156F1" w:rsidP="009156F1">
            <w:pPr>
              <w:spacing w:before="80" w:after="80"/>
              <w:rPr>
                <w:sz w:val="22"/>
                <w:szCs w:val="22"/>
              </w:rPr>
            </w:pPr>
            <w:r w:rsidRPr="00013F7D">
              <w:rPr>
                <w:sz w:val="22"/>
                <w:szCs w:val="22"/>
              </w:rPr>
              <w:t>1</w:t>
            </w:r>
          </w:p>
        </w:tc>
        <w:tc>
          <w:tcPr>
            <w:tcW w:w="3580" w:type="pct"/>
          </w:tcPr>
          <w:p w14:paraId="020C0FA1" w14:textId="0FCF3FCD" w:rsidR="009156F1" w:rsidRPr="00013F7D" w:rsidRDefault="00D661C0" w:rsidP="009156F1">
            <w:pPr>
              <w:spacing w:before="80" w:after="80"/>
              <w:rPr>
                <w:sz w:val="22"/>
                <w:szCs w:val="22"/>
              </w:rPr>
            </w:pPr>
            <w:bookmarkStart w:id="10" w:name="_Hlk201218544"/>
            <w:r w:rsidRPr="00013F7D">
              <w:rPr>
                <w:lang w:eastAsia="en-GB"/>
              </w:rPr>
              <w:t xml:space="preserve">Presentation on the 2026 </w:t>
            </w:r>
            <w:r w:rsidR="00801A24" w:rsidRPr="00013F7D">
              <w:rPr>
                <w:lang w:eastAsia="en-GB"/>
              </w:rPr>
              <w:t>p</w:t>
            </w:r>
            <w:r w:rsidRPr="00013F7D">
              <w:rPr>
                <w:lang w:eastAsia="en-GB"/>
              </w:rPr>
              <w:t xml:space="preserve">lenipotentiary </w:t>
            </w:r>
            <w:r w:rsidR="00801A24" w:rsidRPr="00013F7D">
              <w:rPr>
                <w:lang w:eastAsia="en-GB"/>
              </w:rPr>
              <w:t>c</w:t>
            </w:r>
            <w:r w:rsidRPr="00013F7D">
              <w:rPr>
                <w:lang w:eastAsia="en-GB"/>
              </w:rPr>
              <w:t>onference</w:t>
            </w:r>
            <w:bookmarkEnd w:id="10"/>
          </w:p>
        </w:tc>
        <w:tc>
          <w:tcPr>
            <w:tcW w:w="1178" w:type="pct"/>
          </w:tcPr>
          <w:p w14:paraId="23C04073" w14:textId="47BFB9A1" w:rsidR="009156F1" w:rsidRPr="00013F7D" w:rsidRDefault="001E1CE1" w:rsidP="009156F1">
            <w:pPr>
              <w:spacing w:before="80" w:after="80"/>
              <w:jc w:val="center"/>
              <w:rPr>
                <w:szCs w:val="24"/>
              </w:rPr>
            </w:pPr>
            <w:r w:rsidRPr="00013F7D">
              <w:rPr>
                <w:szCs w:val="24"/>
              </w:rPr>
              <w:noBreakHyphen/>
            </w:r>
          </w:p>
        </w:tc>
      </w:tr>
      <w:tr w:rsidR="00D661C0" w:rsidRPr="00013F7D" w14:paraId="6EA0EA1D" w14:textId="77777777" w:rsidTr="000235D3">
        <w:trPr>
          <w:trHeight w:val="20"/>
        </w:trPr>
        <w:tc>
          <w:tcPr>
            <w:tcW w:w="242" w:type="pct"/>
          </w:tcPr>
          <w:p w14:paraId="771A6319" w14:textId="0113AA58" w:rsidR="00D661C0" w:rsidRPr="00013F7D" w:rsidRDefault="00D661C0" w:rsidP="00D661C0">
            <w:pPr>
              <w:spacing w:before="80" w:after="80"/>
              <w:rPr>
                <w:sz w:val="22"/>
                <w:szCs w:val="22"/>
              </w:rPr>
            </w:pPr>
            <w:r w:rsidRPr="00013F7D">
              <w:rPr>
                <w:sz w:val="22"/>
                <w:szCs w:val="22"/>
              </w:rPr>
              <w:t>2</w:t>
            </w:r>
          </w:p>
        </w:tc>
        <w:tc>
          <w:tcPr>
            <w:tcW w:w="3580" w:type="pct"/>
          </w:tcPr>
          <w:p w14:paraId="4A58AA98" w14:textId="5B3AC914" w:rsidR="00D661C0" w:rsidRPr="00013F7D" w:rsidRDefault="00D661C0" w:rsidP="00D661C0">
            <w:pPr>
              <w:spacing w:before="80" w:after="80"/>
              <w:rPr>
                <w:lang w:eastAsia="en-GB"/>
              </w:rPr>
            </w:pPr>
            <w:r w:rsidRPr="00013F7D">
              <w:rPr>
                <w:lang w:eastAsia="en-GB"/>
              </w:rPr>
              <w:t xml:space="preserve">Preparations for the 2026 </w:t>
            </w:r>
            <w:r w:rsidR="00EE53E3" w:rsidRPr="00013F7D">
              <w:rPr>
                <w:lang w:eastAsia="en-GB"/>
              </w:rPr>
              <w:t>p</w:t>
            </w:r>
            <w:r w:rsidRPr="00013F7D">
              <w:rPr>
                <w:lang w:eastAsia="en-GB"/>
              </w:rPr>
              <w:t xml:space="preserve">lenipotentiary </w:t>
            </w:r>
            <w:r w:rsidR="00EE53E3" w:rsidRPr="00013F7D">
              <w:rPr>
                <w:lang w:eastAsia="en-GB"/>
              </w:rPr>
              <w:t>c</w:t>
            </w:r>
            <w:r w:rsidRPr="00013F7D">
              <w:rPr>
                <w:lang w:eastAsia="en-GB"/>
              </w:rPr>
              <w:t>onference</w:t>
            </w:r>
          </w:p>
        </w:tc>
        <w:tc>
          <w:tcPr>
            <w:tcW w:w="1178" w:type="pct"/>
            <w:vAlign w:val="center"/>
          </w:tcPr>
          <w:p w14:paraId="46957471" w14:textId="22F5D347" w:rsidR="00D661C0" w:rsidRPr="00013F7D" w:rsidRDefault="00A87CF9" w:rsidP="00D661C0">
            <w:pPr>
              <w:spacing w:before="80" w:after="80"/>
              <w:jc w:val="center"/>
              <w:rPr>
                <w:rFonts w:asciiTheme="minorHAnsi" w:hAnsiTheme="minorHAnsi" w:cstheme="minorHAnsi"/>
                <w:szCs w:val="24"/>
              </w:rPr>
            </w:pPr>
            <w:hyperlink r:id="rId11" w:history="1">
              <w:r w:rsidRPr="00013F7D">
                <w:rPr>
                  <w:rStyle w:val="Hyperlink"/>
                  <w:rFonts w:eastAsia="SimSun"/>
                </w:rPr>
                <w:t>C25/4</w:t>
              </w:r>
            </w:hyperlink>
          </w:p>
        </w:tc>
      </w:tr>
      <w:tr w:rsidR="00D661C0" w:rsidRPr="00013F7D" w14:paraId="3C347C19" w14:textId="77777777" w:rsidTr="7FF38753">
        <w:trPr>
          <w:trHeight w:val="20"/>
        </w:trPr>
        <w:tc>
          <w:tcPr>
            <w:tcW w:w="242" w:type="pct"/>
          </w:tcPr>
          <w:p w14:paraId="40F71A4C" w14:textId="6A7AA66B" w:rsidR="00D661C0" w:rsidRPr="00013F7D" w:rsidRDefault="00D661C0" w:rsidP="00D661C0">
            <w:pPr>
              <w:spacing w:before="80" w:after="80"/>
              <w:rPr>
                <w:sz w:val="22"/>
                <w:szCs w:val="22"/>
              </w:rPr>
            </w:pPr>
            <w:r w:rsidRPr="00013F7D">
              <w:rPr>
                <w:sz w:val="22"/>
                <w:szCs w:val="22"/>
              </w:rPr>
              <w:t>3</w:t>
            </w:r>
          </w:p>
        </w:tc>
        <w:tc>
          <w:tcPr>
            <w:tcW w:w="3580" w:type="pct"/>
          </w:tcPr>
          <w:p w14:paraId="62B8BF42" w14:textId="577BBE11" w:rsidR="00D661C0" w:rsidRPr="00013F7D" w:rsidRDefault="00D661C0" w:rsidP="00D661C0">
            <w:pPr>
              <w:spacing w:before="80" w:after="80"/>
              <w:rPr>
                <w:lang w:eastAsia="en-GB"/>
              </w:rPr>
            </w:pPr>
            <w:r w:rsidRPr="00013F7D">
              <w:rPr>
                <w:lang w:eastAsia="en-GB"/>
              </w:rPr>
              <w:t xml:space="preserve">Report on the </w:t>
            </w:r>
            <w:r w:rsidR="00EE53E3" w:rsidRPr="00013F7D">
              <w:rPr>
                <w:lang w:eastAsia="en-GB"/>
              </w:rPr>
              <w:t xml:space="preserve">2024 </w:t>
            </w:r>
            <w:r w:rsidRPr="00013F7D">
              <w:rPr>
                <w:lang w:eastAsia="en-GB"/>
              </w:rPr>
              <w:t xml:space="preserve">Global Standards Symposium and </w:t>
            </w:r>
            <w:r w:rsidR="00EE53E3" w:rsidRPr="00013F7D">
              <w:rPr>
                <w:lang w:eastAsia="en-GB"/>
              </w:rPr>
              <w:t>2024</w:t>
            </w:r>
            <w:r w:rsidR="002806D6" w:rsidRPr="00013F7D">
              <w:rPr>
                <w:lang w:eastAsia="en-GB"/>
              </w:rPr>
              <w:t> </w:t>
            </w:r>
            <w:r w:rsidRPr="00013F7D">
              <w:rPr>
                <w:lang w:eastAsia="en-GB"/>
              </w:rPr>
              <w:t>World Telecommunication Standardization Assembly</w:t>
            </w:r>
            <w:r w:rsidR="00E90E99">
              <w:rPr>
                <w:lang w:eastAsia="en-GB"/>
              </w:rPr>
              <w:t xml:space="preserve"> </w:t>
            </w:r>
          </w:p>
        </w:tc>
        <w:tc>
          <w:tcPr>
            <w:tcW w:w="1178" w:type="pct"/>
          </w:tcPr>
          <w:p w14:paraId="648E2529" w14:textId="54977F54" w:rsidR="00D661C0" w:rsidRPr="00013F7D" w:rsidRDefault="00D661C0" w:rsidP="00D661C0">
            <w:pPr>
              <w:spacing w:before="80" w:after="80"/>
              <w:jc w:val="center"/>
              <w:rPr>
                <w:rFonts w:asciiTheme="minorHAnsi" w:hAnsiTheme="minorHAnsi" w:cstheme="minorHAnsi"/>
                <w:szCs w:val="24"/>
              </w:rPr>
            </w:pPr>
            <w:hyperlink r:id="rId12" w:history="1">
              <w:r w:rsidRPr="00013F7D">
                <w:rPr>
                  <w:rStyle w:val="Hyperlink"/>
                  <w:rFonts w:asciiTheme="minorHAnsi" w:hAnsiTheme="minorHAnsi" w:cstheme="minorHAnsi"/>
                  <w:szCs w:val="24"/>
                  <w:lang w:eastAsia="en-GB"/>
                </w:rPr>
                <w:t>C25/24</w:t>
              </w:r>
            </w:hyperlink>
            <w:r w:rsidR="00A87CF9" w:rsidRPr="00013F7D">
              <w:rPr>
                <w:rFonts w:asciiTheme="minorHAnsi" w:hAnsiTheme="minorHAnsi" w:cstheme="minorHAnsi"/>
                <w:szCs w:val="24"/>
                <w:lang w:eastAsia="en-GB"/>
              </w:rPr>
              <w:t xml:space="preserve">, </w:t>
            </w:r>
            <w:hyperlink r:id="rId13" w:history="1">
              <w:r w:rsidR="00A87CF9" w:rsidRPr="00013F7D">
                <w:rPr>
                  <w:rStyle w:val="Hyperlink"/>
                  <w:rFonts w:asciiTheme="minorHAnsi" w:hAnsiTheme="minorHAnsi" w:cstheme="minorHAnsi"/>
                  <w:szCs w:val="24"/>
                  <w:lang w:eastAsia="en-GB"/>
                </w:rPr>
                <w:t>C25/INF/14</w:t>
              </w:r>
            </w:hyperlink>
          </w:p>
        </w:tc>
      </w:tr>
      <w:tr w:rsidR="00D661C0" w:rsidRPr="00013F7D" w14:paraId="32447FA9" w14:textId="77777777" w:rsidTr="7FF38753">
        <w:trPr>
          <w:trHeight w:val="20"/>
        </w:trPr>
        <w:tc>
          <w:tcPr>
            <w:tcW w:w="242" w:type="pct"/>
          </w:tcPr>
          <w:p w14:paraId="6EF8B845" w14:textId="51DD8AF8" w:rsidR="00D661C0" w:rsidRPr="00013F7D" w:rsidRDefault="00D661C0" w:rsidP="00D661C0">
            <w:pPr>
              <w:spacing w:before="80" w:after="80"/>
              <w:rPr>
                <w:sz w:val="22"/>
                <w:szCs w:val="22"/>
              </w:rPr>
            </w:pPr>
            <w:r w:rsidRPr="00013F7D">
              <w:rPr>
                <w:sz w:val="22"/>
                <w:szCs w:val="22"/>
              </w:rPr>
              <w:t>4</w:t>
            </w:r>
          </w:p>
        </w:tc>
        <w:tc>
          <w:tcPr>
            <w:tcW w:w="3580" w:type="pct"/>
          </w:tcPr>
          <w:p w14:paraId="56C21617" w14:textId="3672A0C2" w:rsidR="00D661C0" w:rsidRPr="00013F7D" w:rsidRDefault="00D661C0" w:rsidP="00D661C0">
            <w:pPr>
              <w:spacing w:before="80" w:after="80"/>
              <w:rPr>
                <w:lang w:eastAsia="en-GB"/>
              </w:rPr>
            </w:pPr>
            <w:r w:rsidRPr="00013F7D">
              <w:rPr>
                <w:lang w:eastAsia="en-GB"/>
              </w:rPr>
              <w:t>Report by the Chair of Council Working Group on international Internet</w:t>
            </w:r>
            <w:r w:rsidR="001E1CE1" w:rsidRPr="00013F7D">
              <w:rPr>
                <w:lang w:eastAsia="en-GB"/>
              </w:rPr>
              <w:noBreakHyphen/>
            </w:r>
            <w:r w:rsidRPr="00013F7D">
              <w:rPr>
                <w:lang w:eastAsia="en-GB"/>
              </w:rPr>
              <w:t>related public policy issues</w:t>
            </w:r>
          </w:p>
        </w:tc>
        <w:tc>
          <w:tcPr>
            <w:tcW w:w="1178" w:type="pct"/>
          </w:tcPr>
          <w:p w14:paraId="6ED66744" w14:textId="2B6AF9E4" w:rsidR="00D661C0" w:rsidRPr="00013F7D" w:rsidRDefault="00D661C0" w:rsidP="00D661C0">
            <w:pPr>
              <w:spacing w:before="80" w:after="80"/>
              <w:jc w:val="center"/>
              <w:rPr>
                <w:rFonts w:asciiTheme="minorHAnsi" w:hAnsiTheme="minorHAnsi" w:cstheme="minorHAnsi"/>
                <w:szCs w:val="24"/>
              </w:rPr>
            </w:pPr>
            <w:hyperlink r:id="rId14" w:history="1">
              <w:r w:rsidRPr="00013F7D">
                <w:rPr>
                  <w:rStyle w:val="Hyperlink"/>
                  <w:rFonts w:asciiTheme="minorHAnsi" w:hAnsiTheme="minorHAnsi" w:cstheme="minorHAnsi"/>
                  <w:szCs w:val="24"/>
                  <w:lang w:eastAsia="en-GB"/>
                </w:rPr>
                <w:t>C25/51</w:t>
              </w:r>
            </w:hyperlink>
          </w:p>
        </w:tc>
      </w:tr>
      <w:tr w:rsidR="00D661C0" w:rsidRPr="00013F7D" w14:paraId="7C3EDDF6" w14:textId="77777777" w:rsidTr="7FF38753">
        <w:trPr>
          <w:trHeight w:val="20"/>
        </w:trPr>
        <w:tc>
          <w:tcPr>
            <w:tcW w:w="242" w:type="pct"/>
          </w:tcPr>
          <w:p w14:paraId="3C4B7AA3" w14:textId="303885AB" w:rsidR="00D661C0" w:rsidRPr="00013F7D" w:rsidRDefault="00D661C0" w:rsidP="00D661C0">
            <w:pPr>
              <w:spacing w:before="80" w:after="80"/>
              <w:rPr>
                <w:sz w:val="22"/>
                <w:szCs w:val="22"/>
              </w:rPr>
            </w:pPr>
            <w:r w:rsidRPr="00013F7D">
              <w:rPr>
                <w:sz w:val="22"/>
                <w:szCs w:val="22"/>
              </w:rPr>
              <w:t>5</w:t>
            </w:r>
          </w:p>
        </w:tc>
        <w:tc>
          <w:tcPr>
            <w:tcW w:w="3580" w:type="pct"/>
          </w:tcPr>
          <w:p w14:paraId="36ACA1E5" w14:textId="1EA5A4AE" w:rsidR="00D661C0" w:rsidRPr="00013F7D" w:rsidRDefault="00D661C0" w:rsidP="00D661C0">
            <w:pPr>
              <w:spacing w:before="80" w:after="80"/>
              <w:rPr>
                <w:lang w:eastAsia="en-GB"/>
              </w:rPr>
            </w:pPr>
            <w:r w:rsidRPr="00013F7D">
              <w:rPr>
                <w:lang w:eastAsia="en-GB"/>
              </w:rPr>
              <w:t>ITU Internet activities: Resolutions 101, 102, 133, 180 and 206</w:t>
            </w:r>
            <w:r w:rsidR="002806D6" w:rsidRPr="00013F7D">
              <w:rPr>
                <w:lang w:eastAsia="en-GB"/>
              </w:rPr>
              <w:t xml:space="preserve"> of the Plenipotentiary Conference</w:t>
            </w:r>
          </w:p>
        </w:tc>
        <w:tc>
          <w:tcPr>
            <w:tcW w:w="1178" w:type="pct"/>
          </w:tcPr>
          <w:p w14:paraId="17CBB080" w14:textId="544672F8" w:rsidR="00D661C0" w:rsidRPr="00013F7D" w:rsidRDefault="00A87CF9" w:rsidP="00D661C0">
            <w:pPr>
              <w:spacing w:before="80" w:after="80"/>
              <w:jc w:val="center"/>
              <w:rPr>
                <w:rFonts w:asciiTheme="minorHAnsi" w:hAnsiTheme="minorHAnsi" w:cstheme="minorHAnsi"/>
                <w:szCs w:val="24"/>
              </w:rPr>
            </w:pPr>
            <w:hyperlink r:id="rId15" w:history="1">
              <w:r w:rsidRPr="00013F7D">
                <w:rPr>
                  <w:rStyle w:val="Hyperlink"/>
                </w:rPr>
                <w:t>C25/33</w:t>
              </w:r>
            </w:hyperlink>
          </w:p>
        </w:tc>
      </w:tr>
      <w:tr w:rsidR="00D661C0" w:rsidRPr="00013F7D" w14:paraId="176C324B" w14:textId="77777777" w:rsidTr="7FF38753">
        <w:trPr>
          <w:trHeight w:val="20"/>
        </w:trPr>
        <w:tc>
          <w:tcPr>
            <w:tcW w:w="242" w:type="pct"/>
          </w:tcPr>
          <w:p w14:paraId="4BF8DD05" w14:textId="2CD2164D" w:rsidR="00D661C0" w:rsidRPr="00013F7D" w:rsidRDefault="00D661C0" w:rsidP="00D661C0">
            <w:pPr>
              <w:spacing w:before="80" w:after="80"/>
              <w:rPr>
                <w:sz w:val="22"/>
                <w:szCs w:val="22"/>
              </w:rPr>
            </w:pPr>
            <w:r w:rsidRPr="00013F7D">
              <w:rPr>
                <w:sz w:val="22"/>
                <w:szCs w:val="22"/>
              </w:rPr>
              <w:t>6</w:t>
            </w:r>
          </w:p>
        </w:tc>
        <w:tc>
          <w:tcPr>
            <w:tcW w:w="3580" w:type="pct"/>
          </w:tcPr>
          <w:p w14:paraId="2543F371" w14:textId="72102918" w:rsidR="00D661C0" w:rsidRPr="00013F7D" w:rsidRDefault="00D661C0" w:rsidP="00D661C0">
            <w:pPr>
              <w:spacing w:before="80" w:after="80"/>
              <w:rPr>
                <w:lang w:eastAsia="en-GB"/>
              </w:rPr>
            </w:pPr>
            <w:r w:rsidRPr="00013F7D">
              <w:rPr>
                <w:lang w:eastAsia="en-GB"/>
              </w:rPr>
              <w:t>Report of the Chair of CWG</w:t>
            </w:r>
            <w:r w:rsidR="001E1CE1" w:rsidRPr="00013F7D">
              <w:rPr>
                <w:lang w:eastAsia="en-GB"/>
              </w:rPr>
              <w:noBreakHyphen/>
            </w:r>
            <w:r w:rsidRPr="00013F7D">
              <w:rPr>
                <w:lang w:eastAsia="en-GB"/>
              </w:rPr>
              <w:t>WSIS</w:t>
            </w:r>
            <w:r w:rsidR="002806D6" w:rsidRPr="00013F7D">
              <w:rPr>
                <w:lang w:eastAsia="en-GB"/>
              </w:rPr>
              <w:t>&amp;</w:t>
            </w:r>
            <w:r w:rsidRPr="00013F7D">
              <w:rPr>
                <w:lang w:eastAsia="en-GB"/>
              </w:rPr>
              <w:t>SDG on the outcomes of the 41</w:t>
            </w:r>
            <w:r w:rsidR="00692FAC" w:rsidRPr="00013F7D">
              <w:rPr>
                <w:vertAlign w:val="superscript"/>
                <w:lang w:eastAsia="en-GB"/>
              </w:rPr>
              <w:t>st</w:t>
            </w:r>
            <w:r w:rsidR="00692FAC" w:rsidRPr="00013F7D">
              <w:rPr>
                <w:lang w:eastAsia="en-GB"/>
              </w:rPr>
              <w:t xml:space="preserve"> </w:t>
            </w:r>
            <w:r w:rsidRPr="00013F7D">
              <w:rPr>
                <w:lang w:eastAsia="en-GB"/>
              </w:rPr>
              <w:t>and 42</w:t>
            </w:r>
            <w:r w:rsidR="00692FAC" w:rsidRPr="00013F7D">
              <w:rPr>
                <w:vertAlign w:val="superscript"/>
                <w:lang w:eastAsia="en-GB"/>
              </w:rPr>
              <w:t>nd</w:t>
            </w:r>
            <w:r w:rsidR="00692FAC" w:rsidRPr="00013F7D">
              <w:rPr>
                <w:lang w:eastAsia="en-GB"/>
              </w:rPr>
              <w:t xml:space="preserve"> </w:t>
            </w:r>
            <w:r w:rsidRPr="00013F7D">
              <w:rPr>
                <w:lang w:eastAsia="en-GB"/>
              </w:rPr>
              <w:t>meetings</w:t>
            </w:r>
          </w:p>
        </w:tc>
        <w:tc>
          <w:tcPr>
            <w:tcW w:w="1178" w:type="pct"/>
          </w:tcPr>
          <w:p w14:paraId="3ADEFBBC" w14:textId="1066E360" w:rsidR="00D661C0" w:rsidRPr="00013F7D" w:rsidRDefault="00D661C0" w:rsidP="00D661C0">
            <w:pPr>
              <w:spacing w:before="80" w:after="80"/>
              <w:jc w:val="center"/>
              <w:rPr>
                <w:rFonts w:asciiTheme="minorHAnsi" w:hAnsiTheme="minorHAnsi" w:cstheme="minorHAnsi"/>
                <w:szCs w:val="24"/>
              </w:rPr>
            </w:pPr>
            <w:hyperlink r:id="rId16" w:history="1">
              <w:r w:rsidRPr="00013F7D">
                <w:rPr>
                  <w:rStyle w:val="Hyperlink"/>
                  <w:rFonts w:asciiTheme="minorHAnsi" w:hAnsiTheme="minorHAnsi" w:cstheme="minorHAnsi"/>
                  <w:szCs w:val="24"/>
                  <w:lang w:eastAsia="en-GB"/>
                </w:rPr>
                <w:t>C25/8</w:t>
              </w:r>
            </w:hyperlink>
          </w:p>
        </w:tc>
      </w:tr>
      <w:tr w:rsidR="00D661C0" w:rsidRPr="00013F7D" w14:paraId="0E4E9B1F" w14:textId="77777777" w:rsidTr="7FF38753">
        <w:trPr>
          <w:trHeight w:val="20"/>
        </w:trPr>
        <w:tc>
          <w:tcPr>
            <w:tcW w:w="242" w:type="pct"/>
          </w:tcPr>
          <w:p w14:paraId="452AEBF6" w14:textId="78A1B4B2" w:rsidR="00D661C0" w:rsidRPr="00013F7D" w:rsidRDefault="00D661C0" w:rsidP="00D661C0">
            <w:pPr>
              <w:spacing w:before="80" w:after="80"/>
              <w:rPr>
                <w:sz w:val="22"/>
                <w:szCs w:val="22"/>
              </w:rPr>
            </w:pPr>
            <w:r w:rsidRPr="00013F7D">
              <w:rPr>
                <w:sz w:val="22"/>
                <w:szCs w:val="22"/>
              </w:rPr>
              <w:t>7</w:t>
            </w:r>
          </w:p>
        </w:tc>
        <w:tc>
          <w:tcPr>
            <w:tcW w:w="3580" w:type="pct"/>
          </w:tcPr>
          <w:p w14:paraId="1AAB22CC" w14:textId="7401B7E7" w:rsidR="00D661C0" w:rsidRPr="00013F7D" w:rsidRDefault="00D661C0" w:rsidP="00D661C0">
            <w:pPr>
              <w:spacing w:before="80" w:after="80"/>
              <w:rPr>
                <w:lang w:eastAsia="en-GB"/>
              </w:rPr>
            </w:pPr>
            <w:r w:rsidRPr="00013F7D">
              <w:rPr>
                <w:lang w:eastAsia="en-GB"/>
              </w:rPr>
              <w:t xml:space="preserve">WSIS+20 </w:t>
            </w:r>
            <w:r w:rsidR="002A4E0C">
              <w:rPr>
                <w:lang w:eastAsia="en-GB"/>
              </w:rPr>
              <w:t>r</w:t>
            </w:r>
            <w:r w:rsidRPr="00013F7D">
              <w:rPr>
                <w:lang w:eastAsia="en-GB"/>
              </w:rPr>
              <w:t>eport on ITU</w:t>
            </w:r>
            <w:r w:rsidR="00013F7D" w:rsidRPr="00013F7D">
              <w:rPr>
                <w:lang w:eastAsia="en-GB"/>
              </w:rPr>
              <w:t>'</w:t>
            </w:r>
            <w:r w:rsidRPr="00013F7D">
              <w:rPr>
                <w:lang w:eastAsia="en-GB"/>
              </w:rPr>
              <w:t>s contribution to the implementation of and follow</w:t>
            </w:r>
            <w:r w:rsidR="001E1CE1" w:rsidRPr="00013F7D">
              <w:rPr>
                <w:lang w:eastAsia="en-GB"/>
              </w:rPr>
              <w:noBreakHyphen/>
            </w:r>
            <w:r w:rsidRPr="00013F7D">
              <w:rPr>
                <w:lang w:eastAsia="en-GB"/>
              </w:rPr>
              <w:t>up to the WSIS outcomes and its role in achieving the SDGs</w:t>
            </w:r>
          </w:p>
        </w:tc>
        <w:tc>
          <w:tcPr>
            <w:tcW w:w="1178" w:type="pct"/>
          </w:tcPr>
          <w:p w14:paraId="3262AB33" w14:textId="449B4B0B" w:rsidR="00D661C0" w:rsidRPr="00013F7D" w:rsidRDefault="00A87CF9" w:rsidP="00D661C0">
            <w:pPr>
              <w:spacing w:before="80" w:after="80"/>
              <w:jc w:val="center"/>
              <w:rPr>
                <w:rFonts w:asciiTheme="minorHAnsi" w:hAnsiTheme="minorHAnsi" w:cstheme="minorHAnsi"/>
                <w:szCs w:val="24"/>
              </w:rPr>
            </w:pPr>
            <w:hyperlink r:id="rId17" w:history="1">
              <w:r w:rsidRPr="00013F7D">
                <w:rPr>
                  <w:rStyle w:val="Hyperlink"/>
                </w:rPr>
                <w:t>C25/61</w:t>
              </w:r>
            </w:hyperlink>
            <w:r w:rsidRPr="00013F7D">
              <w:rPr>
                <w:b/>
              </w:rPr>
              <w:t xml:space="preserve">, </w:t>
            </w:r>
            <w:hyperlink r:id="rId18" w:history="1">
              <w:r w:rsidRPr="00013F7D">
                <w:rPr>
                  <w:rStyle w:val="Hyperlink"/>
                </w:rPr>
                <w:t>C25/80</w:t>
              </w:r>
            </w:hyperlink>
          </w:p>
        </w:tc>
      </w:tr>
      <w:tr w:rsidR="00D661C0" w:rsidRPr="00013F7D" w14:paraId="4E1538E2" w14:textId="77777777" w:rsidTr="7FF38753">
        <w:trPr>
          <w:trHeight w:val="20"/>
        </w:trPr>
        <w:tc>
          <w:tcPr>
            <w:tcW w:w="242" w:type="pct"/>
          </w:tcPr>
          <w:p w14:paraId="1DE61F99" w14:textId="1F340860" w:rsidR="00D661C0" w:rsidRPr="00013F7D" w:rsidRDefault="00D661C0" w:rsidP="00D661C0">
            <w:pPr>
              <w:spacing w:before="80" w:after="80"/>
              <w:rPr>
                <w:sz w:val="22"/>
                <w:szCs w:val="22"/>
              </w:rPr>
            </w:pPr>
            <w:r w:rsidRPr="00013F7D">
              <w:rPr>
                <w:sz w:val="22"/>
                <w:szCs w:val="22"/>
              </w:rPr>
              <w:t>8</w:t>
            </w:r>
          </w:p>
        </w:tc>
        <w:tc>
          <w:tcPr>
            <w:tcW w:w="3580" w:type="pct"/>
          </w:tcPr>
          <w:p w14:paraId="2056FBE3" w14:textId="06E4CE4C" w:rsidR="00D661C0" w:rsidRPr="00013F7D" w:rsidRDefault="00D661C0" w:rsidP="00D661C0">
            <w:pPr>
              <w:spacing w:before="80" w:after="80"/>
              <w:rPr>
                <w:lang w:eastAsia="en-GB"/>
              </w:rPr>
            </w:pPr>
            <w:r w:rsidRPr="00013F7D">
              <w:rPr>
                <w:lang w:eastAsia="en-GB"/>
              </w:rPr>
              <w:t>Condolences on the passing of Nigel Hickson</w:t>
            </w:r>
          </w:p>
        </w:tc>
        <w:tc>
          <w:tcPr>
            <w:tcW w:w="1178" w:type="pct"/>
          </w:tcPr>
          <w:p w14:paraId="4409FBFF" w14:textId="781C05EE" w:rsidR="00D661C0" w:rsidRPr="00013F7D" w:rsidRDefault="001E1CE1" w:rsidP="00D661C0">
            <w:pPr>
              <w:spacing w:before="80" w:after="80"/>
              <w:jc w:val="center"/>
              <w:rPr>
                <w:rFonts w:asciiTheme="minorHAnsi" w:hAnsiTheme="minorHAnsi" w:cstheme="minorHAnsi"/>
                <w:szCs w:val="24"/>
              </w:rPr>
            </w:pPr>
            <w:r w:rsidRPr="00013F7D">
              <w:rPr>
                <w:rFonts w:asciiTheme="minorHAnsi" w:hAnsiTheme="minorHAnsi" w:cstheme="minorHAnsi"/>
                <w:szCs w:val="24"/>
                <w:lang w:eastAsia="en-GB"/>
              </w:rPr>
              <w:noBreakHyphen/>
            </w:r>
          </w:p>
        </w:tc>
      </w:tr>
      <w:tr w:rsidR="00D661C0" w:rsidRPr="00013F7D" w14:paraId="6E7481E3" w14:textId="77777777" w:rsidTr="7FF38753">
        <w:trPr>
          <w:trHeight w:val="20"/>
        </w:trPr>
        <w:tc>
          <w:tcPr>
            <w:tcW w:w="242" w:type="pct"/>
          </w:tcPr>
          <w:p w14:paraId="7D6A512E" w14:textId="06A7C32D" w:rsidR="00D661C0" w:rsidRPr="00013F7D" w:rsidRDefault="00D661C0" w:rsidP="00D661C0">
            <w:pPr>
              <w:spacing w:before="80" w:after="80"/>
              <w:rPr>
                <w:sz w:val="22"/>
                <w:szCs w:val="22"/>
              </w:rPr>
            </w:pPr>
            <w:r w:rsidRPr="00013F7D">
              <w:rPr>
                <w:sz w:val="22"/>
                <w:szCs w:val="22"/>
              </w:rPr>
              <w:t>9</w:t>
            </w:r>
          </w:p>
        </w:tc>
        <w:tc>
          <w:tcPr>
            <w:tcW w:w="3580" w:type="pct"/>
          </w:tcPr>
          <w:p w14:paraId="72B94D91" w14:textId="3C8F4C68" w:rsidR="00D661C0" w:rsidRPr="00013F7D" w:rsidRDefault="00972588" w:rsidP="00D661C0">
            <w:pPr>
              <w:spacing w:before="80" w:after="80"/>
              <w:rPr>
                <w:lang w:eastAsia="en-GB"/>
              </w:rPr>
            </w:pPr>
            <w:r w:rsidRPr="00013F7D">
              <w:rPr>
                <w:lang w:eastAsia="en-GB"/>
              </w:rPr>
              <w:t xml:space="preserve">Statements </w:t>
            </w:r>
            <w:r w:rsidR="00D661C0" w:rsidRPr="00013F7D">
              <w:rPr>
                <w:lang w:eastAsia="en-GB"/>
              </w:rPr>
              <w:t>by councillors</w:t>
            </w:r>
          </w:p>
        </w:tc>
        <w:tc>
          <w:tcPr>
            <w:tcW w:w="1178" w:type="pct"/>
          </w:tcPr>
          <w:p w14:paraId="49E19741" w14:textId="6BB2F218" w:rsidR="00D661C0" w:rsidRPr="00013F7D" w:rsidRDefault="001E1CE1" w:rsidP="00D661C0">
            <w:pPr>
              <w:spacing w:before="80" w:after="80"/>
              <w:jc w:val="center"/>
              <w:rPr>
                <w:rFonts w:asciiTheme="minorHAnsi" w:hAnsiTheme="minorHAnsi" w:cstheme="minorHAnsi"/>
                <w:szCs w:val="24"/>
              </w:rPr>
            </w:pPr>
            <w:r w:rsidRPr="00013F7D">
              <w:rPr>
                <w:rFonts w:asciiTheme="minorHAnsi" w:hAnsiTheme="minorHAnsi" w:cstheme="minorHAnsi"/>
                <w:szCs w:val="24"/>
                <w:lang w:eastAsia="en-GB"/>
              </w:rPr>
              <w:noBreakHyphen/>
            </w:r>
          </w:p>
        </w:tc>
      </w:tr>
      <w:bookmarkEnd w:id="8"/>
    </w:tbl>
    <w:p w14:paraId="360BA973" w14:textId="77777777" w:rsidR="00F66005" w:rsidRPr="00013F7D"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013F7D" w:rsidRDefault="0090147A" w:rsidP="000C76A9">
      <w:pPr>
        <w:tabs>
          <w:tab w:val="clear" w:pos="567"/>
          <w:tab w:val="clear" w:pos="1134"/>
          <w:tab w:val="clear" w:pos="1701"/>
          <w:tab w:val="clear" w:pos="2268"/>
          <w:tab w:val="clear" w:pos="2835"/>
        </w:tabs>
        <w:overflowPunct/>
        <w:autoSpaceDE/>
        <w:autoSpaceDN/>
        <w:adjustRightInd/>
        <w:spacing w:before="0"/>
        <w:textAlignment w:val="auto"/>
        <w:rPr>
          <w:rFonts w:eastAsia="Calibri" w:cs="Calibri"/>
          <w:kern w:val="2"/>
          <w:sz w:val="22"/>
          <w:szCs w:val="24"/>
          <w14:ligatures w14:val="standardContextual"/>
        </w:rPr>
      </w:pPr>
      <w:r w:rsidRPr="00013F7D">
        <w:br w:type="page"/>
      </w:r>
      <w:bookmarkEnd w:id="5"/>
      <w:bookmarkEnd w:id="9"/>
    </w:p>
    <w:p w14:paraId="12D602EB" w14:textId="05245877" w:rsidR="00743146" w:rsidRPr="00013F7D" w:rsidRDefault="00743146" w:rsidP="001E1CE1">
      <w:pPr>
        <w:pStyle w:val="Heading1"/>
        <w:rPr>
          <w:rFonts w:eastAsia="SimSun"/>
        </w:rPr>
      </w:pPr>
      <w:r w:rsidRPr="00013F7D">
        <w:rPr>
          <w:rFonts w:eastAsia="SimSun"/>
        </w:rPr>
        <w:lastRenderedPageBreak/>
        <w:t>1</w:t>
      </w:r>
      <w:r w:rsidRPr="00013F7D">
        <w:rPr>
          <w:rFonts w:eastAsia="SimSun"/>
        </w:rPr>
        <w:tab/>
        <w:t xml:space="preserve">Presentation on the 2026 </w:t>
      </w:r>
      <w:r w:rsidR="00801A24" w:rsidRPr="00013F7D">
        <w:rPr>
          <w:rFonts w:eastAsia="SimSun"/>
        </w:rPr>
        <w:t>p</w:t>
      </w:r>
      <w:r w:rsidRPr="00013F7D">
        <w:rPr>
          <w:rFonts w:eastAsia="SimSun"/>
        </w:rPr>
        <w:t xml:space="preserve">lenipotentiary </w:t>
      </w:r>
      <w:r w:rsidR="00801A24" w:rsidRPr="00013F7D">
        <w:rPr>
          <w:rFonts w:eastAsia="SimSun"/>
        </w:rPr>
        <w:t>c</w:t>
      </w:r>
      <w:r w:rsidRPr="00013F7D">
        <w:rPr>
          <w:rFonts w:eastAsia="SimSun"/>
        </w:rPr>
        <w:t>onference</w:t>
      </w:r>
    </w:p>
    <w:p w14:paraId="373AA466" w14:textId="5E8ACD9F" w:rsidR="00743146" w:rsidRPr="00013F7D" w:rsidRDefault="00743146" w:rsidP="006A2118">
      <w:pPr>
        <w:jc w:val="both"/>
        <w:rPr>
          <w:rFonts w:eastAsia="SimSun"/>
        </w:rPr>
      </w:pPr>
      <w:r w:rsidRPr="00013F7D">
        <w:rPr>
          <w:rFonts w:eastAsia="SimSun"/>
        </w:rPr>
        <w:t>1.1</w:t>
      </w:r>
      <w:r w:rsidRPr="00013F7D">
        <w:rPr>
          <w:rFonts w:eastAsia="SimSun"/>
        </w:rPr>
        <w:tab/>
        <w:t>The observer f</w:t>
      </w:r>
      <w:r w:rsidR="00E205CB" w:rsidRPr="00013F7D">
        <w:rPr>
          <w:rFonts w:eastAsia="SimSun"/>
        </w:rPr>
        <w:t>o</w:t>
      </w:r>
      <w:r w:rsidRPr="00013F7D">
        <w:rPr>
          <w:rFonts w:eastAsia="SimSun"/>
        </w:rPr>
        <w:t xml:space="preserve">r Qatar </w:t>
      </w:r>
      <w:r w:rsidR="005E76EE" w:rsidRPr="00013F7D">
        <w:rPr>
          <w:rFonts w:eastAsia="SimSun"/>
        </w:rPr>
        <w:t xml:space="preserve">outlined </w:t>
      </w:r>
      <w:r w:rsidRPr="00013F7D">
        <w:rPr>
          <w:rFonts w:eastAsia="SimSun"/>
        </w:rPr>
        <w:t xml:space="preserve">preparations for </w:t>
      </w:r>
      <w:r w:rsidR="00F62E83" w:rsidRPr="00013F7D">
        <w:rPr>
          <w:rFonts w:eastAsia="SimSun"/>
        </w:rPr>
        <w:t>the 2026 plenipotentiary conference (</w:t>
      </w:r>
      <w:r w:rsidRPr="00013F7D">
        <w:rPr>
          <w:rFonts w:eastAsia="SimSun"/>
        </w:rPr>
        <w:t>PP</w:t>
      </w:r>
      <w:r w:rsidR="001E1CE1" w:rsidRPr="00013F7D">
        <w:rPr>
          <w:rFonts w:eastAsia="SimSun"/>
        </w:rPr>
        <w:noBreakHyphen/>
      </w:r>
      <w:r w:rsidRPr="00013F7D">
        <w:rPr>
          <w:rFonts w:eastAsia="SimSun"/>
        </w:rPr>
        <w:t>26</w:t>
      </w:r>
      <w:r w:rsidR="00F62E83" w:rsidRPr="00013F7D">
        <w:rPr>
          <w:rFonts w:eastAsia="SimSun"/>
        </w:rPr>
        <w:t>)</w:t>
      </w:r>
      <w:r w:rsidRPr="00013F7D">
        <w:rPr>
          <w:rFonts w:eastAsia="SimSun"/>
        </w:rPr>
        <w:t xml:space="preserve">, </w:t>
      </w:r>
      <w:r w:rsidR="005E76EE" w:rsidRPr="00013F7D">
        <w:rPr>
          <w:rFonts w:eastAsia="SimSun"/>
        </w:rPr>
        <w:t>to be held</w:t>
      </w:r>
      <w:r w:rsidRPr="00013F7D">
        <w:rPr>
          <w:rFonts w:eastAsia="SimSun"/>
        </w:rPr>
        <w:t xml:space="preserve"> at the Doha Exhibition Conference Centre. </w:t>
      </w:r>
      <w:r w:rsidR="005E76EE" w:rsidRPr="00013F7D">
        <w:rPr>
          <w:rFonts w:eastAsia="SimSun"/>
        </w:rPr>
        <w:t>After</w:t>
      </w:r>
      <w:r w:rsidRPr="00013F7D">
        <w:rPr>
          <w:rFonts w:eastAsia="SimSun"/>
        </w:rPr>
        <w:t xml:space="preserve"> announcement of the chair</w:t>
      </w:r>
      <w:r w:rsidR="00AD07B8">
        <w:rPr>
          <w:rFonts w:eastAsia="SimSun"/>
        </w:rPr>
        <w:t xml:space="preserve"> </w:t>
      </w:r>
      <w:r w:rsidRPr="00013F7D">
        <w:rPr>
          <w:rFonts w:eastAsia="SimSun"/>
        </w:rPr>
        <w:t xml:space="preserve">designate in </w:t>
      </w:r>
      <w:r w:rsidR="005E76EE" w:rsidRPr="00013F7D">
        <w:rPr>
          <w:rFonts w:eastAsia="SimSun"/>
        </w:rPr>
        <w:t>early</w:t>
      </w:r>
      <w:r w:rsidRPr="00013F7D">
        <w:rPr>
          <w:rFonts w:eastAsia="SimSun"/>
        </w:rPr>
        <w:t xml:space="preserve"> 2024, an ITU delegation had visited Qatar and confirmed that the </w:t>
      </w:r>
      <w:r w:rsidR="005E76EE" w:rsidRPr="00013F7D">
        <w:rPr>
          <w:rFonts w:eastAsia="SimSun"/>
        </w:rPr>
        <w:t xml:space="preserve">venue </w:t>
      </w:r>
      <w:r w:rsidRPr="00013F7D">
        <w:rPr>
          <w:rFonts w:eastAsia="SimSun"/>
        </w:rPr>
        <w:t xml:space="preserve">met </w:t>
      </w:r>
      <w:r w:rsidR="005E76EE" w:rsidRPr="00013F7D">
        <w:rPr>
          <w:rFonts w:eastAsia="SimSun"/>
        </w:rPr>
        <w:t>requirements for</w:t>
      </w:r>
      <w:r w:rsidRPr="00013F7D">
        <w:rPr>
          <w:rFonts w:eastAsia="SimSun"/>
        </w:rPr>
        <w:t xml:space="preserve"> space, technology, security, location and access. </w:t>
      </w:r>
      <w:r w:rsidR="005E76EE" w:rsidRPr="00013F7D">
        <w:rPr>
          <w:rFonts w:eastAsia="SimSun"/>
        </w:rPr>
        <w:t>C</w:t>
      </w:r>
      <w:r w:rsidRPr="00013F7D">
        <w:rPr>
          <w:rFonts w:eastAsia="SimSun"/>
        </w:rPr>
        <w:t>onference roles and responsibilities had been defined</w:t>
      </w:r>
      <w:r w:rsidR="005E76EE" w:rsidRPr="00013F7D">
        <w:rPr>
          <w:rFonts w:eastAsia="SimSun"/>
        </w:rPr>
        <w:t>:</w:t>
      </w:r>
      <w:r w:rsidRPr="00013F7D">
        <w:rPr>
          <w:rFonts w:eastAsia="SimSun"/>
        </w:rPr>
        <w:t xml:space="preserve"> the Qatar Communications Regulatory Authority was responsible for content, the Qatar Permanent Committee for Organizing Conferences for logistics</w:t>
      </w:r>
      <w:r w:rsidR="00AB2297">
        <w:rPr>
          <w:rFonts w:eastAsia="SimSun"/>
        </w:rPr>
        <w:t>.</w:t>
      </w:r>
    </w:p>
    <w:p w14:paraId="23D4B4E9" w14:textId="249BB94B" w:rsidR="00743146" w:rsidRPr="00013F7D" w:rsidRDefault="00743146" w:rsidP="006A2118">
      <w:pPr>
        <w:jc w:val="both"/>
        <w:rPr>
          <w:rFonts w:eastAsia="SimSun"/>
        </w:rPr>
      </w:pPr>
      <w:r w:rsidRPr="00013F7D">
        <w:rPr>
          <w:rFonts w:eastAsia="SimSun"/>
        </w:rPr>
        <w:t>1.2</w:t>
      </w:r>
      <w:r w:rsidRPr="00013F7D">
        <w:rPr>
          <w:rFonts w:eastAsia="SimSun"/>
        </w:rPr>
        <w:tab/>
        <w:t>The host country agreement and site plan were being finalized</w:t>
      </w:r>
      <w:r w:rsidR="005E76EE" w:rsidRPr="00013F7D">
        <w:rPr>
          <w:rFonts w:eastAsia="SimSun"/>
        </w:rPr>
        <w:t>,</w:t>
      </w:r>
      <w:r w:rsidRPr="00013F7D">
        <w:rPr>
          <w:rFonts w:eastAsia="SimSun"/>
        </w:rPr>
        <w:t xml:space="preserve"> and the delegates</w:t>
      </w:r>
      <w:r w:rsidR="00013F7D" w:rsidRPr="00013F7D">
        <w:rPr>
          <w:rFonts w:eastAsia="SimSun"/>
        </w:rPr>
        <w:t>'</w:t>
      </w:r>
      <w:r w:rsidRPr="00013F7D">
        <w:rPr>
          <w:rFonts w:eastAsia="SimSun"/>
        </w:rPr>
        <w:t xml:space="preserve"> hotel platform would </w:t>
      </w:r>
      <w:r w:rsidR="00AB2297">
        <w:rPr>
          <w:rFonts w:eastAsia="SimSun"/>
        </w:rPr>
        <w:t xml:space="preserve">be </w:t>
      </w:r>
      <w:r w:rsidRPr="00013F7D">
        <w:rPr>
          <w:rFonts w:eastAsia="SimSun"/>
        </w:rPr>
        <w:t>launch</w:t>
      </w:r>
      <w:r w:rsidR="00AB2297">
        <w:rPr>
          <w:rFonts w:eastAsia="SimSun"/>
        </w:rPr>
        <w:t>ed</w:t>
      </w:r>
      <w:r w:rsidR="005E76EE" w:rsidRPr="00013F7D">
        <w:rPr>
          <w:rFonts w:eastAsia="SimSun"/>
        </w:rPr>
        <w:t xml:space="preserve"> shortly</w:t>
      </w:r>
      <w:r w:rsidRPr="00013F7D">
        <w:rPr>
          <w:rFonts w:eastAsia="SimSun"/>
        </w:rPr>
        <w:t xml:space="preserve">. The ITU team would return to Qatar in November 2025 </w:t>
      </w:r>
      <w:r w:rsidR="005E76EE" w:rsidRPr="00013F7D">
        <w:rPr>
          <w:rFonts w:eastAsia="SimSun"/>
        </w:rPr>
        <w:t>to observe the organization of</w:t>
      </w:r>
      <w:r w:rsidRPr="00013F7D">
        <w:rPr>
          <w:rFonts w:eastAsia="SimSun"/>
        </w:rPr>
        <w:t xml:space="preserve"> the Second World Summit for Social Development.</w:t>
      </w:r>
    </w:p>
    <w:p w14:paraId="076326A6" w14:textId="32307C01" w:rsidR="00743146" w:rsidRPr="00013F7D" w:rsidRDefault="00743146" w:rsidP="006A2118">
      <w:pPr>
        <w:jc w:val="both"/>
        <w:rPr>
          <w:rFonts w:eastAsia="SimSun"/>
        </w:rPr>
      </w:pPr>
      <w:r w:rsidRPr="00013F7D">
        <w:rPr>
          <w:rFonts w:eastAsia="SimSun"/>
        </w:rPr>
        <w:t>1.3</w:t>
      </w:r>
      <w:r w:rsidRPr="00013F7D">
        <w:rPr>
          <w:rFonts w:eastAsia="SimSun"/>
        </w:rPr>
        <w:tab/>
        <w:t>Qatar promised a world</w:t>
      </w:r>
      <w:r w:rsidR="001E1CE1" w:rsidRPr="00013F7D">
        <w:rPr>
          <w:rFonts w:eastAsia="SimSun"/>
        </w:rPr>
        <w:noBreakHyphen/>
      </w:r>
      <w:r w:rsidRPr="00013F7D">
        <w:rPr>
          <w:rFonts w:eastAsia="SimSun"/>
        </w:rPr>
        <w:t xml:space="preserve">class conference </w:t>
      </w:r>
      <w:r w:rsidR="005E76EE" w:rsidRPr="00013F7D">
        <w:rPr>
          <w:rFonts w:eastAsia="SimSun"/>
        </w:rPr>
        <w:t>in an environment blending</w:t>
      </w:r>
      <w:r w:rsidRPr="00013F7D">
        <w:rPr>
          <w:rFonts w:eastAsia="SimSun"/>
        </w:rPr>
        <w:t xml:space="preserve"> tradition and modernity. </w:t>
      </w:r>
      <w:r w:rsidR="005E76EE" w:rsidRPr="00013F7D">
        <w:rPr>
          <w:rFonts w:eastAsia="SimSun"/>
        </w:rPr>
        <w:t>W</w:t>
      </w:r>
      <w:r w:rsidRPr="00013F7D">
        <w:rPr>
          <w:rFonts w:eastAsia="SimSun"/>
        </w:rPr>
        <w:t xml:space="preserve">ith ITU, it was finalizing </w:t>
      </w:r>
      <w:r w:rsidR="005E76EE" w:rsidRPr="00013F7D">
        <w:rPr>
          <w:rFonts w:eastAsia="SimSun"/>
        </w:rPr>
        <w:t>a</w:t>
      </w:r>
      <w:r w:rsidRPr="00013F7D">
        <w:rPr>
          <w:rFonts w:eastAsia="SimSun"/>
        </w:rPr>
        <w:t xml:space="preserve"> digital platform for communication, registration and programme visibility. </w:t>
      </w:r>
      <w:r w:rsidR="005E76EE" w:rsidRPr="00013F7D">
        <w:rPr>
          <w:rFonts w:eastAsia="SimSun"/>
        </w:rPr>
        <w:t>B</w:t>
      </w:r>
      <w:r w:rsidRPr="00013F7D">
        <w:rPr>
          <w:rFonts w:eastAsia="SimSun"/>
        </w:rPr>
        <w:t>randing guidelines</w:t>
      </w:r>
      <w:r w:rsidR="005E76EE" w:rsidRPr="00013F7D">
        <w:rPr>
          <w:rFonts w:eastAsia="SimSun"/>
        </w:rPr>
        <w:t>, beginning with the logo,</w:t>
      </w:r>
      <w:r w:rsidRPr="00013F7D">
        <w:rPr>
          <w:rFonts w:eastAsia="SimSun"/>
        </w:rPr>
        <w:t xml:space="preserve"> would be issued.</w:t>
      </w:r>
    </w:p>
    <w:p w14:paraId="64BDF082" w14:textId="05DE08C8" w:rsidR="00743146" w:rsidRPr="00013F7D" w:rsidRDefault="00743146" w:rsidP="006A2118">
      <w:pPr>
        <w:jc w:val="both"/>
        <w:rPr>
          <w:rFonts w:eastAsia="SimSun"/>
        </w:rPr>
      </w:pPr>
      <w:r w:rsidRPr="00013F7D">
        <w:rPr>
          <w:rFonts w:eastAsia="SimSun"/>
        </w:rPr>
        <w:t>1.4</w:t>
      </w:r>
      <w:r w:rsidRPr="00013F7D">
        <w:rPr>
          <w:rFonts w:eastAsia="SimSun"/>
        </w:rPr>
        <w:tab/>
        <w:t>Councillors viewed a brief video on the inspiration behind the PP</w:t>
      </w:r>
      <w:r w:rsidR="001E1CE1" w:rsidRPr="00013F7D">
        <w:rPr>
          <w:rFonts w:eastAsia="SimSun"/>
        </w:rPr>
        <w:noBreakHyphen/>
      </w:r>
      <w:r w:rsidRPr="00013F7D">
        <w:rPr>
          <w:rFonts w:eastAsia="SimSun"/>
        </w:rPr>
        <w:t>26 logo.</w:t>
      </w:r>
    </w:p>
    <w:p w14:paraId="29473D1D" w14:textId="3A3B2259" w:rsidR="00743146" w:rsidRPr="00013F7D" w:rsidRDefault="00743146" w:rsidP="006A2118">
      <w:pPr>
        <w:jc w:val="both"/>
        <w:rPr>
          <w:rFonts w:eastAsia="SimSun"/>
        </w:rPr>
      </w:pPr>
      <w:r w:rsidRPr="00013F7D">
        <w:rPr>
          <w:rFonts w:eastAsia="SimSun"/>
        </w:rPr>
        <w:t>1.5</w:t>
      </w:r>
      <w:r w:rsidRPr="00013F7D">
        <w:rPr>
          <w:rFonts w:eastAsia="SimSun"/>
        </w:rPr>
        <w:tab/>
        <w:t>The Secretary</w:t>
      </w:r>
      <w:r w:rsidR="001E1CE1" w:rsidRPr="00013F7D">
        <w:rPr>
          <w:rFonts w:eastAsia="SimSun"/>
        </w:rPr>
        <w:noBreakHyphen/>
      </w:r>
      <w:r w:rsidRPr="00013F7D">
        <w:rPr>
          <w:rFonts w:eastAsia="SimSun"/>
        </w:rPr>
        <w:t xml:space="preserve">General thanked Qatar for its strong collaboration and commitment </w:t>
      </w:r>
      <w:r w:rsidR="005E76EE" w:rsidRPr="00013F7D">
        <w:rPr>
          <w:rFonts w:eastAsia="SimSun"/>
        </w:rPr>
        <w:t xml:space="preserve">to a successful </w:t>
      </w:r>
      <w:r w:rsidRPr="00013F7D">
        <w:rPr>
          <w:rFonts w:eastAsia="SimSun"/>
        </w:rPr>
        <w:t>PP</w:t>
      </w:r>
      <w:r w:rsidR="001E1CE1" w:rsidRPr="00013F7D">
        <w:rPr>
          <w:rFonts w:eastAsia="SimSun"/>
        </w:rPr>
        <w:noBreakHyphen/>
      </w:r>
      <w:r w:rsidRPr="00013F7D">
        <w:rPr>
          <w:rFonts w:eastAsia="SimSun"/>
        </w:rPr>
        <w:t>26.</w:t>
      </w:r>
    </w:p>
    <w:p w14:paraId="013FC93E" w14:textId="283011B1" w:rsidR="00743146" w:rsidRPr="00013F7D" w:rsidRDefault="00743146" w:rsidP="00743146">
      <w:pPr>
        <w:pStyle w:val="Heading1"/>
      </w:pPr>
      <w:r w:rsidRPr="00013F7D">
        <w:rPr>
          <w:rFonts w:eastAsia="SimSun"/>
        </w:rPr>
        <w:t>2</w:t>
      </w:r>
      <w:r w:rsidRPr="00013F7D">
        <w:rPr>
          <w:rFonts w:eastAsia="SimSun"/>
        </w:rPr>
        <w:tab/>
        <w:t xml:space="preserve">Preparations for the 2026 </w:t>
      </w:r>
      <w:r w:rsidR="00F62E83" w:rsidRPr="00013F7D">
        <w:rPr>
          <w:rFonts w:eastAsia="SimSun"/>
        </w:rPr>
        <w:t>p</w:t>
      </w:r>
      <w:r w:rsidRPr="00013F7D">
        <w:rPr>
          <w:rFonts w:eastAsia="SimSun"/>
        </w:rPr>
        <w:t xml:space="preserve">lenipotentiary </w:t>
      </w:r>
      <w:r w:rsidR="00F62E83" w:rsidRPr="00013F7D">
        <w:rPr>
          <w:rFonts w:eastAsia="SimSun"/>
        </w:rPr>
        <w:t>c</w:t>
      </w:r>
      <w:r w:rsidRPr="00013F7D">
        <w:rPr>
          <w:rFonts w:eastAsia="SimSun"/>
        </w:rPr>
        <w:t xml:space="preserve">onference (Document </w:t>
      </w:r>
      <w:hyperlink r:id="rId19" w:history="1">
        <w:r w:rsidRPr="00013F7D">
          <w:rPr>
            <w:rStyle w:val="Hyperlink"/>
            <w:rFonts w:eastAsia="SimSun"/>
          </w:rPr>
          <w:t>C25/4</w:t>
        </w:r>
      </w:hyperlink>
      <w:r w:rsidRPr="00013F7D">
        <w:rPr>
          <w:rFonts w:eastAsia="SimSun"/>
        </w:rPr>
        <w:t>)</w:t>
      </w:r>
    </w:p>
    <w:p w14:paraId="0717F810" w14:textId="09618AA0" w:rsidR="00743146" w:rsidRPr="00013F7D" w:rsidRDefault="00743146" w:rsidP="006A2118">
      <w:pPr>
        <w:jc w:val="both"/>
      </w:pPr>
      <w:r w:rsidRPr="00013F7D">
        <w:t>2.1</w:t>
      </w:r>
      <w:r w:rsidRPr="00013F7D">
        <w:tab/>
        <w:t>The Secretary of the Plenary introduced Document C25/4, provid</w:t>
      </w:r>
      <w:r w:rsidR="005E76EE" w:rsidRPr="00013F7D">
        <w:t xml:space="preserve">ing </w:t>
      </w:r>
      <w:r w:rsidRPr="00013F7D">
        <w:t>an update on preparations for PP</w:t>
      </w:r>
      <w:r w:rsidR="001E1CE1" w:rsidRPr="00013F7D">
        <w:noBreakHyphen/>
      </w:r>
      <w:r w:rsidRPr="00013F7D">
        <w:t xml:space="preserve">26 and planned improvements. The secretariat and host country </w:t>
      </w:r>
      <w:r w:rsidR="005E76EE" w:rsidRPr="00013F7D">
        <w:t>met</w:t>
      </w:r>
      <w:r w:rsidRPr="00013F7D">
        <w:t xml:space="preserve"> monthly </w:t>
      </w:r>
      <w:r w:rsidR="005E76EE" w:rsidRPr="00013F7D">
        <w:t>online</w:t>
      </w:r>
      <w:r w:rsidRPr="00013F7D">
        <w:t xml:space="preserve"> to exchange information, discuss preparatory elements and finalize the host country agreement. </w:t>
      </w:r>
      <w:r w:rsidR="005E76EE" w:rsidRPr="00013F7D">
        <w:t>P</w:t>
      </w:r>
      <w:r w:rsidRPr="00013F7D">
        <w:t>repar</w:t>
      </w:r>
      <w:r w:rsidR="005E76EE" w:rsidRPr="00013F7D">
        <w:t xml:space="preserve">ation </w:t>
      </w:r>
      <w:r w:rsidR="00F81EF1" w:rsidRPr="00013F7D">
        <w:t xml:space="preserve">of the </w:t>
      </w:r>
      <w:r w:rsidRPr="00013F7D">
        <w:t>chair</w:t>
      </w:r>
      <w:r w:rsidR="001E1CE1" w:rsidRPr="00013F7D">
        <w:noBreakHyphen/>
      </w:r>
      <w:r w:rsidRPr="00013F7D">
        <w:t>designate</w:t>
      </w:r>
      <w:r w:rsidR="00F81EF1" w:rsidRPr="00013F7D">
        <w:t xml:space="preserve"> had begun</w:t>
      </w:r>
      <w:r w:rsidRPr="00013F7D">
        <w:t>.</w:t>
      </w:r>
    </w:p>
    <w:p w14:paraId="7ABD8F56" w14:textId="0ED54ECF" w:rsidR="00743146" w:rsidRPr="00013F7D" w:rsidRDefault="00743146" w:rsidP="006A2118">
      <w:pPr>
        <w:jc w:val="both"/>
      </w:pPr>
      <w:r w:rsidRPr="00013F7D">
        <w:t>2.2</w:t>
      </w:r>
      <w:r w:rsidRPr="00013F7D">
        <w:tab/>
      </w:r>
      <w:r w:rsidR="005E76EE" w:rsidRPr="00013F7D">
        <w:t>The d</w:t>
      </w:r>
      <w:r w:rsidRPr="00013F7D">
        <w:t xml:space="preserve">ocument </w:t>
      </w:r>
      <w:r w:rsidR="005E76EE" w:rsidRPr="00013F7D">
        <w:t>included,</w:t>
      </w:r>
      <w:r w:rsidRPr="00013F7D">
        <w:t xml:space="preserve"> </w:t>
      </w:r>
      <w:r w:rsidR="005E76EE" w:rsidRPr="00013F7D">
        <w:t xml:space="preserve">in annex, </w:t>
      </w:r>
      <w:r w:rsidRPr="00013F7D">
        <w:t xml:space="preserve">the Guidelines on </w:t>
      </w:r>
      <w:r w:rsidR="0031075B" w:rsidRPr="00013F7D">
        <w:t>e</w:t>
      </w:r>
      <w:r w:rsidRPr="00013F7D">
        <w:t xml:space="preserve">thical aspects of certain campaign activities prior to the </w:t>
      </w:r>
      <w:r w:rsidR="003A0827" w:rsidRPr="00013F7D">
        <w:t>p</w:t>
      </w:r>
      <w:r w:rsidRPr="00013F7D">
        <w:t xml:space="preserve">lenipotentiary </w:t>
      </w:r>
      <w:r w:rsidR="003A0827" w:rsidRPr="00013F7D">
        <w:t>c</w:t>
      </w:r>
      <w:r w:rsidRPr="00013F7D">
        <w:t>onference, which the Council was asked to re</w:t>
      </w:r>
      <w:r w:rsidR="001E1CE1" w:rsidRPr="00013F7D">
        <w:noBreakHyphen/>
      </w:r>
      <w:r w:rsidRPr="00013F7D">
        <w:t>endorse.</w:t>
      </w:r>
    </w:p>
    <w:p w14:paraId="4BA2DC20" w14:textId="283D20BC" w:rsidR="00743146" w:rsidRPr="00013F7D" w:rsidRDefault="00743146" w:rsidP="006A2118">
      <w:pPr>
        <w:jc w:val="both"/>
      </w:pPr>
      <w:r w:rsidRPr="00013F7D">
        <w:t>2.3</w:t>
      </w:r>
      <w:r w:rsidRPr="00013F7D">
        <w:tab/>
        <w:t>Several councillors and one observer thanked the Government of Qatar for hosting PP</w:t>
      </w:r>
      <w:r w:rsidR="001E1CE1" w:rsidRPr="00013F7D">
        <w:noBreakHyphen/>
      </w:r>
      <w:r w:rsidRPr="00013F7D">
        <w:t xml:space="preserve">26 and for its </w:t>
      </w:r>
      <w:r w:rsidR="00281CF3" w:rsidRPr="00013F7D">
        <w:t>efforts</w:t>
      </w:r>
      <w:r w:rsidRPr="00013F7D">
        <w:t>.</w:t>
      </w:r>
      <w:r w:rsidR="005A2D87" w:rsidRPr="00013F7D">
        <w:t xml:space="preserve"> One councillor recalled th</w:t>
      </w:r>
      <w:r w:rsidR="00FE5D6A" w:rsidRPr="00013F7D">
        <w:t>at the Arab States region had a long track record of successfully hosting ITU events.</w:t>
      </w:r>
    </w:p>
    <w:p w14:paraId="3F829E3A" w14:textId="1BAB5147" w:rsidR="00FE5D6A" w:rsidRPr="00013F7D" w:rsidRDefault="00743146" w:rsidP="006A2118">
      <w:pPr>
        <w:jc w:val="both"/>
      </w:pPr>
      <w:r w:rsidRPr="00013F7D">
        <w:t>2.4</w:t>
      </w:r>
      <w:r w:rsidRPr="00013F7D">
        <w:tab/>
        <w:t xml:space="preserve">Several councillors commended the </w:t>
      </w:r>
      <w:r w:rsidR="00281CF3" w:rsidRPr="00013F7D">
        <w:t xml:space="preserve">regional and </w:t>
      </w:r>
      <w:r w:rsidRPr="00013F7D">
        <w:t xml:space="preserve">interregional preparatory process. It was suggested that three interregional meetings be held, as in 2018 and 2022, </w:t>
      </w:r>
      <w:r w:rsidR="00281CF3" w:rsidRPr="00013F7D">
        <w:t xml:space="preserve">preferably </w:t>
      </w:r>
      <w:r w:rsidRPr="00013F7D">
        <w:t xml:space="preserve">in Geneva and </w:t>
      </w:r>
      <w:r w:rsidR="00281CF3" w:rsidRPr="00013F7D">
        <w:t>alongside</w:t>
      </w:r>
      <w:r w:rsidRPr="00013F7D">
        <w:t xml:space="preserve"> other ITU meetings, in order to </w:t>
      </w:r>
      <w:r w:rsidR="00281CF3" w:rsidRPr="00013F7D">
        <w:t>take advantage of the high diplomatic presence and avoid travel costs</w:t>
      </w:r>
      <w:r w:rsidRPr="00013F7D">
        <w:t>. The meetings should be</w:t>
      </w:r>
      <w:r w:rsidR="00281CF3" w:rsidRPr="00013F7D">
        <w:t xml:space="preserve"> held in a format and at a time </w:t>
      </w:r>
      <w:r w:rsidRPr="00013F7D">
        <w:t xml:space="preserve">that </w:t>
      </w:r>
      <w:r w:rsidR="00281CF3" w:rsidRPr="00013F7D">
        <w:t>facilitated</w:t>
      </w:r>
      <w:r w:rsidRPr="00013F7D">
        <w:t xml:space="preserve"> </w:t>
      </w:r>
      <w:r w:rsidR="00FE5D6A" w:rsidRPr="00013F7D">
        <w:t xml:space="preserve">both </w:t>
      </w:r>
      <w:r w:rsidRPr="00013F7D">
        <w:t>remote and in</w:t>
      </w:r>
      <w:r w:rsidR="001E1CE1" w:rsidRPr="00013F7D">
        <w:noBreakHyphen/>
      </w:r>
      <w:r w:rsidRPr="00013F7D">
        <w:t>person participation.</w:t>
      </w:r>
    </w:p>
    <w:p w14:paraId="4B17A0D7" w14:textId="15B72159" w:rsidR="00743146" w:rsidRPr="00013F7D" w:rsidRDefault="00FE5D6A" w:rsidP="006A2118">
      <w:pPr>
        <w:jc w:val="both"/>
      </w:pPr>
      <w:r w:rsidRPr="00013F7D">
        <w:t>2.5</w:t>
      </w:r>
      <w:r w:rsidRPr="00013F7D">
        <w:tab/>
      </w:r>
      <w:r w:rsidR="00743146" w:rsidRPr="00013F7D">
        <w:t>The councillor from Saudi Arabia announced his administration</w:t>
      </w:r>
      <w:r w:rsidR="00013F7D" w:rsidRPr="00013F7D">
        <w:t>'</w:t>
      </w:r>
      <w:r w:rsidR="00743146" w:rsidRPr="00013F7D">
        <w:t xml:space="preserve">s willingness to host </w:t>
      </w:r>
      <w:r w:rsidR="00F4439F">
        <w:t>the last</w:t>
      </w:r>
      <w:r w:rsidR="00743146" w:rsidRPr="00013F7D">
        <w:t xml:space="preserve"> interregional meeting before PP</w:t>
      </w:r>
      <w:r w:rsidR="001E1CE1" w:rsidRPr="00013F7D">
        <w:noBreakHyphen/>
      </w:r>
      <w:r w:rsidR="00743146" w:rsidRPr="00013F7D">
        <w:t>26.</w:t>
      </w:r>
    </w:p>
    <w:p w14:paraId="7474C38B" w14:textId="702B0F34" w:rsidR="00743146" w:rsidRPr="00013F7D" w:rsidRDefault="00743146" w:rsidP="006A2118">
      <w:pPr>
        <w:jc w:val="both"/>
      </w:pPr>
      <w:r w:rsidRPr="00013F7D">
        <w:t>2.6</w:t>
      </w:r>
      <w:r w:rsidRPr="00013F7D">
        <w:tab/>
      </w:r>
      <w:r w:rsidR="00281CF3" w:rsidRPr="00013F7D">
        <w:t>C</w:t>
      </w:r>
      <w:r w:rsidRPr="00013F7D">
        <w:t xml:space="preserve">ouncillors </w:t>
      </w:r>
      <w:r w:rsidR="00281CF3" w:rsidRPr="00013F7D">
        <w:t>supported</w:t>
      </w:r>
      <w:r w:rsidRPr="00013F7D">
        <w:t xml:space="preserve"> efforts to increase participation by women and you</w:t>
      </w:r>
      <w:r w:rsidR="00281CF3" w:rsidRPr="00013F7D">
        <w:t>th</w:t>
      </w:r>
      <w:r w:rsidRPr="00013F7D">
        <w:t>. The role of you</w:t>
      </w:r>
      <w:r w:rsidR="00281CF3" w:rsidRPr="00013F7D">
        <w:t>th</w:t>
      </w:r>
      <w:r w:rsidRPr="00013F7D">
        <w:t xml:space="preserve"> should be </w:t>
      </w:r>
      <w:r w:rsidR="00281CF3" w:rsidRPr="00013F7D">
        <w:t>clearly</w:t>
      </w:r>
      <w:r w:rsidRPr="00013F7D">
        <w:t xml:space="preserve"> defined</w:t>
      </w:r>
      <w:r w:rsidR="00281CF3" w:rsidRPr="00013F7D">
        <w:t xml:space="preserve"> </w:t>
      </w:r>
      <w:r w:rsidRPr="00013F7D">
        <w:t>to promot</w:t>
      </w:r>
      <w:r w:rsidR="00281CF3" w:rsidRPr="00013F7D">
        <w:t>e</w:t>
      </w:r>
      <w:r w:rsidRPr="00013F7D">
        <w:t xml:space="preserve"> genuine engagement on their part. </w:t>
      </w:r>
      <w:r w:rsidR="005A2D87" w:rsidRPr="00013F7D">
        <w:t xml:space="preserve">A </w:t>
      </w:r>
      <w:r w:rsidRPr="00013F7D">
        <w:t xml:space="preserve">councillor </w:t>
      </w:r>
      <w:r w:rsidR="005A2D87" w:rsidRPr="00013F7D">
        <w:t xml:space="preserve">proposed repeating </w:t>
      </w:r>
      <w:r w:rsidRPr="00013F7D">
        <w:t>the ITU Academy</w:t>
      </w:r>
      <w:r w:rsidR="00013F7D" w:rsidRPr="00013F7D">
        <w:t>'</w:t>
      </w:r>
      <w:r w:rsidRPr="00013F7D">
        <w:t>s 2022 course</w:t>
      </w:r>
      <w:r w:rsidR="005A2D87" w:rsidRPr="00013F7D">
        <w:t xml:space="preserve"> on the </w:t>
      </w:r>
      <w:r w:rsidRPr="00013F7D">
        <w:t xml:space="preserve">Plenipotentiary Conference and </w:t>
      </w:r>
      <w:r w:rsidR="005A2D87" w:rsidRPr="00013F7D">
        <w:t>n</w:t>
      </w:r>
      <w:r w:rsidRPr="00013F7D">
        <w:t xml:space="preserve">egotiation skills for women delegates, </w:t>
      </w:r>
      <w:r w:rsidR="005A2D87" w:rsidRPr="00013F7D">
        <w:t>and including</w:t>
      </w:r>
      <w:r w:rsidRPr="00013F7D">
        <w:t xml:space="preserve"> first</w:t>
      </w:r>
      <w:r w:rsidR="001E1CE1" w:rsidRPr="00013F7D">
        <w:noBreakHyphen/>
      </w:r>
      <w:r w:rsidRPr="00013F7D">
        <w:t xml:space="preserve">time and young delegates. </w:t>
      </w:r>
      <w:r w:rsidR="005A2D87" w:rsidRPr="00013F7D">
        <w:t>F</w:t>
      </w:r>
      <w:r w:rsidRPr="00013F7D">
        <w:t>irst</w:t>
      </w:r>
      <w:r w:rsidR="001E1CE1" w:rsidRPr="00013F7D">
        <w:noBreakHyphen/>
      </w:r>
      <w:r w:rsidRPr="00013F7D">
        <w:t>time</w:t>
      </w:r>
      <w:r w:rsidR="005A2D87" w:rsidRPr="00013F7D">
        <w:t xml:space="preserve"> participants</w:t>
      </w:r>
      <w:r w:rsidRPr="00013F7D">
        <w:t xml:space="preserve"> should </w:t>
      </w:r>
      <w:r w:rsidR="005A2D87" w:rsidRPr="00013F7D">
        <w:t xml:space="preserve">also </w:t>
      </w:r>
      <w:r w:rsidRPr="00013F7D">
        <w:t xml:space="preserve">benefit from </w:t>
      </w:r>
      <w:r w:rsidR="005A2D87" w:rsidRPr="00013F7D">
        <w:t>training for</w:t>
      </w:r>
      <w:r w:rsidRPr="00013F7D">
        <w:t xml:space="preserve"> leaders of working or study groups.</w:t>
      </w:r>
    </w:p>
    <w:p w14:paraId="1DBE7611" w14:textId="733F95A6" w:rsidR="00743146" w:rsidRPr="00013F7D" w:rsidRDefault="00FE5D6A" w:rsidP="006A2118">
      <w:pPr>
        <w:jc w:val="both"/>
      </w:pPr>
      <w:r w:rsidRPr="00013F7D">
        <w:lastRenderedPageBreak/>
        <w:t>2.</w:t>
      </w:r>
      <w:r w:rsidR="003D38E4" w:rsidRPr="00013F7D">
        <w:t>7</w:t>
      </w:r>
      <w:r w:rsidRPr="00013F7D">
        <w:tab/>
        <w:t>Several councillors acknowledge</w:t>
      </w:r>
      <w:r w:rsidR="00F22DBE" w:rsidRPr="00013F7D">
        <w:t>d</w:t>
      </w:r>
      <w:r w:rsidRPr="00013F7D">
        <w:t xml:space="preserve"> the benefit of a defined ministerial segment but stressed the need for sufficient time or </w:t>
      </w:r>
      <w:r w:rsidR="00743146" w:rsidRPr="00013F7D">
        <w:t xml:space="preserve">alternative sessions to </w:t>
      </w:r>
      <w:r w:rsidRPr="00013F7D">
        <w:t>maximize high</w:t>
      </w:r>
      <w:r w:rsidR="001E1CE1" w:rsidRPr="00013F7D">
        <w:noBreakHyphen/>
      </w:r>
      <w:r w:rsidRPr="00013F7D">
        <w:t xml:space="preserve">level involvement and </w:t>
      </w:r>
      <w:r w:rsidR="00743146" w:rsidRPr="00013F7D">
        <w:t>promote more dynamic participation.</w:t>
      </w:r>
    </w:p>
    <w:p w14:paraId="7D278EE7" w14:textId="116BD575" w:rsidR="003D38E4" w:rsidRPr="00013F7D" w:rsidRDefault="003D38E4" w:rsidP="006A2118">
      <w:pPr>
        <w:jc w:val="both"/>
      </w:pPr>
      <w:r w:rsidRPr="00013F7D">
        <w:t>2.8</w:t>
      </w:r>
      <w:r w:rsidRPr="00013F7D">
        <w:tab/>
        <w:t xml:space="preserve">Several councillors stressed </w:t>
      </w:r>
      <w:r w:rsidR="0056525D" w:rsidRPr="00013F7D">
        <w:t>that conference</w:t>
      </w:r>
      <w:r w:rsidRPr="00013F7D">
        <w:t xml:space="preserve"> </w:t>
      </w:r>
      <w:r w:rsidR="0056525D" w:rsidRPr="00013F7D">
        <w:t>document</w:t>
      </w:r>
      <w:r w:rsidRPr="00013F7D">
        <w:t>s should</w:t>
      </w:r>
      <w:r w:rsidR="0056525D" w:rsidRPr="00013F7D">
        <w:t xml:space="preserve"> above all be comprehensive.</w:t>
      </w:r>
      <w:r w:rsidRPr="00013F7D">
        <w:t xml:space="preserve"> </w:t>
      </w:r>
      <w:r w:rsidR="0056525D" w:rsidRPr="00013F7D">
        <w:t>R</w:t>
      </w:r>
      <w:r w:rsidRPr="00013F7D">
        <w:t>educ</w:t>
      </w:r>
      <w:r w:rsidR="0056525D" w:rsidRPr="00013F7D">
        <w:t>tions</w:t>
      </w:r>
      <w:r w:rsidRPr="00013F7D">
        <w:t xml:space="preserve"> in volume </w:t>
      </w:r>
      <w:r w:rsidR="0056525D" w:rsidRPr="00013F7D">
        <w:t>should not undermine</w:t>
      </w:r>
      <w:r w:rsidRPr="00013F7D">
        <w:t xml:space="preserve"> Member States</w:t>
      </w:r>
      <w:r w:rsidR="00013F7D" w:rsidRPr="00013F7D">
        <w:t>'</w:t>
      </w:r>
      <w:r w:rsidR="0056525D" w:rsidRPr="00013F7D">
        <w:t xml:space="preserve"> ability</w:t>
      </w:r>
      <w:r w:rsidRPr="00013F7D">
        <w:t xml:space="preserve"> to take </w:t>
      </w:r>
      <w:r w:rsidR="000A5669" w:rsidRPr="00013F7D">
        <w:t xml:space="preserve">informed </w:t>
      </w:r>
      <w:r w:rsidRPr="00013F7D">
        <w:t>decisions.</w:t>
      </w:r>
    </w:p>
    <w:p w14:paraId="665AE92B" w14:textId="450AFA7A" w:rsidR="00743146" w:rsidRPr="00013F7D" w:rsidRDefault="00743146" w:rsidP="006A2118">
      <w:pPr>
        <w:jc w:val="both"/>
      </w:pPr>
      <w:r w:rsidRPr="00013F7D">
        <w:t>2.9</w:t>
      </w:r>
      <w:r w:rsidRPr="00013F7D">
        <w:tab/>
      </w:r>
      <w:r w:rsidR="003D38E4" w:rsidRPr="00013F7D">
        <w:t xml:space="preserve">One </w:t>
      </w:r>
      <w:r w:rsidRPr="00013F7D">
        <w:t xml:space="preserve">councillor </w:t>
      </w:r>
      <w:r w:rsidR="00BE2262" w:rsidRPr="00013F7D">
        <w:t>said</w:t>
      </w:r>
      <w:r w:rsidR="003D38E4" w:rsidRPr="00013F7D">
        <w:t xml:space="preserve"> that, as the guidelines on ethical aspects of certain campaign activities provided clear measures to avoid the appearance of unethical behaviour and as candidates were often publicly announced in advance of official communication to the Secretary</w:t>
      </w:r>
      <w:r w:rsidR="001E1CE1" w:rsidRPr="00013F7D">
        <w:noBreakHyphen/>
      </w:r>
      <w:r w:rsidR="003D38E4" w:rsidRPr="00013F7D">
        <w:t xml:space="preserve">General, the requirement that an appointed staff member be placed on special leave without pay upon official communication </w:t>
      </w:r>
      <w:r w:rsidR="00BE2262" w:rsidRPr="00013F7D">
        <w:t>of candidacy</w:t>
      </w:r>
      <w:r w:rsidR="00B55BF1" w:rsidRPr="00013F7D">
        <w:t xml:space="preserve"> for an election</w:t>
      </w:r>
      <w:r w:rsidR="00EA0EA8">
        <w:t xml:space="preserve"> should be removed from </w:t>
      </w:r>
      <w:r w:rsidR="00EA0EA8" w:rsidRPr="00013F7D">
        <w:t>Regulation 12.2 of the ITU Staff Regulations and Staff Rules</w:t>
      </w:r>
      <w:r w:rsidR="003D38E4" w:rsidRPr="00013F7D">
        <w:t>.</w:t>
      </w:r>
    </w:p>
    <w:p w14:paraId="7A64DB28" w14:textId="63C590AF" w:rsidR="003D38E4" w:rsidRPr="00013F7D" w:rsidRDefault="003D38E4" w:rsidP="006A2118">
      <w:pPr>
        <w:jc w:val="both"/>
      </w:pPr>
      <w:r w:rsidRPr="00013F7D">
        <w:t>2.10</w:t>
      </w:r>
      <w:r w:rsidRPr="00013F7D">
        <w:tab/>
        <w:t>One councillor supported reducing campaign materials for greater environmental responsibility and recommended recycling where materials were used. He also proposed that the secretariat explore electronic voting options, drawing on best practices at other United Nations organizations.</w:t>
      </w:r>
    </w:p>
    <w:p w14:paraId="2D4C78B2" w14:textId="2D8708E8" w:rsidR="0056525D" w:rsidRPr="00013F7D" w:rsidRDefault="0056525D" w:rsidP="006A2118">
      <w:pPr>
        <w:jc w:val="both"/>
      </w:pPr>
      <w:r w:rsidRPr="00013F7D">
        <w:t xml:space="preserve">2.11 </w:t>
      </w:r>
      <w:r w:rsidR="00F22DBE" w:rsidRPr="00013F7D">
        <w:tab/>
      </w:r>
      <w:r w:rsidRPr="00013F7D">
        <w:t xml:space="preserve">Mr Ahmad Abdulla </w:t>
      </w:r>
      <w:proofErr w:type="spellStart"/>
      <w:r w:rsidRPr="00013F7D">
        <w:t>AlMuslemani</w:t>
      </w:r>
      <w:proofErr w:type="spellEnd"/>
      <w:r w:rsidRPr="00013F7D">
        <w:t>, chair</w:t>
      </w:r>
      <w:r w:rsidR="009002BE">
        <w:t xml:space="preserve"> </w:t>
      </w:r>
      <w:r w:rsidRPr="00013F7D">
        <w:t>designate of PP</w:t>
      </w:r>
      <w:r w:rsidR="001E1CE1" w:rsidRPr="00013F7D">
        <w:noBreakHyphen/>
      </w:r>
      <w:r w:rsidRPr="00013F7D">
        <w:t>26</w:t>
      </w:r>
      <w:r w:rsidR="00905233" w:rsidRPr="00013F7D">
        <w:t>,</w:t>
      </w:r>
      <w:r w:rsidRPr="00013F7D">
        <w:t xml:space="preserve"> confirmed support for holding ministerial</w:t>
      </w:r>
      <w:r w:rsidR="000962E7" w:rsidRPr="00013F7D">
        <w:t>-</w:t>
      </w:r>
      <w:r w:rsidRPr="00013F7D">
        <w:t>level meetings during the first three days of the conference to enhance political dialogue. The host country would follow United Nations sustainability standards, including reducing paper and energy use. Qatar aimed to foster inclusive participation by women and youth, through experience sharing and pre</w:t>
      </w:r>
      <w:r w:rsidR="000962E7" w:rsidRPr="00013F7D">
        <w:t>-</w:t>
      </w:r>
      <w:r w:rsidRPr="00013F7D">
        <w:t>conference training. As chair, he would work to build consensus and promote collaboration, drawing on experiences from the chairs of PP</w:t>
      </w:r>
      <w:r w:rsidR="001E1CE1" w:rsidRPr="00013F7D">
        <w:noBreakHyphen/>
      </w:r>
      <w:r w:rsidRPr="00013F7D">
        <w:t>18 and PP</w:t>
      </w:r>
      <w:r w:rsidR="001E1CE1" w:rsidRPr="00013F7D">
        <w:noBreakHyphen/>
      </w:r>
      <w:r w:rsidRPr="00013F7D">
        <w:t xml:space="preserve">22. </w:t>
      </w:r>
      <w:r w:rsidR="0010442F">
        <w:t>He emphasized in particular the value of the inter-regional preparatory process, which had been adopted in advance of PP-18, and said that he was fully engaged in that process ahead of PP-26. An effective and collaborative preparatory process would ensure a successful conference. He also added that g</w:t>
      </w:r>
      <w:r w:rsidRPr="00013F7D">
        <w:t>eographical balance in leadership would be ensured based on regional proposals.</w:t>
      </w:r>
    </w:p>
    <w:p w14:paraId="5012CBCC" w14:textId="263D01F8" w:rsidR="0056525D" w:rsidRPr="00013F7D" w:rsidRDefault="0056525D" w:rsidP="006A2118">
      <w:pPr>
        <w:jc w:val="both"/>
      </w:pPr>
      <w:r w:rsidRPr="00013F7D">
        <w:t>2.12</w:t>
      </w:r>
      <w:r w:rsidR="000962E7" w:rsidRPr="00013F7D">
        <w:tab/>
      </w:r>
      <w:r w:rsidRPr="00013F7D">
        <w:t>The councillor from Romania, speaking as host of PP</w:t>
      </w:r>
      <w:r w:rsidR="001E1CE1" w:rsidRPr="00013F7D">
        <w:noBreakHyphen/>
      </w:r>
      <w:r w:rsidRPr="00013F7D">
        <w:t>22, expressed appreciation for the facilities being prepared in Doha, the secretariat</w:t>
      </w:r>
      <w:r w:rsidR="00013F7D" w:rsidRPr="00013F7D">
        <w:t>'</w:t>
      </w:r>
      <w:r w:rsidRPr="00013F7D">
        <w:t>s strong support and the interregional coordination process, which would save time and reduce late sessions. She supported the planned training initiatives and environmental measures and endorsed the guidelines</w:t>
      </w:r>
      <w:r w:rsidR="00A35654" w:rsidRPr="00013F7D">
        <w:t xml:space="preserve"> on campaign activities</w:t>
      </w:r>
      <w:r w:rsidRPr="00013F7D">
        <w:t>.</w:t>
      </w:r>
    </w:p>
    <w:p w14:paraId="32B1DEFE" w14:textId="306D8140" w:rsidR="00743146" w:rsidRPr="00013F7D" w:rsidRDefault="00743146" w:rsidP="006A2118">
      <w:pPr>
        <w:jc w:val="both"/>
      </w:pPr>
      <w:r w:rsidRPr="00013F7D">
        <w:t>2.1</w:t>
      </w:r>
      <w:r w:rsidR="003D38E4" w:rsidRPr="00013F7D">
        <w:t>3</w:t>
      </w:r>
      <w:r w:rsidR="000962E7" w:rsidRPr="00013F7D">
        <w:t xml:space="preserve"> </w:t>
      </w:r>
      <w:r w:rsidR="000962E7" w:rsidRPr="00013F7D">
        <w:tab/>
        <w:t>T</w:t>
      </w:r>
      <w:r w:rsidRPr="00013F7D">
        <w:t>he Secretary of the Plenary confirmed that the secretariat would continue to provide training materials</w:t>
      </w:r>
      <w:r w:rsidR="007A07A9" w:rsidRPr="00013F7D">
        <w:t xml:space="preserve"> </w:t>
      </w:r>
      <w:r w:rsidRPr="00013F7D">
        <w:t xml:space="preserve">on conference processes. She welcomed </w:t>
      </w:r>
      <w:r w:rsidR="007A07A9" w:rsidRPr="00013F7D">
        <w:t>Saudi Arabia</w:t>
      </w:r>
      <w:r w:rsidR="00013F7D" w:rsidRPr="00013F7D">
        <w:t>'</w:t>
      </w:r>
      <w:r w:rsidR="007A07A9" w:rsidRPr="00013F7D">
        <w:t xml:space="preserve">s offer </w:t>
      </w:r>
      <w:r w:rsidRPr="00013F7D">
        <w:t xml:space="preserve">to host </w:t>
      </w:r>
      <w:r w:rsidR="00F4439F">
        <w:t>the last</w:t>
      </w:r>
      <w:r w:rsidR="007A07A9" w:rsidRPr="00013F7D">
        <w:t xml:space="preserve"> interregional </w:t>
      </w:r>
      <w:r w:rsidRPr="00013F7D">
        <w:t xml:space="preserve">preparatory meeting, at which remote participation would be facilitated. </w:t>
      </w:r>
      <w:r w:rsidR="007A07A9" w:rsidRPr="00013F7D">
        <w:t>Regarding the requested a</w:t>
      </w:r>
      <w:r w:rsidRPr="00013F7D">
        <w:t>mendment</w:t>
      </w:r>
      <w:r w:rsidR="007A07A9" w:rsidRPr="00013F7D">
        <w:t xml:space="preserve"> of Regulation</w:t>
      </w:r>
      <w:r w:rsidR="000962E7" w:rsidRPr="00013F7D">
        <w:t> </w:t>
      </w:r>
      <w:r w:rsidR="007A07A9" w:rsidRPr="00013F7D">
        <w:t>12.2</w:t>
      </w:r>
      <w:r w:rsidRPr="00013F7D">
        <w:t xml:space="preserve"> </w:t>
      </w:r>
      <w:r w:rsidR="007A07A9" w:rsidRPr="00013F7D">
        <w:t xml:space="preserve">of </w:t>
      </w:r>
      <w:r w:rsidRPr="00013F7D">
        <w:t xml:space="preserve">the </w:t>
      </w:r>
      <w:r w:rsidR="007A07A9" w:rsidRPr="00013F7D">
        <w:t xml:space="preserve">Staff Regulations and Staff Rules, that matter </w:t>
      </w:r>
      <w:r w:rsidRPr="00013F7D">
        <w:t>fell within the remit of the Council. The Guidelines</w:t>
      </w:r>
      <w:r w:rsidR="007A07A9" w:rsidRPr="00013F7D">
        <w:t xml:space="preserve"> on ethical aspects of certain campaign activities, unchanged and already endorsed in 2017 and 2021,</w:t>
      </w:r>
      <w:r w:rsidRPr="00013F7D">
        <w:t xml:space="preserve"> were not legally binding</w:t>
      </w:r>
      <w:r w:rsidR="007A07A9" w:rsidRPr="00013F7D">
        <w:t xml:space="preserve">; </w:t>
      </w:r>
      <w:r w:rsidRPr="00013F7D">
        <w:t>re</w:t>
      </w:r>
      <w:r w:rsidR="001E1CE1" w:rsidRPr="00013F7D">
        <w:noBreakHyphen/>
      </w:r>
      <w:r w:rsidRPr="00013F7D">
        <w:t>endorse</w:t>
      </w:r>
      <w:r w:rsidR="007A07A9" w:rsidRPr="00013F7D">
        <w:t>ment</w:t>
      </w:r>
      <w:r w:rsidRPr="00013F7D">
        <w:t xml:space="preserve"> </w:t>
      </w:r>
      <w:r w:rsidR="007A07A9" w:rsidRPr="00013F7D">
        <w:t>would provide continued</w:t>
      </w:r>
      <w:r w:rsidRPr="00013F7D">
        <w:t xml:space="preserve"> guidance for the </w:t>
      </w:r>
      <w:r w:rsidR="007A07A9" w:rsidRPr="00013F7D">
        <w:t>upcoming election campaigns</w:t>
      </w:r>
      <w:r w:rsidRPr="00013F7D">
        <w:t>.</w:t>
      </w:r>
    </w:p>
    <w:p w14:paraId="4A49EC2F" w14:textId="0A60CB83" w:rsidR="00743146" w:rsidRPr="00013F7D" w:rsidRDefault="00743146" w:rsidP="006A2118">
      <w:pPr>
        <w:jc w:val="both"/>
      </w:pPr>
      <w:r w:rsidRPr="00013F7D">
        <w:t>2.1</w:t>
      </w:r>
      <w:r w:rsidR="003D38E4" w:rsidRPr="00013F7D">
        <w:t>4</w:t>
      </w:r>
      <w:r w:rsidR="000962E7" w:rsidRPr="00013F7D">
        <w:tab/>
      </w:r>
      <w:r w:rsidRPr="00013F7D">
        <w:t>The Chair proposed that the Council note Document C25/4 and re</w:t>
      </w:r>
      <w:r w:rsidR="001E1CE1" w:rsidRPr="00013F7D">
        <w:noBreakHyphen/>
      </w:r>
      <w:r w:rsidRPr="00013F7D">
        <w:t xml:space="preserve">endorse the Guidelines on </w:t>
      </w:r>
      <w:r w:rsidR="007A07A9" w:rsidRPr="00013F7D">
        <w:t>e</w:t>
      </w:r>
      <w:r w:rsidRPr="00013F7D">
        <w:t>thical aspects of certain campaign activities.</w:t>
      </w:r>
    </w:p>
    <w:p w14:paraId="601507DA" w14:textId="2C835787" w:rsidR="00743146" w:rsidRPr="00013F7D" w:rsidRDefault="00743146" w:rsidP="006A2118">
      <w:pPr>
        <w:jc w:val="both"/>
      </w:pPr>
      <w:r w:rsidRPr="00013F7D">
        <w:t>2.1</w:t>
      </w:r>
      <w:r w:rsidR="00F22DBE" w:rsidRPr="00013F7D">
        <w:t>5</w:t>
      </w:r>
      <w:r w:rsidRPr="00013F7D">
        <w:tab/>
        <w:t xml:space="preserve">It was so </w:t>
      </w:r>
      <w:r w:rsidR="00E42E92" w:rsidRPr="00013F7D">
        <w:rPr>
          <w:b/>
          <w:bCs/>
        </w:rPr>
        <w:t>agreed</w:t>
      </w:r>
      <w:r w:rsidRPr="00013F7D">
        <w:t>.</w:t>
      </w:r>
    </w:p>
    <w:p w14:paraId="6DA6A80F" w14:textId="4E32C331" w:rsidR="00743146" w:rsidRPr="00013F7D" w:rsidRDefault="00743146" w:rsidP="00743146">
      <w:pPr>
        <w:pStyle w:val="Heading1"/>
      </w:pPr>
      <w:r w:rsidRPr="00013F7D">
        <w:rPr>
          <w:rFonts w:eastAsia="SimSun"/>
        </w:rPr>
        <w:lastRenderedPageBreak/>
        <w:t>3</w:t>
      </w:r>
      <w:r w:rsidRPr="00013F7D">
        <w:rPr>
          <w:rFonts w:eastAsia="SimSun"/>
        </w:rPr>
        <w:tab/>
        <w:t xml:space="preserve">Report on the </w:t>
      </w:r>
      <w:r w:rsidR="00E42E92" w:rsidRPr="00013F7D">
        <w:rPr>
          <w:rFonts w:eastAsia="SimSun"/>
        </w:rPr>
        <w:t xml:space="preserve">2024 </w:t>
      </w:r>
      <w:r w:rsidRPr="00013F7D">
        <w:rPr>
          <w:rFonts w:eastAsia="SimSun"/>
        </w:rPr>
        <w:t xml:space="preserve">Global Standards Symposium and </w:t>
      </w:r>
      <w:r w:rsidR="00E42E92" w:rsidRPr="00013F7D">
        <w:rPr>
          <w:rFonts w:eastAsia="SimSun"/>
        </w:rPr>
        <w:t>2024</w:t>
      </w:r>
      <w:r w:rsidRPr="00013F7D">
        <w:rPr>
          <w:rFonts w:eastAsia="SimSun"/>
        </w:rPr>
        <w:t xml:space="preserve"> World Telecommunication Standardization Assembly </w:t>
      </w:r>
      <w:r w:rsidR="00D371B8">
        <w:rPr>
          <w:rFonts w:eastAsia="SimSun"/>
        </w:rPr>
        <w:br/>
      </w:r>
      <w:r w:rsidRPr="00013F7D">
        <w:rPr>
          <w:rFonts w:eastAsia="SimSun"/>
        </w:rPr>
        <w:t>(Documents </w:t>
      </w:r>
      <w:proofErr w:type="spellStart"/>
      <w:r>
        <w:fldChar w:fldCharType="begin"/>
      </w:r>
      <w:r>
        <w:instrText>HYPERLINK "https://www.itu.int/md/S25-CL-C-0024/en"</w:instrText>
      </w:r>
      <w:r>
        <w:fldChar w:fldCharType="separate"/>
      </w:r>
      <w:r w:rsidRPr="00013F7D">
        <w:rPr>
          <w:rStyle w:val="Hyperlink"/>
          <w:rFonts w:eastAsia="SimSun"/>
        </w:rPr>
        <w:t>C25</w:t>
      </w:r>
      <w:proofErr w:type="spellEnd"/>
      <w:r w:rsidRPr="00013F7D">
        <w:rPr>
          <w:rStyle w:val="Hyperlink"/>
          <w:rFonts w:eastAsia="SimSun"/>
        </w:rPr>
        <w:t>/24</w:t>
      </w:r>
      <w:r>
        <w:fldChar w:fldCharType="end"/>
      </w:r>
      <w:r w:rsidR="00E42E92" w:rsidRPr="00013F7D">
        <w:rPr>
          <w:rFonts w:eastAsia="SimSun"/>
        </w:rPr>
        <w:t xml:space="preserve">, </w:t>
      </w:r>
      <w:hyperlink r:id="rId20" w:history="1">
        <w:proofErr w:type="spellStart"/>
        <w:r w:rsidRPr="00013F7D">
          <w:rPr>
            <w:rStyle w:val="Hyperlink"/>
            <w:rFonts w:eastAsia="SimSun"/>
          </w:rPr>
          <w:t>C</w:t>
        </w:r>
        <w:r w:rsidR="00A87CF9" w:rsidRPr="00013F7D">
          <w:rPr>
            <w:rStyle w:val="Hyperlink"/>
            <w:rFonts w:eastAsia="SimSun"/>
          </w:rPr>
          <w:t>2</w:t>
        </w:r>
        <w:r w:rsidRPr="00013F7D">
          <w:rPr>
            <w:rStyle w:val="Hyperlink"/>
            <w:rFonts w:eastAsia="SimSun"/>
          </w:rPr>
          <w:t>5</w:t>
        </w:r>
        <w:proofErr w:type="spellEnd"/>
        <w:r w:rsidRPr="00013F7D">
          <w:rPr>
            <w:rStyle w:val="Hyperlink"/>
            <w:rFonts w:eastAsia="SimSun"/>
          </w:rPr>
          <w:t>/INF/14</w:t>
        </w:r>
      </w:hyperlink>
      <w:r w:rsidRPr="00013F7D">
        <w:rPr>
          <w:rFonts w:eastAsia="SimSun"/>
        </w:rPr>
        <w:t>)</w:t>
      </w:r>
    </w:p>
    <w:p w14:paraId="2D8A2CFA" w14:textId="459A86C4" w:rsidR="00743146" w:rsidRPr="00013F7D" w:rsidRDefault="00743146" w:rsidP="006A2118">
      <w:pPr>
        <w:jc w:val="both"/>
      </w:pPr>
      <w:r w:rsidRPr="00013F7D">
        <w:t>3.1</w:t>
      </w:r>
      <w:r w:rsidRPr="00013F7D">
        <w:tab/>
        <w:t xml:space="preserve">The Director of </w:t>
      </w:r>
      <w:r w:rsidR="00E64F86" w:rsidRPr="00013F7D">
        <w:t xml:space="preserve">the </w:t>
      </w:r>
      <w:r w:rsidRPr="00013F7D">
        <w:t>T</w:t>
      </w:r>
      <w:r w:rsidR="00E64F86" w:rsidRPr="00013F7D">
        <w:t xml:space="preserve">elecommunication </w:t>
      </w:r>
      <w:r w:rsidRPr="00013F7D">
        <w:t>S</w:t>
      </w:r>
      <w:r w:rsidR="00E64F86" w:rsidRPr="00013F7D">
        <w:t xml:space="preserve">tandardization </w:t>
      </w:r>
      <w:r w:rsidRPr="00013F7D">
        <w:t>B</w:t>
      </w:r>
      <w:r w:rsidR="00E64F86" w:rsidRPr="00013F7D">
        <w:t>ureau (TSB)</w:t>
      </w:r>
      <w:r w:rsidRPr="00013F7D">
        <w:t xml:space="preserve"> expressed sincere gratitude to</w:t>
      </w:r>
      <w:r w:rsidR="000C6F4C" w:rsidRPr="00013F7D">
        <w:t xml:space="preserve"> the Government of</w:t>
      </w:r>
      <w:r w:rsidRPr="00013F7D">
        <w:t xml:space="preserve"> India for its exceptional hospitality and the arrangements made for </w:t>
      </w:r>
      <w:r w:rsidR="000C6F4C" w:rsidRPr="00013F7D">
        <w:t xml:space="preserve">the </w:t>
      </w:r>
      <w:r w:rsidR="003701B0" w:rsidRPr="00013F7D">
        <w:t>2024 Global Standards Symposium (</w:t>
      </w:r>
      <w:r w:rsidRPr="00013F7D">
        <w:t>GSS</w:t>
      </w:r>
      <w:r w:rsidR="001E1CE1" w:rsidRPr="00013F7D">
        <w:noBreakHyphen/>
      </w:r>
      <w:r w:rsidRPr="00013F7D">
        <w:t>24</w:t>
      </w:r>
      <w:r w:rsidR="003701B0" w:rsidRPr="00013F7D">
        <w:t>)</w:t>
      </w:r>
      <w:r w:rsidRPr="00013F7D">
        <w:t xml:space="preserve"> and </w:t>
      </w:r>
      <w:r w:rsidR="003701B0" w:rsidRPr="00013F7D">
        <w:t xml:space="preserve">the </w:t>
      </w:r>
      <w:r w:rsidR="00E64F86" w:rsidRPr="00013F7D">
        <w:t xml:space="preserve">2024 </w:t>
      </w:r>
      <w:r w:rsidRPr="00013F7D">
        <w:t>W</w:t>
      </w:r>
      <w:r w:rsidR="003701B0" w:rsidRPr="00013F7D">
        <w:t xml:space="preserve">orld </w:t>
      </w:r>
      <w:r w:rsidRPr="00013F7D">
        <w:t>T</w:t>
      </w:r>
      <w:r w:rsidR="003701B0" w:rsidRPr="00013F7D">
        <w:t xml:space="preserve">elecommunication </w:t>
      </w:r>
      <w:r w:rsidRPr="00013F7D">
        <w:t>S</w:t>
      </w:r>
      <w:r w:rsidR="003701B0" w:rsidRPr="00013F7D">
        <w:t xml:space="preserve">tandardization </w:t>
      </w:r>
      <w:r w:rsidRPr="00013F7D">
        <w:t>A</w:t>
      </w:r>
      <w:r w:rsidR="00E64F86" w:rsidRPr="00013F7D">
        <w:t>ssembly (WTSA</w:t>
      </w:r>
      <w:r w:rsidR="001E1CE1" w:rsidRPr="00013F7D">
        <w:noBreakHyphen/>
      </w:r>
      <w:r w:rsidRPr="00013F7D">
        <w:t>24</w:t>
      </w:r>
      <w:r w:rsidR="00E64F86" w:rsidRPr="00013F7D">
        <w:t>)</w:t>
      </w:r>
      <w:r w:rsidRPr="00013F7D">
        <w:t xml:space="preserve">. </w:t>
      </w:r>
    </w:p>
    <w:p w14:paraId="0CFDB8CB" w14:textId="1AEB8DBA" w:rsidR="00743146" w:rsidRPr="00013F7D" w:rsidRDefault="00743146" w:rsidP="006A2118">
      <w:pPr>
        <w:jc w:val="both"/>
      </w:pPr>
      <w:r w:rsidRPr="00013F7D">
        <w:t>3.2</w:t>
      </w:r>
      <w:r w:rsidRPr="00013F7D">
        <w:tab/>
        <w:t xml:space="preserve">The Deputy </w:t>
      </w:r>
      <w:r w:rsidR="000C6F4C" w:rsidRPr="00013F7D">
        <w:t xml:space="preserve">to the </w:t>
      </w:r>
      <w:r w:rsidRPr="00013F7D">
        <w:t xml:space="preserve">Director of TSB introduced the </w:t>
      </w:r>
      <w:r w:rsidR="000C6F4C" w:rsidRPr="00013F7D">
        <w:t>s</w:t>
      </w:r>
      <w:r w:rsidRPr="00013F7D">
        <w:t>ecretariat</w:t>
      </w:r>
      <w:r w:rsidR="00013F7D" w:rsidRPr="00013F7D">
        <w:t>'</w:t>
      </w:r>
      <w:r w:rsidRPr="00013F7D">
        <w:t xml:space="preserve">s report on </w:t>
      </w:r>
      <w:r w:rsidR="000C6F4C" w:rsidRPr="00013F7D">
        <w:t>the two events</w:t>
      </w:r>
      <w:r w:rsidRPr="00013F7D">
        <w:t xml:space="preserve"> (Document C25/24) and invited councillors to consult Document C25/INF/14</w:t>
      </w:r>
      <w:r w:rsidR="00FC072E" w:rsidRPr="00013F7D">
        <w:t xml:space="preserve"> for further details</w:t>
      </w:r>
      <w:r w:rsidRPr="00013F7D">
        <w:t xml:space="preserve"> on </w:t>
      </w:r>
      <w:r w:rsidR="00334745" w:rsidRPr="00013F7D">
        <w:t>the</w:t>
      </w:r>
      <w:r w:rsidRPr="00013F7D">
        <w:t xml:space="preserve"> events. </w:t>
      </w:r>
    </w:p>
    <w:p w14:paraId="2D0DCFE1" w14:textId="3DFE9F22" w:rsidR="00743146" w:rsidRPr="00013F7D" w:rsidRDefault="00743146" w:rsidP="006A2118">
      <w:pPr>
        <w:jc w:val="both"/>
      </w:pPr>
      <w:r w:rsidRPr="00013F7D">
        <w:t>3.3</w:t>
      </w:r>
      <w:r w:rsidRPr="00013F7D">
        <w:tab/>
        <w:t xml:space="preserve">Several councillors commended the outcomes of </w:t>
      </w:r>
      <w:r w:rsidR="00FC072E" w:rsidRPr="00013F7D">
        <w:t>both events</w:t>
      </w:r>
      <w:r w:rsidRPr="00013F7D">
        <w:t xml:space="preserve">, </w:t>
      </w:r>
      <w:r w:rsidR="00FC072E" w:rsidRPr="00013F7D">
        <w:t xml:space="preserve">noting that </w:t>
      </w:r>
      <w:r w:rsidRPr="00013F7D">
        <w:t>GSS</w:t>
      </w:r>
      <w:r w:rsidR="00334745" w:rsidRPr="00013F7D">
        <w:t>-24</w:t>
      </w:r>
      <w:r w:rsidRPr="00013F7D">
        <w:t xml:space="preserve"> inputs </w:t>
      </w:r>
      <w:r w:rsidR="00190931" w:rsidRPr="00013F7D">
        <w:t xml:space="preserve">had </w:t>
      </w:r>
      <w:r w:rsidRPr="00013F7D">
        <w:t>facilitat</w:t>
      </w:r>
      <w:r w:rsidR="00190931" w:rsidRPr="00013F7D">
        <w:t>ed</w:t>
      </w:r>
      <w:r w:rsidRPr="00013F7D">
        <w:t xml:space="preserve"> WTSA</w:t>
      </w:r>
      <w:r w:rsidR="00334745" w:rsidRPr="00013F7D">
        <w:t>-24</w:t>
      </w:r>
      <w:r w:rsidRPr="00013F7D">
        <w:t xml:space="preserve"> outcomes</w:t>
      </w:r>
      <w:r w:rsidR="00FC072E" w:rsidRPr="00013F7D">
        <w:t xml:space="preserve">, which </w:t>
      </w:r>
      <w:r w:rsidRPr="00013F7D">
        <w:t xml:space="preserve">included new </w:t>
      </w:r>
      <w:r w:rsidR="00FC072E" w:rsidRPr="00013F7D">
        <w:t xml:space="preserve">and revised </w:t>
      </w:r>
      <w:r w:rsidRPr="00013F7D">
        <w:t>resolutions on ITU</w:t>
      </w:r>
      <w:r w:rsidR="001E1CE1" w:rsidRPr="00013F7D">
        <w:noBreakHyphen/>
      </w:r>
      <w:r w:rsidRPr="00013F7D">
        <w:t>T</w:t>
      </w:r>
      <w:r w:rsidR="00013F7D" w:rsidRPr="00013F7D">
        <w:t>'</w:t>
      </w:r>
      <w:r w:rsidRPr="00013F7D">
        <w:t xml:space="preserve">s work </w:t>
      </w:r>
      <w:r w:rsidR="00FC072E" w:rsidRPr="00013F7D">
        <w:t>i</w:t>
      </w:r>
      <w:r w:rsidRPr="00013F7D">
        <w:t xml:space="preserve">n key </w:t>
      </w:r>
      <w:r w:rsidR="00FC072E" w:rsidRPr="00013F7D">
        <w:t>areas</w:t>
      </w:r>
      <w:r w:rsidRPr="00013F7D">
        <w:t>, such as sustainable digital transformation</w:t>
      </w:r>
      <w:r w:rsidR="00FC072E" w:rsidRPr="00013F7D">
        <w:t>,</w:t>
      </w:r>
      <w:r w:rsidRPr="00013F7D">
        <w:t xml:space="preserve"> digital public infrastructure and digitaliz</w:t>
      </w:r>
      <w:r w:rsidR="00FC072E" w:rsidRPr="00013F7D">
        <w:t>ation of</w:t>
      </w:r>
      <w:r w:rsidRPr="00013F7D">
        <w:t xml:space="preserve"> societies</w:t>
      </w:r>
      <w:r w:rsidR="00334745" w:rsidRPr="00013F7D">
        <w:t xml:space="preserve">, and the </w:t>
      </w:r>
      <w:r w:rsidR="001F32ED" w:rsidRPr="00013F7D">
        <w:t>consolidation of</w:t>
      </w:r>
      <w:r w:rsidR="00334745" w:rsidRPr="00013F7D">
        <w:t xml:space="preserve"> Study Group</w:t>
      </w:r>
      <w:r w:rsidR="001F32ED" w:rsidRPr="00013F7D">
        <w:t>s</w:t>
      </w:r>
      <w:r w:rsidR="00334745" w:rsidRPr="00013F7D">
        <w:t xml:space="preserve"> </w:t>
      </w:r>
      <w:r w:rsidR="001F32ED" w:rsidRPr="00013F7D">
        <w:t xml:space="preserve">9 and 16 into </w:t>
      </w:r>
      <w:r w:rsidR="0066373A" w:rsidRPr="00013F7D">
        <w:t>the newly established ITU-T Study Group 21</w:t>
      </w:r>
      <w:r w:rsidRPr="00013F7D">
        <w:t>.</w:t>
      </w:r>
    </w:p>
    <w:p w14:paraId="65D9C379" w14:textId="5137F5F5" w:rsidR="00743146" w:rsidRPr="00013F7D" w:rsidRDefault="00743146" w:rsidP="006A2118">
      <w:pPr>
        <w:jc w:val="both"/>
      </w:pPr>
      <w:r w:rsidRPr="00013F7D">
        <w:t>3.4</w:t>
      </w:r>
      <w:r w:rsidRPr="00013F7D">
        <w:tab/>
        <w:t xml:space="preserve">Another councillor </w:t>
      </w:r>
      <w:r w:rsidR="00FC072E" w:rsidRPr="00013F7D">
        <w:t>welcomed the increasing focus on</w:t>
      </w:r>
      <w:r w:rsidRPr="00013F7D">
        <w:t xml:space="preserve"> standardization in artificial intelligence</w:t>
      </w:r>
      <w:r w:rsidR="0066373A" w:rsidRPr="00013F7D">
        <w:t xml:space="preserve"> (AI)</w:t>
      </w:r>
      <w:r w:rsidRPr="00013F7D">
        <w:t xml:space="preserve"> and sustainability</w:t>
      </w:r>
      <w:r w:rsidR="00EA0EA8">
        <w:t>,</w:t>
      </w:r>
      <w:r w:rsidRPr="00013F7D">
        <w:t xml:space="preserve"> and the progress made by the Network of Women in ITU</w:t>
      </w:r>
      <w:r w:rsidR="001E1CE1" w:rsidRPr="00013F7D">
        <w:noBreakHyphen/>
      </w:r>
      <w:r w:rsidRPr="00013F7D">
        <w:t xml:space="preserve">T. He </w:t>
      </w:r>
      <w:r w:rsidR="00FC072E" w:rsidRPr="00013F7D">
        <w:t xml:space="preserve">supported </w:t>
      </w:r>
      <w:r w:rsidR="003940BD" w:rsidRPr="00013F7D">
        <w:t xml:space="preserve">the </w:t>
      </w:r>
      <w:r w:rsidRPr="00013F7D">
        <w:t xml:space="preserve">call </w:t>
      </w:r>
      <w:r w:rsidR="003940BD" w:rsidRPr="00013F7D">
        <w:t>for</w:t>
      </w:r>
      <w:r w:rsidRPr="00013F7D">
        <w:t xml:space="preserve"> nominat</w:t>
      </w:r>
      <w:r w:rsidR="003940BD" w:rsidRPr="00013F7D">
        <w:t xml:space="preserve">ion of </w:t>
      </w:r>
      <w:r w:rsidRPr="00013F7D">
        <w:t>women for ITU</w:t>
      </w:r>
      <w:r w:rsidR="001E1CE1" w:rsidRPr="00013F7D">
        <w:noBreakHyphen/>
      </w:r>
      <w:r w:rsidRPr="00013F7D">
        <w:t>T leadership positions.</w:t>
      </w:r>
    </w:p>
    <w:p w14:paraId="4A65D959" w14:textId="017317E7" w:rsidR="00743146" w:rsidRPr="00013F7D" w:rsidRDefault="00743146" w:rsidP="006A2118">
      <w:pPr>
        <w:jc w:val="both"/>
      </w:pPr>
      <w:r w:rsidRPr="00013F7D">
        <w:t>3.5</w:t>
      </w:r>
      <w:r w:rsidRPr="00013F7D">
        <w:tab/>
        <w:t>The Secretary</w:t>
      </w:r>
      <w:r w:rsidR="001E1CE1" w:rsidRPr="00013F7D">
        <w:noBreakHyphen/>
      </w:r>
      <w:r w:rsidRPr="00013F7D">
        <w:t>General thanked the Government of India for its hospitality and for its seamless organization of</w:t>
      </w:r>
      <w:r w:rsidR="003940BD" w:rsidRPr="00013F7D">
        <w:t xml:space="preserve"> both events</w:t>
      </w:r>
      <w:r w:rsidRPr="00013F7D">
        <w:t>. The WTSA</w:t>
      </w:r>
      <w:r w:rsidR="001E1CE1" w:rsidRPr="00013F7D">
        <w:noBreakHyphen/>
      </w:r>
      <w:r w:rsidRPr="00013F7D">
        <w:t>24</w:t>
      </w:r>
      <w:r w:rsidR="003940BD" w:rsidRPr="00013F7D">
        <w:t xml:space="preserve"> outcomes</w:t>
      </w:r>
      <w:r w:rsidRPr="00013F7D">
        <w:t xml:space="preserve"> reflected a shared commitment to responsible digital transformation.</w:t>
      </w:r>
    </w:p>
    <w:p w14:paraId="58FA399F" w14:textId="61C7C202" w:rsidR="00743146" w:rsidRPr="00013F7D" w:rsidRDefault="00743146" w:rsidP="006A2118">
      <w:pPr>
        <w:jc w:val="both"/>
      </w:pPr>
      <w:r w:rsidRPr="00013F7D">
        <w:t>3.6</w:t>
      </w:r>
      <w:r w:rsidRPr="00013F7D">
        <w:tab/>
        <w:t>The councillor from India expressed his government</w:t>
      </w:r>
      <w:r w:rsidR="00013F7D" w:rsidRPr="00013F7D">
        <w:t>'</w:t>
      </w:r>
      <w:r w:rsidRPr="00013F7D">
        <w:t xml:space="preserve">s gratitude to the Member States, leadership and staff of ITU for their support </w:t>
      </w:r>
      <w:r w:rsidR="003940BD" w:rsidRPr="00013F7D">
        <w:t xml:space="preserve">in </w:t>
      </w:r>
      <w:r w:rsidRPr="00013F7D">
        <w:t>mak</w:t>
      </w:r>
      <w:r w:rsidR="003940BD" w:rsidRPr="00013F7D">
        <w:t>ing</w:t>
      </w:r>
      <w:r w:rsidRPr="00013F7D">
        <w:t xml:space="preserve"> WTSA</w:t>
      </w:r>
      <w:r w:rsidR="001E1CE1" w:rsidRPr="00013F7D">
        <w:noBreakHyphen/>
      </w:r>
      <w:r w:rsidRPr="00013F7D">
        <w:t>24 a success.</w:t>
      </w:r>
    </w:p>
    <w:p w14:paraId="096E3716" w14:textId="77777777" w:rsidR="00743146" w:rsidRPr="00013F7D" w:rsidRDefault="00743146" w:rsidP="006A2118">
      <w:pPr>
        <w:jc w:val="both"/>
      </w:pPr>
      <w:r w:rsidRPr="00013F7D">
        <w:t>3.7</w:t>
      </w:r>
      <w:r w:rsidRPr="00013F7D">
        <w:tab/>
        <w:t xml:space="preserve">The Council </w:t>
      </w:r>
      <w:r w:rsidRPr="00013F7D">
        <w:rPr>
          <w:b/>
          <w:bCs/>
        </w:rPr>
        <w:t xml:space="preserve">noted </w:t>
      </w:r>
      <w:r w:rsidRPr="00013F7D">
        <w:t>the report contained in Document C25/24.</w:t>
      </w:r>
    </w:p>
    <w:p w14:paraId="1E5725FE" w14:textId="2D757FA6" w:rsidR="00743146" w:rsidRPr="00013F7D" w:rsidRDefault="00743146" w:rsidP="00743146">
      <w:pPr>
        <w:pStyle w:val="Heading1"/>
      </w:pPr>
      <w:r w:rsidRPr="00013F7D">
        <w:t>4</w:t>
      </w:r>
      <w:r w:rsidRPr="00013F7D">
        <w:tab/>
        <w:t>Report by the Chair of Council Working Group on international Internet</w:t>
      </w:r>
      <w:r w:rsidR="00B005EE" w:rsidRPr="00013F7D">
        <w:t>-</w:t>
      </w:r>
      <w:r w:rsidRPr="00013F7D">
        <w:t xml:space="preserve">related public policy issues (Document </w:t>
      </w:r>
      <w:hyperlink r:id="rId21" w:history="1">
        <w:r w:rsidR="00A87CF9" w:rsidRPr="00013F7D">
          <w:rPr>
            <w:rStyle w:val="Hyperlink"/>
            <w:rFonts w:asciiTheme="minorHAnsi" w:hAnsiTheme="minorHAnsi" w:cstheme="minorHAnsi"/>
            <w:szCs w:val="24"/>
            <w:lang w:eastAsia="en-GB"/>
          </w:rPr>
          <w:t>C25/51</w:t>
        </w:r>
      </w:hyperlink>
      <w:r w:rsidRPr="00013F7D">
        <w:t xml:space="preserve">) </w:t>
      </w:r>
    </w:p>
    <w:p w14:paraId="10594AC8" w14:textId="63B808A7" w:rsidR="00743146" w:rsidRPr="00013F7D" w:rsidRDefault="00743146" w:rsidP="006A2118">
      <w:pPr>
        <w:jc w:val="both"/>
      </w:pPr>
      <w:r w:rsidRPr="00013F7D">
        <w:t>4.1</w:t>
      </w:r>
      <w:r w:rsidRPr="00013F7D">
        <w:tab/>
        <w:t>The Chair of the Council Working Group on international Internet</w:t>
      </w:r>
      <w:r w:rsidR="001E1CE1" w:rsidRPr="00013F7D">
        <w:noBreakHyphen/>
      </w:r>
      <w:r w:rsidRPr="00013F7D">
        <w:t>related public policy issues (CWG</w:t>
      </w:r>
      <w:r w:rsidR="00765908" w:rsidRPr="00013F7D">
        <w:t>-</w:t>
      </w:r>
      <w:r w:rsidRPr="00013F7D">
        <w:t>Internet) introduced Document C25/51, summariz</w:t>
      </w:r>
      <w:r w:rsidR="00643A60" w:rsidRPr="00013F7D">
        <w:t>ing</w:t>
      </w:r>
      <w:r w:rsidRPr="00013F7D">
        <w:t xml:space="preserve"> the </w:t>
      </w:r>
      <w:r w:rsidR="00643A60" w:rsidRPr="00013F7D">
        <w:t>outcome</w:t>
      </w:r>
      <w:r w:rsidRPr="00013F7D">
        <w:t>s of the group</w:t>
      </w:r>
      <w:r w:rsidR="00013F7D" w:rsidRPr="00013F7D">
        <w:t>'</w:t>
      </w:r>
      <w:r w:rsidRPr="00013F7D">
        <w:t xml:space="preserve">s </w:t>
      </w:r>
      <w:r w:rsidR="00643A60" w:rsidRPr="00013F7D">
        <w:t>20</w:t>
      </w:r>
      <w:r w:rsidR="00643A60" w:rsidRPr="00013F7D">
        <w:rPr>
          <w:vertAlign w:val="superscript"/>
        </w:rPr>
        <w:t>th</w:t>
      </w:r>
      <w:r w:rsidR="00643A60" w:rsidRPr="00013F7D">
        <w:t xml:space="preserve"> </w:t>
      </w:r>
      <w:r w:rsidRPr="00013F7D">
        <w:t xml:space="preserve">and </w:t>
      </w:r>
      <w:r w:rsidR="00643A60" w:rsidRPr="00013F7D">
        <w:t>21</w:t>
      </w:r>
      <w:r w:rsidR="00643A60" w:rsidRPr="00013F7D">
        <w:rPr>
          <w:vertAlign w:val="superscript"/>
        </w:rPr>
        <w:t>st</w:t>
      </w:r>
      <w:r w:rsidRPr="00013F7D">
        <w:t xml:space="preserve"> meetings, on 4</w:t>
      </w:r>
      <w:r w:rsidR="00765908" w:rsidRPr="00013F7D">
        <w:t> </w:t>
      </w:r>
      <w:r w:rsidRPr="00013F7D">
        <w:t>October</w:t>
      </w:r>
      <w:r w:rsidR="00765908" w:rsidRPr="00013F7D">
        <w:t> </w:t>
      </w:r>
      <w:r w:rsidRPr="00013F7D">
        <w:t>2024 and 19</w:t>
      </w:r>
      <w:r w:rsidR="001E1CE1" w:rsidRPr="00013F7D">
        <w:noBreakHyphen/>
      </w:r>
      <w:r w:rsidRPr="00013F7D">
        <w:t>20</w:t>
      </w:r>
      <w:r w:rsidR="00765908" w:rsidRPr="00013F7D">
        <w:t> </w:t>
      </w:r>
      <w:r w:rsidRPr="00013F7D">
        <w:t>February</w:t>
      </w:r>
      <w:r w:rsidR="00765908" w:rsidRPr="00013F7D">
        <w:t> </w:t>
      </w:r>
      <w:r w:rsidRPr="00013F7D">
        <w:t>2025, respectively.</w:t>
      </w:r>
    </w:p>
    <w:p w14:paraId="00F9DC69" w14:textId="4B9DC79A" w:rsidR="00743146" w:rsidRPr="00013F7D" w:rsidRDefault="00743146" w:rsidP="006A2118">
      <w:pPr>
        <w:jc w:val="both"/>
      </w:pPr>
      <w:r w:rsidRPr="00013F7D">
        <w:t>4.2</w:t>
      </w:r>
      <w:r w:rsidRPr="00013F7D">
        <w:tab/>
        <w:t>Several councillors, noting that CWG</w:t>
      </w:r>
      <w:r w:rsidR="00765908" w:rsidRPr="00013F7D">
        <w:t>-</w:t>
      </w:r>
      <w:r w:rsidRPr="00013F7D">
        <w:t xml:space="preserve">Internet </w:t>
      </w:r>
      <w:r w:rsidR="00643A60" w:rsidRPr="00013F7D">
        <w:t xml:space="preserve">membership was </w:t>
      </w:r>
      <w:r w:rsidRPr="00013F7D">
        <w:t xml:space="preserve">limited to Member States, suggested </w:t>
      </w:r>
      <w:r w:rsidR="00643A60" w:rsidRPr="00013F7D">
        <w:t xml:space="preserve">extending it </w:t>
      </w:r>
      <w:r w:rsidRPr="00013F7D">
        <w:t>to Sector Members</w:t>
      </w:r>
      <w:r w:rsidR="00643A60" w:rsidRPr="00013F7D">
        <w:t>,</w:t>
      </w:r>
      <w:r w:rsidRPr="00013F7D">
        <w:t xml:space="preserve"> </w:t>
      </w:r>
      <w:r w:rsidR="00643A60" w:rsidRPr="00013F7D">
        <w:t>in</w:t>
      </w:r>
      <w:r w:rsidRPr="00013F7D">
        <w:t xml:space="preserve"> particular those </w:t>
      </w:r>
      <w:r w:rsidR="00643A60" w:rsidRPr="00013F7D">
        <w:t xml:space="preserve">in </w:t>
      </w:r>
      <w:r w:rsidRPr="00013F7D">
        <w:t>the technical community, wh</w:t>
      </w:r>
      <w:r w:rsidR="00643A60" w:rsidRPr="00013F7D">
        <w:t>ose expertise</w:t>
      </w:r>
      <w:r w:rsidRPr="00013F7D">
        <w:t xml:space="preserve"> and experience </w:t>
      </w:r>
      <w:r w:rsidR="00643A60" w:rsidRPr="00013F7D">
        <w:t>were highly relevant</w:t>
      </w:r>
      <w:r w:rsidRPr="00013F7D">
        <w:t xml:space="preserve">. </w:t>
      </w:r>
      <w:r w:rsidR="00643A60" w:rsidRPr="00013F7D">
        <w:t xml:space="preserve">One councillor asked whether the terms of reference had to be amended by the Plenipotentiary Conference via revision of </w:t>
      </w:r>
      <w:r w:rsidRPr="00013F7D">
        <w:t>Resolution</w:t>
      </w:r>
      <w:r w:rsidR="00765908" w:rsidRPr="00013F7D">
        <w:t> </w:t>
      </w:r>
      <w:r w:rsidRPr="00013F7D">
        <w:t>102 (Rev.</w:t>
      </w:r>
      <w:r w:rsidR="00765908" w:rsidRPr="00013F7D">
        <w:t> </w:t>
      </w:r>
      <w:r w:rsidRPr="00013F7D">
        <w:t>Bucharest, 2022)</w:t>
      </w:r>
      <w:r w:rsidR="00643A60" w:rsidRPr="00013F7D">
        <w:t>. One observer, recalling that CWG</w:t>
      </w:r>
      <w:r w:rsidR="00765908" w:rsidRPr="00013F7D">
        <w:t>-</w:t>
      </w:r>
      <w:r w:rsidR="00643A60" w:rsidRPr="00013F7D">
        <w:t xml:space="preserve">Internet membership </w:t>
      </w:r>
      <w:r w:rsidRPr="00013F7D">
        <w:t>had been the subject of diverging views in past Council discussions</w:t>
      </w:r>
      <w:r w:rsidR="00643A60" w:rsidRPr="00013F7D">
        <w:t>, said that the matter</w:t>
      </w:r>
      <w:r w:rsidRPr="00013F7D">
        <w:t xml:space="preserve"> should be </w:t>
      </w:r>
      <w:r w:rsidR="00643A60" w:rsidRPr="00013F7D">
        <w:t>raised at PP</w:t>
      </w:r>
      <w:r w:rsidR="001E1CE1" w:rsidRPr="00013F7D">
        <w:noBreakHyphen/>
      </w:r>
      <w:r w:rsidR="00643A60" w:rsidRPr="00013F7D">
        <w:t xml:space="preserve">26. </w:t>
      </w:r>
      <w:r w:rsidRPr="00013F7D">
        <w:t xml:space="preserve">The </w:t>
      </w:r>
      <w:r w:rsidR="00951A0C" w:rsidRPr="00013F7D">
        <w:t>Secretary of the Plenary</w:t>
      </w:r>
      <w:r w:rsidR="00643A60" w:rsidRPr="00013F7D">
        <w:t xml:space="preserve"> confirmed that the</w:t>
      </w:r>
      <w:r w:rsidRPr="00013F7D">
        <w:t xml:space="preserve"> terms of reference</w:t>
      </w:r>
      <w:r w:rsidR="00643A60" w:rsidRPr="00013F7D">
        <w:t>, enshrined in a PP resolution,</w:t>
      </w:r>
      <w:r w:rsidRPr="00013F7D">
        <w:t xml:space="preserve"> could be amended only by the </w:t>
      </w:r>
      <w:r w:rsidR="00643A60" w:rsidRPr="00013F7D">
        <w:t>P</w:t>
      </w:r>
      <w:r w:rsidRPr="00013F7D">
        <w:t xml:space="preserve">lenipotentiary </w:t>
      </w:r>
      <w:r w:rsidR="00643A60" w:rsidRPr="00013F7D">
        <w:t>C</w:t>
      </w:r>
      <w:r w:rsidRPr="00013F7D">
        <w:t>onference.</w:t>
      </w:r>
    </w:p>
    <w:p w14:paraId="0C16D9BE" w14:textId="2FB6917E" w:rsidR="00743146" w:rsidRPr="00013F7D" w:rsidRDefault="00743146" w:rsidP="006A2118">
      <w:pPr>
        <w:jc w:val="both"/>
      </w:pPr>
      <w:r w:rsidRPr="00013F7D">
        <w:t>4.</w:t>
      </w:r>
      <w:r w:rsidR="00765908" w:rsidRPr="00013F7D">
        <w:t>3</w:t>
      </w:r>
      <w:r w:rsidRPr="00013F7D">
        <w:tab/>
        <w:t xml:space="preserve">Several councillors, referring to the ongoing open consultation </w:t>
      </w:r>
      <w:r w:rsidR="00951A0C" w:rsidRPr="00013F7D">
        <w:t>on</w:t>
      </w:r>
      <w:r w:rsidRPr="00013F7D">
        <w:t xml:space="preserve"> landlocked developing countries</w:t>
      </w:r>
      <w:r w:rsidR="00C75471" w:rsidRPr="00013F7D">
        <w:t xml:space="preserve"> (LLDCs)</w:t>
      </w:r>
      <w:r w:rsidRPr="00013F7D">
        <w:t xml:space="preserve">, encouraged the secretariat to explore targeted outreach and </w:t>
      </w:r>
      <w:r w:rsidRPr="00013F7D">
        <w:lastRenderedPageBreak/>
        <w:t>capacity</w:t>
      </w:r>
      <w:r w:rsidR="00AB56DF" w:rsidRPr="00013F7D">
        <w:t xml:space="preserve"> </w:t>
      </w:r>
      <w:r w:rsidRPr="00013F7D">
        <w:t xml:space="preserve">building for </w:t>
      </w:r>
      <w:r w:rsidR="00C75471" w:rsidRPr="00013F7D">
        <w:t>LLDCs</w:t>
      </w:r>
      <w:r w:rsidRPr="00013F7D">
        <w:t xml:space="preserve">, which </w:t>
      </w:r>
      <w:r w:rsidR="00951A0C" w:rsidRPr="00013F7D">
        <w:t>depended</w:t>
      </w:r>
      <w:r w:rsidRPr="00013F7D">
        <w:t xml:space="preserve"> on transit countries for connectivity</w:t>
      </w:r>
      <w:r w:rsidR="00C75471" w:rsidRPr="00013F7D">
        <w:t>.</w:t>
      </w:r>
      <w:r w:rsidRPr="00013F7D">
        <w:t xml:space="preserve"> Member States</w:t>
      </w:r>
      <w:r w:rsidR="00C75471" w:rsidRPr="00013F7D">
        <w:t xml:space="preserve"> were urged</w:t>
      </w:r>
      <w:r w:rsidRPr="00013F7D">
        <w:t xml:space="preserve"> to </w:t>
      </w:r>
      <w:r w:rsidR="00C75471" w:rsidRPr="00013F7D">
        <w:t>participate actively in</w:t>
      </w:r>
      <w:r w:rsidRPr="00013F7D">
        <w:t xml:space="preserve"> the consultation.</w:t>
      </w:r>
      <w:r w:rsidR="003F151B" w:rsidRPr="00013F7D">
        <w:t xml:space="preserve"> </w:t>
      </w:r>
    </w:p>
    <w:p w14:paraId="56FDA18A" w14:textId="5146E6A9" w:rsidR="00743146" w:rsidRPr="00013F7D" w:rsidRDefault="00743146" w:rsidP="006A2118">
      <w:pPr>
        <w:jc w:val="both"/>
      </w:pPr>
      <w:r w:rsidRPr="00013F7D">
        <w:t>4.</w:t>
      </w:r>
      <w:r w:rsidR="00765908" w:rsidRPr="00013F7D">
        <w:t>4</w:t>
      </w:r>
      <w:r w:rsidRPr="00013F7D">
        <w:tab/>
      </w:r>
      <w:r w:rsidR="003F151B" w:rsidRPr="00013F7D">
        <w:t xml:space="preserve">Several </w:t>
      </w:r>
      <w:r w:rsidRPr="00013F7D">
        <w:t xml:space="preserve">councillors </w:t>
      </w:r>
      <w:r w:rsidR="00C75471" w:rsidRPr="00013F7D">
        <w:t xml:space="preserve">recommended </w:t>
      </w:r>
      <w:r w:rsidRPr="00013F7D">
        <w:t xml:space="preserve">that future </w:t>
      </w:r>
      <w:r w:rsidR="00C75471" w:rsidRPr="00013F7D">
        <w:t>CWG</w:t>
      </w:r>
      <w:r w:rsidR="00765908" w:rsidRPr="00013F7D">
        <w:t>-</w:t>
      </w:r>
      <w:r w:rsidR="00C75471" w:rsidRPr="00013F7D">
        <w:t xml:space="preserve">Internet </w:t>
      </w:r>
      <w:r w:rsidRPr="00013F7D">
        <w:t xml:space="preserve">reports </w:t>
      </w:r>
      <w:r w:rsidR="00C75471" w:rsidRPr="00013F7D">
        <w:t>include</w:t>
      </w:r>
      <w:r w:rsidRPr="00013F7D">
        <w:t xml:space="preserve"> summar</w:t>
      </w:r>
      <w:r w:rsidR="00C75471" w:rsidRPr="00013F7D">
        <w:t xml:space="preserve">ies and progress updates on </w:t>
      </w:r>
      <w:r w:rsidRPr="00013F7D">
        <w:t xml:space="preserve">implementation of </w:t>
      </w:r>
      <w:r w:rsidR="00C75471" w:rsidRPr="00013F7D">
        <w:t xml:space="preserve">past </w:t>
      </w:r>
      <w:r w:rsidRPr="00013F7D">
        <w:t xml:space="preserve">recommendations, to </w:t>
      </w:r>
      <w:r w:rsidR="00C75471" w:rsidRPr="00013F7D">
        <w:t>facilitate assessment of</w:t>
      </w:r>
      <w:r w:rsidRPr="00013F7D">
        <w:t xml:space="preserve"> whether consultations led to concrete outcomes or remained primarily discussion platforms. </w:t>
      </w:r>
      <w:r w:rsidR="003F151B" w:rsidRPr="00013F7D">
        <w:t>An observer noted that the present report did not contain any recommendations to the Council.</w:t>
      </w:r>
    </w:p>
    <w:p w14:paraId="1EC35B1A" w14:textId="74AC992B" w:rsidR="00743146" w:rsidRPr="00013F7D" w:rsidRDefault="00743146" w:rsidP="006A2118">
      <w:pPr>
        <w:jc w:val="both"/>
      </w:pPr>
      <w:r w:rsidRPr="00013F7D">
        <w:t>4.</w:t>
      </w:r>
      <w:r w:rsidR="00765908" w:rsidRPr="00013F7D">
        <w:t>5</w:t>
      </w:r>
      <w:r w:rsidRPr="00013F7D">
        <w:tab/>
        <w:t>One councillor requested implement</w:t>
      </w:r>
      <w:r w:rsidR="00C75471" w:rsidRPr="00013F7D">
        <w:t>ation</w:t>
      </w:r>
      <w:r w:rsidRPr="00013F7D">
        <w:t xml:space="preserve"> </w:t>
      </w:r>
      <w:r w:rsidR="00AB56DF" w:rsidRPr="00013F7D">
        <w:t xml:space="preserve">of </w:t>
      </w:r>
      <w:r w:rsidRPr="00013F7D">
        <w:t>Council Resolution</w:t>
      </w:r>
      <w:r w:rsidR="00765908" w:rsidRPr="00013F7D">
        <w:t> </w:t>
      </w:r>
      <w:r w:rsidRPr="00013F7D">
        <w:t xml:space="preserve">1305 (C09, last </w:t>
      </w:r>
      <w:r w:rsidRPr="006528D3">
        <w:rPr>
          <w:spacing w:val="2"/>
        </w:rPr>
        <w:t xml:space="preserve">amended C24), </w:t>
      </w:r>
      <w:r w:rsidR="00C75471" w:rsidRPr="006528D3">
        <w:rPr>
          <w:spacing w:val="2"/>
        </w:rPr>
        <w:t>in particular</w:t>
      </w:r>
      <w:r w:rsidRPr="006528D3">
        <w:rPr>
          <w:spacing w:val="2"/>
        </w:rPr>
        <w:t xml:space="preserve"> </w:t>
      </w:r>
      <w:r w:rsidRPr="006528D3">
        <w:rPr>
          <w:i/>
          <w:iCs/>
          <w:spacing w:val="2"/>
        </w:rPr>
        <w:t>instructs the Secretary</w:t>
      </w:r>
      <w:r w:rsidR="001E1CE1" w:rsidRPr="006528D3">
        <w:rPr>
          <w:i/>
          <w:iCs/>
          <w:spacing w:val="2"/>
        </w:rPr>
        <w:noBreakHyphen/>
      </w:r>
      <w:r w:rsidRPr="006528D3">
        <w:rPr>
          <w:i/>
          <w:iCs/>
          <w:spacing w:val="2"/>
        </w:rPr>
        <w:t>General</w:t>
      </w:r>
      <w:r w:rsidRPr="006528D3">
        <w:rPr>
          <w:spacing w:val="2"/>
        </w:rPr>
        <w:t xml:space="preserve"> 2, to enhanc</w:t>
      </w:r>
      <w:r w:rsidR="00C75471" w:rsidRPr="006528D3">
        <w:rPr>
          <w:spacing w:val="2"/>
        </w:rPr>
        <w:t>e</w:t>
      </w:r>
      <w:r w:rsidRPr="006528D3">
        <w:rPr>
          <w:spacing w:val="2"/>
        </w:rPr>
        <w:t xml:space="preserve"> </w:t>
      </w:r>
      <w:r w:rsidR="00C75471" w:rsidRPr="006528D3">
        <w:rPr>
          <w:spacing w:val="2"/>
        </w:rPr>
        <w:t>the effectiveness</w:t>
      </w:r>
      <w:r w:rsidR="00C75471" w:rsidRPr="00013F7D">
        <w:t xml:space="preserve"> </w:t>
      </w:r>
      <w:r w:rsidR="00C75471" w:rsidRPr="006528D3">
        <w:rPr>
          <w:spacing w:val="4"/>
        </w:rPr>
        <w:t xml:space="preserve">of </w:t>
      </w:r>
      <w:r w:rsidRPr="006528D3">
        <w:rPr>
          <w:spacing w:val="4"/>
        </w:rPr>
        <w:t>CWG</w:t>
      </w:r>
      <w:r w:rsidR="001E1CE1" w:rsidRPr="006528D3">
        <w:rPr>
          <w:spacing w:val="4"/>
        </w:rPr>
        <w:noBreakHyphen/>
      </w:r>
      <w:r w:rsidRPr="006528D3">
        <w:rPr>
          <w:spacing w:val="4"/>
        </w:rPr>
        <w:t xml:space="preserve">Internet and </w:t>
      </w:r>
      <w:r w:rsidR="00C75471" w:rsidRPr="006528D3">
        <w:rPr>
          <w:spacing w:val="4"/>
        </w:rPr>
        <w:t>its</w:t>
      </w:r>
      <w:r w:rsidRPr="006528D3">
        <w:rPr>
          <w:spacing w:val="4"/>
        </w:rPr>
        <w:t xml:space="preserve"> consultations.</w:t>
      </w:r>
      <w:r w:rsidR="003F151B" w:rsidRPr="006528D3">
        <w:rPr>
          <w:spacing w:val="4"/>
        </w:rPr>
        <w:t xml:space="preserve"> Another councillor stressed the importance of</w:t>
      </w:r>
      <w:r w:rsidR="003F151B" w:rsidRPr="00013F7D">
        <w:t xml:space="preserve"> CWG</w:t>
      </w:r>
      <w:r w:rsidR="00765908" w:rsidRPr="00013F7D">
        <w:t>-</w:t>
      </w:r>
      <w:r w:rsidR="003F151B" w:rsidRPr="00013F7D">
        <w:t>Internet fulfilling areas of its mandate beyond consultations.</w:t>
      </w:r>
    </w:p>
    <w:p w14:paraId="306F56D8" w14:textId="3E39D780" w:rsidR="00743146" w:rsidRPr="00013F7D" w:rsidRDefault="00743146" w:rsidP="006A2118">
      <w:pPr>
        <w:jc w:val="both"/>
      </w:pPr>
      <w:r w:rsidRPr="00013F7D">
        <w:t>4.</w:t>
      </w:r>
      <w:r w:rsidR="00765908" w:rsidRPr="00013F7D">
        <w:t>6</w:t>
      </w:r>
      <w:r w:rsidRPr="00013F7D">
        <w:tab/>
        <w:t xml:space="preserve">Another councillor </w:t>
      </w:r>
      <w:r w:rsidR="00C75471" w:rsidRPr="00013F7D">
        <w:t>highlighted</w:t>
      </w:r>
      <w:r w:rsidRPr="00013F7D">
        <w:t xml:space="preserve"> the role of public policy in promoting multilingualization of the Internet and ensuring meaningful connectivity for </w:t>
      </w:r>
      <w:r w:rsidR="00C75471" w:rsidRPr="00013F7D">
        <w:t>LLDCs</w:t>
      </w:r>
      <w:r w:rsidRPr="00013F7D">
        <w:t xml:space="preserve"> </w:t>
      </w:r>
      <w:r w:rsidR="00C75471" w:rsidRPr="00013F7D">
        <w:t xml:space="preserve">as </w:t>
      </w:r>
      <w:r w:rsidRPr="00013F7D">
        <w:t>priority area</w:t>
      </w:r>
      <w:r w:rsidR="00C75471" w:rsidRPr="00013F7D">
        <w:t>s</w:t>
      </w:r>
      <w:r w:rsidRPr="00013F7D">
        <w:t xml:space="preserve"> for ITU. </w:t>
      </w:r>
    </w:p>
    <w:p w14:paraId="404C99C3" w14:textId="60ECB622" w:rsidR="00743146" w:rsidRPr="00013F7D" w:rsidRDefault="00743146" w:rsidP="006A2118">
      <w:pPr>
        <w:jc w:val="both"/>
      </w:pPr>
      <w:r w:rsidRPr="00013F7D">
        <w:t>4.</w:t>
      </w:r>
      <w:r w:rsidR="00765908" w:rsidRPr="00013F7D">
        <w:t>7</w:t>
      </w:r>
      <w:r w:rsidRPr="00013F7D">
        <w:tab/>
        <w:t>The Chair of CWG</w:t>
      </w:r>
      <w:r w:rsidR="00765908" w:rsidRPr="00013F7D">
        <w:t>-</w:t>
      </w:r>
      <w:r w:rsidRPr="00013F7D">
        <w:t xml:space="preserve">Internet </w:t>
      </w:r>
      <w:r w:rsidR="003F151B" w:rsidRPr="00013F7D">
        <w:t>urged</w:t>
      </w:r>
      <w:r w:rsidRPr="00013F7D">
        <w:t xml:space="preserve"> Member States to submit proposals to the next meeting and invited </w:t>
      </w:r>
      <w:r w:rsidR="003F151B" w:rsidRPr="00013F7D">
        <w:t>broad</w:t>
      </w:r>
      <w:r w:rsidRPr="00013F7D">
        <w:t xml:space="preserve"> participat</w:t>
      </w:r>
      <w:r w:rsidR="003F151B" w:rsidRPr="00013F7D">
        <w:t>ion</w:t>
      </w:r>
      <w:r w:rsidRPr="00013F7D">
        <w:t xml:space="preserve"> in open consultations. The management team had </w:t>
      </w:r>
      <w:r w:rsidR="003F151B" w:rsidRPr="00013F7D">
        <w:t>engaged with</w:t>
      </w:r>
      <w:r w:rsidRPr="00013F7D">
        <w:t xml:space="preserve"> stakeholders </w:t>
      </w:r>
      <w:r w:rsidR="003F151B" w:rsidRPr="00013F7D">
        <w:t>and would continue such efforts</w:t>
      </w:r>
      <w:r w:rsidRPr="00013F7D">
        <w:t xml:space="preserve">, including at the upcoming Internet Governance Forum in Norway. </w:t>
      </w:r>
    </w:p>
    <w:p w14:paraId="65F8899E" w14:textId="0DFF3D28" w:rsidR="00743146" w:rsidRPr="00013F7D" w:rsidRDefault="00743146" w:rsidP="006A2118">
      <w:pPr>
        <w:jc w:val="both"/>
      </w:pPr>
      <w:r w:rsidRPr="00013F7D">
        <w:t>4.</w:t>
      </w:r>
      <w:r w:rsidR="00013F7D" w:rsidRPr="00013F7D">
        <w:t>8</w:t>
      </w:r>
      <w:r w:rsidRPr="00013F7D">
        <w:tab/>
        <w:t xml:space="preserve">The Council </w:t>
      </w:r>
      <w:r w:rsidRPr="00013F7D">
        <w:rPr>
          <w:b/>
          <w:bCs/>
        </w:rPr>
        <w:t xml:space="preserve">noted </w:t>
      </w:r>
      <w:r w:rsidRPr="00013F7D">
        <w:t>the</w:t>
      </w:r>
      <w:r w:rsidRPr="00013F7D">
        <w:rPr>
          <w:b/>
          <w:bCs/>
        </w:rPr>
        <w:t xml:space="preserve"> </w:t>
      </w:r>
      <w:r w:rsidRPr="00013F7D">
        <w:t>report contained in Document C25/51.</w:t>
      </w:r>
    </w:p>
    <w:p w14:paraId="40D2087A" w14:textId="673CBCFB" w:rsidR="00743146" w:rsidRPr="00013F7D" w:rsidRDefault="00743146" w:rsidP="00743146">
      <w:pPr>
        <w:pStyle w:val="Heading1"/>
      </w:pPr>
      <w:bookmarkStart w:id="11" w:name="_Hlk201249041"/>
      <w:r w:rsidRPr="00013F7D">
        <w:t>5</w:t>
      </w:r>
      <w:r w:rsidRPr="00013F7D">
        <w:tab/>
        <w:t xml:space="preserve">ITU Internet activities: Resolutions 101, 102, 133, 180 and 206 of the Plenipotentiary Conference (Document </w:t>
      </w:r>
      <w:hyperlink r:id="rId22" w:history="1">
        <w:r w:rsidRPr="00013F7D">
          <w:rPr>
            <w:rStyle w:val="Hyperlink"/>
          </w:rPr>
          <w:t>C25/33</w:t>
        </w:r>
      </w:hyperlink>
      <w:r w:rsidRPr="00013F7D">
        <w:t>)</w:t>
      </w:r>
    </w:p>
    <w:p w14:paraId="25A81CCF" w14:textId="2347E0A2" w:rsidR="002C1A6F" w:rsidRPr="00013F7D" w:rsidRDefault="002C1A6F" w:rsidP="006A2118">
      <w:pPr>
        <w:jc w:val="both"/>
        <w:rPr>
          <w:rFonts w:cs="Calibri"/>
          <w:szCs w:val="24"/>
        </w:rPr>
      </w:pPr>
      <w:r w:rsidRPr="00013F7D">
        <w:rPr>
          <w:rFonts w:cs="Calibri"/>
          <w:szCs w:val="24"/>
        </w:rPr>
        <w:t>5.1</w:t>
      </w:r>
      <w:r w:rsidRPr="00013F7D">
        <w:rPr>
          <w:rFonts w:cs="Calibri"/>
          <w:szCs w:val="24"/>
        </w:rPr>
        <w:tab/>
        <w:t>A representative of the General Secretariat introduced Document C25/33, which contained a report summarizing ITU activities related to PP Resolution 101 (Rev. Bucharest, 2022), on Internet Protocol-based networks; Resolution 102 (Rev. Bucharest, 2022), on ITU</w:t>
      </w:r>
      <w:r w:rsidR="00013F7D" w:rsidRPr="00013F7D">
        <w:rPr>
          <w:rFonts w:cs="Calibri"/>
          <w:szCs w:val="24"/>
        </w:rPr>
        <w:t>'</w:t>
      </w:r>
      <w:r w:rsidRPr="00013F7D">
        <w:rPr>
          <w:rFonts w:cs="Calibri"/>
          <w:szCs w:val="24"/>
        </w:rPr>
        <w:t>s role with regard to international public policy issues pertaining to the Internet and the management of Internet resources, including domain names and addresses; Resolution 133 (Rev. Bucharest, 2022), on roles of administrations of Member States in the management of Internationalized (multilingual) domain names; Resolution 180 (Rev. Bucharest, 2022), on promoting deployment of Internet Protocol version 6; and Resolution 206 (Dubai, 2018), on OTTs.</w:t>
      </w:r>
    </w:p>
    <w:p w14:paraId="3D65E87F" w14:textId="028838B9" w:rsidR="002C1A6F" w:rsidRPr="00013F7D" w:rsidRDefault="002C1A6F" w:rsidP="006A2118">
      <w:pPr>
        <w:jc w:val="both"/>
        <w:rPr>
          <w:rFonts w:cs="Calibri"/>
          <w:szCs w:val="24"/>
        </w:rPr>
      </w:pPr>
      <w:r w:rsidRPr="00013F7D">
        <w:rPr>
          <w:rFonts w:cs="Calibri"/>
          <w:szCs w:val="24"/>
        </w:rPr>
        <w:t>5.2</w:t>
      </w:r>
      <w:r w:rsidRPr="00013F7D">
        <w:rPr>
          <w:rFonts w:cs="Calibri"/>
          <w:szCs w:val="24"/>
        </w:rPr>
        <w:tab/>
        <w:t>The councillor from Paraguay reiterated his country</w:t>
      </w:r>
      <w:r w:rsidR="00013F7D" w:rsidRPr="00013F7D">
        <w:rPr>
          <w:rFonts w:cs="Calibri"/>
          <w:szCs w:val="24"/>
        </w:rPr>
        <w:t>'</w:t>
      </w:r>
      <w:r w:rsidRPr="00013F7D">
        <w:rPr>
          <w:rFonts w:cs="Calibri"/>
          <w:szCs w:val="24"/>
        </w:rPr>
        <w:t xml:space="preserve">s request, made at meetings of CWG-Internet, for reports on ITU Internet activities to refer to Resolution 1 (Dubai, 2012) of the World Conference on International Telecommunications, on special measures for </w:t>
      </w:r>
      <w:r w:rsidR="006A2118" w:rsidRPr="006A2118">
        <w:rPr>
          <w:rFonts w:cs="Calibri"/>
          <w:szCs w:val="24"/>
        </w:rPr>
        <w:t>landlocked developing countries</w:t>
      </w:r>
      <w:r w:rsidRPr="00013F7D">
        <w:rPr>
          <w:rFonts w:cs="Calibri"/>
          <w:szCs w:val="24"/>
        </w:rPr>
        <w:t xml:space="preserve"> and small island developing states for access to international optical fibre networks. He suggested including data from the reports </w:t>
      </w:r>
      <w:r w:rsidRPr="00013F7D">
        <w:rPr>
          <w:rFonts w:cs="Calibri"/>
          <w:i/>
          <w:iCs/>
          <w:szCs w:val="24"/>
        </w:rPr>
        <w:t>Facts and Figures: Focus on Small Island Developing States</w:t>
      </w:r>
      <w:r w:rsidRPr="00013F7D">
        <w:rPr>
          <w:rFonts w:cs="Calibri"/>
          <w:szCs w:val="24"/>
        </w:rPr>
        <w:t xml:space="preserve"> and </w:t>
      </w:r>
      <w:r w:rsidRPr="00013F7D">
        <w:rPr>
          <w:rFonts w:cs="Calibri"/>
          <w:i/>
          <w:iCs/>
          <w:szCs w:val="24"/>
        </w:rPr>
        <w:t>Facts and Figures: Focus on Landlocked Developing Countries</w:t>
      </w:r>
      <w:r w:rsidRPr="00013F7D">
        <w:rPr>
          <w:rFonts w:cs="Calibri"/>
          <w:szCs w:val="24"/>
        </w:rPr>
        <w:t>, as those data would highlight gaps and guide development of the next strategic plan for the Union.</w:t>
      </w:r>
    </w:p>
    <w:p w14:paraId="09952BED" w14:textId="77777777" w:rsidR="002C1A6F" w:rsidRPr="00013F7D" w:rsidRDefault="002C1A6F" w:rsidP="006A2118">
      <w:pPr>
        <w:jc w:val="both"/>
        <w:rPr>
          <w:rFonts w:cs="Calibri"/>
          <w:szCs w:val="24"/>
        </w:rPr>
      </w:pPr>
      <w:r w:rsidRPr="00013F7D">
        <w:rPr>
          <w:rFonts w:cs="Calibri"/>
          <w:szCs w:val="24"/>
        </w:rPr>
        <w:t>5.3</w:t>
      </w:r>
      <w:r w:rsidRPr="00013F7D">
        <w:rPr>
          <w:rFonts w:cs="Calibri"/>
          <w:szCs w:val="24"/>
        </w:rPr>
        <w:tab/>
        <w:t xml:space="preserve">One councillor proposed that CWG-Internet and the relevant ITU-T study group consider creating separate ITU-T focus groups for AI and the Internet of Things, with a broader focus on socio-economic sectors, not limited to digital agriculture. </w:t>
      </w:r>
    </w:p>
    <w:p w14:paraId="3AC2EA21" w14:textId="712BDB03" w:rsidR="002C1A6F" w:rsidRPr="00013F7D" w:rsidRDefault="002C1A6F" w:rsidP="00AA2857">
      <w:pPr>
        <w:jc w:val="both"/>
        <w:rPr>
          <w:rFonts w:cs="Calibri"/>
          <w:szCs w:val="24"/>
        </w:rPr>
      </w:pPr>
      <w:r w:rsidRPr="00013F7D">
        <w:rPr>
          <w:rFonts w:cs="Calibri"/>
          <w:szCs w:val="24"/>
        </w:rPr>
        <w:t>5.4</w:t>
      </w:r>
      <w:r w:rsidRPr="00013F7D">
        <w:rPr>
          <w:rFonts w:cs="Calibri"/>
          <w:szCs w:val="24"/>
        </w:rPr>
        <w:tab/>
        <w:t xml:space="preserve">The councillor from Cuba requested revision of § 2.9 of Document C25/33 to report more accurately on incidents covered by WTSA Resolution 69 (Rev. </w:t>
      </w:r>
      <w:proofErr w:type="spellStart"/>
      <w:r w:rsidRPr="00013F7D">
        <w:rPr>
          <w:rFonts w:cs="Calibri"/>
          <w:szCs w:val="24"/>
        </w:rPr>
        <w:t>Hammamet</w:t>
      </w:r>
      <w:proofErr w:type="spellEnd"/>
      <w:r w:rsidRPr="00013F7D">
        <w:rPr>
          <w:rFonts w:cs="Calibri"/>
          <w:szCs w:val="24"/>
        </w:rPr>
        <w:t xml:space="preserve">, 2016), on </w:t>
      </w:r>
      <w:r w:rsidRPr="00013F7D">
        <w:rPr>
          <w:rFonts w:cs="Calibri"/>
          <w:szCs w:val="24"/>
        </w:rPr>
        <w:lastRenderedPageBreak/>
        <w:t>non-discriminatory access and use of Internet resources</w:t>
      </w:r>
      <w:r w:rsidR="008562D3">
        <w:rPr>
          <w:rFonts w:cs="Calibri"/>
          <w:szCs w:val="24"/>
        </w:rPr>
        <w:t xml:space="preserve">. </w:t>
      </w:r>
      <w:r w:rsidRPr="00013F7D">
        <w:rPr>
          <w:rFonts w:cs="Calibri"/>
          <w:szCs w:val="24"/>
        </w:rPr>
        <w:t xml:space="preserve">Many Internet resources could not be accessed in Cuba owing to unilateral actions; thus, the reported, meagre total of 37 such incidents since 2009 did not reflect reality. Sanctions imposed on Cuba by the United States, in violation of international law, limited access to technologies and equipment that were produced under licence, formed of more than 10 per cent of United States-origin components or protected by a United States patent, which included mobile antennas and computer systems. It was impossible to access certain websites and search engines, in addition to specialized information needed for education. Cuba, after being a member of GSMA since 2003, had been denied the right to participate since 2020, owing to unilateral measures. However, it had been able to participate at events on the margins of the Mobile World Congress in Barcelona thanks to the host country. As long as unilateral measures remained in place, it would be impossible for Cuba to achieve the strategic objectives of universal connectivity and a sustainable digital transformation. In order to achieve universal connectivity, she called on ITU to ensure implementation of Article 1 of the ITU Constitution and Resolution 69 (Rev. </w:t>
      </w:r>
      <w:proofErr w:type="spellStart"/>
      <w:r w:rsidRPr="00013F7D">
        <w:rPr>
          <w:rFonts w:cs="Calibri"/>
          <w:szCs w:val="24"/>
        </w:rPr>
        <w:t>Hammamet</w:t>
      </w:r>
      <w:proofErr w:type="spellEnd"/>
      <w:r w:rsidRPr="00013F7D">
        <w:rPr>
          <w:rFonts w:cs="Calibri"/>
          <w:szCs w:val="24"/>
        </w:rPr>
        <w:t>, 2016), and on Member States to refrain from imposing unilateral measures on others.</w:t>
      </w:r>
    </w:p>
    <w:p w14:paraId="629CD551" w14:textId="53CC6017" w:rsidR="002C1A6F" w:rsidRPr="00013F7D" w:rsidRDefault="002C1A6F" w:rsidP="006A2118">
      <w:pPr>
        <w:jc w:val="both"/>
        <w:rPr>
          <w:rFonts w:cs="Calibri"/>
          <w:szCs w:val="24"/>
        </w:rPr>
      </w:pPr>
      <w:r w:rsidRPr="00013F7D">
        <w:rPr>
          <w:rFonts w:cs="Calibri"/>
          <w:szCs w:val="24"/>
        </w:rPr>
        <w:t>5.5</w:t>
      </w:r>
      <w:r w:rsidRPr="00013F7D">
        <w:rPr>
          <w:rFonts w:cs="Calibri"/>
          <w:szCs w:val="24"/>
        </w:rPr>
        <w:tab/>
        <w:t>The councillor from the United States of America said that economic sanctions were a lawful, appropriate and effective tool for addressing threats to national security and stability. Sanctions were not punitive, but rather aimed at changing behaviours and containing the ability of bad actors to take advantage of the United States</w:t>
      </w:r>
      <w:r w:rsidR="00013F7D" w:rsidRPr="00013F7D">
        <w:rPr>
          <w:rFonts w:cs="Calibri"/>
          <w:szCs w:val="24"/>
        </w:rPr>
        <w:t>'</w:t>
      </w:r>
      <w:r w:rsidRPr="00013F7D">
        <w:rPr>
          <w:rFonts w:cs="Calibri"/>
          <w:szCs w:val="24"/>
        </w:rPr>
        <w:t xml:space="preserve"> financial system or threaten the country or its allies or partners. Sanctions could be lifted in the event of sufficient behavioural change. </w:t>
      </w:r>
    </w:p>
    <w:p w14:paraId="35B082C1" w14:textId="2E742BD0" w:rsidR="002C1A6F" w:rsidRPr="00013F7D" w:rsidRDefault="002C1A6F" w:rsidP="006A2118">
      <w:pPr>
        <w:jc w:val="both"/>
        <w:rPr>
          <w:rFonts w:cs="Calibri"/>
          <w:szCs w:val="24"/>
        </w:rPr>
      </w:pPr>
      <w:r w:rsidRPr="00013F7D">
        <w:rPr>
          <w:rFonts w:cs="Calibri"/>
          <w:szCs w:val="24"/>
        </w:rPr>
        <w:t>5.6</w:t>
      </w:r>
      <w:r w:rsidRPr="00013F7D">
        <w:rPr>
          <w:rFonts w:cs="Calibri"/>
          <w:szCs w:val="24"/>
        </w:rPr>
        <w:tab/>
        <w:t xml:space="preserve">The councillor from Cuba reiterated that the application of economic sanctions resulted in the Cuban people being deprived of access to technologies and their own potential development in the field of </w:t>
      </w:r>
      <w:r w:rsidR="006A2118" w:rsidRPr="006A2118">
        <w:rPr>
          <w:rFonts w:cs="Calibri"/>
          <w:szCs w:val="24"/>
        </w:rPr>
        <w:t xml:space="preserve">ICTs </w:t>
      </w:r>
      <w:r w:rsidRPr="00013F7D">
        <w:rPr>
          <w:rFonts w:cs="Calibri"/>
          <w:szCs w:val="24"/>
        </w:rPr>
        <w:t xml:space="preserve">and telecommunications. </w:t>
      </w:r>
    </w:p>
    <w:p w14:paraId="057D7F88" w14:textId="07CD9560" w:rsidR="00743146" w:rsidRPr="00013F7D" w:rsidRDefault="00743146" w:rsidP="006A2118">
      <w:pPr>
        <w:jc w:val="both"/>
      </w:pPr>
      <w:r w:rsidRPr="00013F7D">
        <w:t>5.7</w:t>
      </w:r>
      <w:r w:rsidRPr="00013F7D">
        <w:tab/>
        <w:t xml:space="preserve">The Council </w:t>
      </w:r>
      <w:r w:rsidRPr="00013F7D">
        <w:rPr>
          <w:b/>
          <w:bCs/>
        </w:rPr>
        <w:t>noted</w:t>
      </w:r>
      <w:r w:rsidRPr="00013F7D">
        <w:t xml:space="preserve"> the report in Document</w:t>
      </w:r>
      <w:r w:rsidR="0078123C" w:rsidRPr="00013F7D">
        <w:t> </w:t>
      </w:r>
      <w:r w:rsidRPr="00013F7D">
        <w:t xml:space="preserve">C25/33 and </w:t>
      </w:r>
      <w:r w:rsidRPr="00013F7D">
        <w:rPr>
          <w:b/>
          <w:bCs/>
        </w:rPr>
        <w:t>invited</w:t>
      </w:r>
      <w:r w:rsidRPr="00013F7D">
        <w:t xml:space="preserve"> Council Member States to submit any views in writing by midday Geneva time on Friday, 20</w:t>
      </w:r>
      <w:r w:rsidR="0078123C" w:rsidRPr="00013F7D">
        <w:t> </w:t>
      </w:r>
      <w:r w:rsidRPr="00013F7D">
        <w:t>June</w:t>
      </w:r>
      <w:r w:rsidR="0078123C" w:rsidRPr="00013F7D">
        <w:t> </w:t>
      </w:r>
      <w:r w:rsidRPr="00013F7D">
        <w:t>2025, with a view to transmitting the report to the United Nations Secretary</w:t>
      </w:r>
      <w:r w:rsidR="001E1CE1" w:rsidRPr="00013F7D">
        <w:noBreakHyphen/>
      </w:r>
      <w:r w:rsidRPr="00013F7D">
        <w:t>General, along with a compilation of the views of Council Member States and the related summary records, with a cover note.</w:t>
      </w:r>
    </w:p>
    <w:bookmarkEnd w:id="11"/>
    <w:p w14:paraId="3A924884" w14:textId="175D8C3B" w:rsidR="00743146" w:rsidRPr="00013F7D" w:rsidRDefault="00743146" w:rsidP="00743146">
      <w:pPr>
        <w:pStyle w:val="Heading1"/>
      </w:pPr>
      <w:r w:rsidRPr="00013F7D">
        <w:t>6</w:t>
      </w:r>
      <w:r w:rsidRPr="00013F7D">
        <w:tab/>
        <w:t>Report of the Chair of CWG</w:t>
      </w:r>
      <w:r w:rsidR="001E1CE1" w:rsidRPr="00013F7D">
        <w:noBreakHyphen/>
      </w:r>
      <w:r w:rsidRPr="00013F7D">
        <w:t>WSIS&amp;SDG on the outcomes of the 41</w:t>
      </w:r>
      <w:r w:rsidRPr="00013F7D">
        <w:rPr>
          <w:vertAlign w:val="superscript"/>
        </w:rPr>
        <w:t>st</w:t>
      </w:r>
      <w:r w:rsidRPr="00013F7D">
        <w:t xml:space="preserve"> and 42</w:t>
      </w:r>
      <w:r w:rsidRPr="00013F7D">
        <w:rPr>
          <w:vertAlign w:val="superscript"/>
        </w:rPr>
        <w:t>nd</w:t>
      </w:r>
      <w:r w:rsidRPr="00013F7D">
        <w:t xml:space="preserve"> meetings (Document </w:t>
      </w:r>
      <w:hyperlink r:id="rId23" w:history="1">
        <w:r w:rsidR="00A87CF9" w:rsidRPr="00013F7D">
          <w:rPr>
            <w:rStyle w:val="Hyperlink"/>
            <w:rFonts w:asciiTheme="minorHAnsi" w:hAnsiTheme="minorHAnsi" w:cstheme="minorHAnsi"/>
            <w:szCs w:val="24"/>
            <w:lang w:eastAsia="en-GB"/>
          </w:rPr>
          <w:t>C25/8</w:t>
        </w:r>
      </w:hyperlink>
      <w:r w:rsidRPr="00013F7D">
        <w:t>)</w:t>
      </w:r>
    </w:p>
    <w:p w14:paraId="18F4CE11" w14:textId="7B9CB4B4" w:rsidR="00743146" w:rsidRPr="00013F7D" w:rsidRDefault="00743146" w:rsidP="006A2118">
      <w:pPr>
        <w:jc w:val="both"/>
      </w:pPr>
      <w:r w:rsidRPr="00013F7D">
        <w:t>6.1</w:t>
      </w:r>
      <w:r w:rsidRPr="00013F7D">
        <w:tab/>
        <w:t>The Chair of the Council Working Group on the World Summit on the Information Society</w:t>
      </w:r>
      <w:r w:rsidR="009A4076" w:rsidRPr="00013F7D">
        <w:t xml:space="preserve"> (WSIS)</w:t>
      </w:r>
      <w:r w:rsidRPr="00013F7D">
        <w:t xml:space="preserve"> and Sustainable Development Goals (CWG</w:t>
      </w:r>
      <w:r w:rsidR="001E1CE1" w:rsidRPr="00013F7D">
        <w:noBreakHyphen/>
      </w:r>
      <w:r w:rsidRPr="00013F7D">
        <w:t>WSIS&amp;SDG) introduced the report in Document C25/8, summariz</w:t>
      </w:r>
      <w:r w:rsidR="00661415" w:rsidRPr="00013F7D">
        <w:t>ing</w:t>
      </w:r>
      <w:r w:rsidRPr="00013F7D">
        <w:t xml:space="preserve"> the main </w:t>
      </w:r>
      <w:r w:rsidR="00661415" w:rsidRPr="00013F7D">
        <w:t xml:space="preserve">outcomes </w:t>
      </w:r>
      <w:r w:rsidRPr="00013F7D">
        <w:t>of the group</w:t>
      </w:r>
      <w:r w:rsidR="00013F7D" w:rsidRPr="00013F7D">
        <w:t>'</w:t>
      </w:r>
      <w:r w:rsidRPr="00013F7D">
        <w:t>s 41</w:t>
      </w:r>
      <w:r w:rsidRPr="00013F7D">
        <w:rPr>
          <w:vertAlign w:val="superscript"/>
        </w:rPr>
        <w:t>st</w:t>
      </w:r>
      <w:r w:rsidRPr="00013F7D">
        <w:t xml:space="preserve"> and 42</w:t>
      </w:r>
      <w:r w:rsidRPr="00013F7D">
        <w:rPr>
          <w:vertAlign w:val="superscript"/>
        </w:rPr>
        <w:t>nd</w:t>
      </w:r>
      <w:r w:rsidRPr="00013F7D">
        <w:t xml:space="preserve"> meetings. </w:t>
      </w:r>
    </w:p>
    <w:p w14:paraId="02921B0D" w14:textId="3EF1D525" w:rsidR="00743146" w:rsidRPr="00013F7D" w:rsidRDefault="00743146" w:rsidP="00AA2857">
      <w:pPr>
        <w:jc w:val="both"/>
      </w:pPr>
      <w:r w:rsidRPr="00013F7D">
        <w:t>6.2</w:t>
      </w:r>
      <w:r w:rsidRPr="00013F7D">
        <w:tab/>
        <w:t>Many councillors express</w:t>
      </w:r>
      <w:r w:rsidR="00661415" w:rsidRPr="00013F7D">
        <w:t>ed</w:t>
      </w:r>
      <w:r w:rsidRPr="00013F7D">
        <w:t xml:space="preserve"> appreciation for the report and reaffirm</w:t>
      </w:r>
      <w:r w:rsidR="00661415" w:rsidRPr="00013F7D">
        <w:t>ed</w:t>
      </w:r>
      <w:r w:rsidRPr="00013F7D">
        <w:t xml:space="preserve"> their commitment to the WSIS process. </w:t>
      </w:r>
      <w:r w:rsidR="00661415" w:rsidRPr="00013F7D">
        <w:t>B</w:t>
      </w:r>
      <w:r w:rsidRPr="00013F7D">
        <w:t xml:space="preserve">road support </w:t>
      </w:r>
      <w:r w:rsidR="00661415" w:rsidRPr="00013F7D">
        <w:t xml:space="preserve">was voiced </w:t>
      </w:r>
      <w:r w:rsidRPr="00013F7D">
        <w:t>for it</w:t>
      </w:r>
      <w:r w:rsidR="00661415" w:rsidRPr="00013F7D">
        <w:t>s</w:t>
      </w:r>
      <w:r w:rsidRPr="00013F7D">
        <w:t xml:space="preserve"> continu</w:t>
      </w:r>
      <w:r w:rsidR="00661415" w:rsidRPr="00013F7D">
        <w:t>ation</w:t>
      </w:r>
      <w:r w:rsidRPr="00013F7D">
        <w:t xml:space="preserve"> beyond 2025. </w:t>
      </w:r>
      <w:r w:rsidR="00AA2857" w:rsidRPr="00AA2857">
        <w:t>Given the need for complementarity and the avoidance of duplication, it is important to align and integrate the objectives of the Global Digital Compact (GDC) and the Pact for the Future within the WSIS process—particularly with regard to AI and data governance. As prior discussions on these topics have been contentious, it would be unnecessarily burdensome to relitigate them.</w:t>
      </w:r>
    </w:p>
    <w:p w14:paraId="3A247007" w14:textId="41A5CE9A" w:rsidR="00743146" w:rsidRPr="00013F7D" w:rsidRDefault="00743146" w:rsidP="006A2118">
      <w:pPr>
        <w:jc w:val="both"/>
      </w:pPr>
      <w:r w:rsidRPr="00013F7D">
        <w:t>6.3</w:t>
      </w:r>
      <w:r w:rsidRPr="00013F7D">
        <w:tab/>
      </w:r>
      <w:r w:rsidR="00661415" w:rsidRPr="00013F7D">
        <w:t>O</w:t>
      </w:r>
      <w:r w:rsidRPr="00013F7D">
        <w:t xml:space="preserve">ne councillor recalled that her country had disassociated itself from the Pact of the Future and its annexes at adoption. </w:t>
      </w:r>
      <w:r w:rsidR="008478A0" w:rsidRPr="00013F7D">
        <w:t>I</w:t>
      </w:r>
      <w:r w:rsidRPr="00013F7D">
        <w:t>t view</w:t>
      </w:r>
      <w:r w:rsidR="008478A0" w:rsidRPr="00013F7D">
        <w:t>ed</w:t>
      </w:r>
      <w:r w:rsidRPr="00013F7D">
        <w:t xml:space="preserve"> the 2030 Agenda for Sustainable Development </w:t>
      </w:r>
      <w:r w:rsidR="008478A0" w:rsidRPr="00013F7D">
        <w:lastRenderedPageBreak/>
        <w:t xml:space="preserve">as </w:t>
      </w:r>
      <w:r w:rsidRPr="00013F7D">
        <w:t>legally non</w:t>
      </w:r>
      <w:r w:rsidR="00D402E1" w:rsidRPr="00013F7D">
        <w:t>-</w:t>
      </w:r>
      <w:r w:rsidRPr="00013F7D">
        <w:t xml:space="preserve">binding aspirations </w:t>
      </w:r>
      <w:r w:rsidR="008478A0" w:rsidRPr="00013F7D">
        <w:t>subject to national interpretation</w:t>
      </w:r>
      <w:r w:rsidRPr="00013F7D">
        <w:t xml:space="preserve">. Her </w:t>
      </w:r>
      <w:proofErr w:type="gramStart"/>
      <w:r w:rsidRPr="00013F7D">
        <w:t>country maintained</w:t>
      </w:r>
      <w:proofErr w:type="gramEnd"/>
      <w:r w:rsidRPr="00013F7D">
        <w:t xml:space="preserve"> reservations </w:t>
      </w:r>
      <w:r w:rsidR="008478A0" w:rsidRPr="00013F7D">
        <w:t>concerning</w:t>
      </w:r>
      <w:r w:rsidRPr="00013F7D">
        <w:t xml:space="preserve"> references to the 2030 Agenda, United Nations Sustainable Development Goals (SDGs), Pact for the Future and GDC.</w:t>
      </w:r>
    </w:p>
    <w:p w14:paraId="22EAA021" w14:textId="20145DA5" w:rsidR="00743146" w:rsidRPr="00013F7D" w:rsidRDefault="00743146" w:rsidP="006A2118">
      <w:pPr>
        <w:jc w:val="both"/>
      </w:pPr>
      <w:r w:rsidRPr="00013F7D">
        <w:t>6.4</w:t>
      </w:r>
      <w:r w:rsidRPr="00013F7D">
        <w:tab/>
      </w:r>
      <w:r w:rsidR="008478A0" w:rsidRPr="00013F7D">
        <w:t xml:space="preserve">Another </w:t>
      </w:r>
      <w:r w:rsidRPr="00013F7D">
        <w:t>councillor said that contributions f</w:t>
      </w:r>
      <w:r w:rsidR="008478A0" w:rsidRPr="00013F7D">
        <w:t>rom</w:t>
      </w:r>
      <w:r w:rsidRPr="00013F7D">
        <w:t xml:space="preserve"> all stakeholders should </w:t>
      </w:r>
      <w:r w:rsidR="008478A0" w:rsidRPr="00013F7D">
        <w:t>inform</w:t>
      </w:r>
      <w:r w:rsidRPr="00013F7D">
        <w:t xml:space="preserve"> the WSIS+20 review process. WSIS</w:t>
      </w:r>
      <w:r w:rsidR="008478A0" w:rsidRPr="00013F7D">
        <w:t>,</w:t>
      </w:r>
      <w:r w:rsidRPr="00013F7D">
        <w:t xml:space="preserve"> </w:t>
      </w:r>
      <w:r w:rsidR="008478A0" w:rsidRPr="00013F7D">
        <w:t>with</w:t>
      </w:r>
      <w:r w:rsidRPr="00013F7D">
        <w:t xml:space="preserve"> its unique mandate and process, </w:t>
      </w:r>
      <w:r w:rsidR="008478A0" w:rsidRPr="00013F7D">
        <w:t xml:space="preserve">should remain distinct from </w:t>
      </w:r>
      <w:r w:rsidRPr="00013F7D">
        <w:t>other mechanism</w:t>
      </w:r>
      <w:r w:rsidR="008478A0" w:rsidRPr="00013F7D">
        <w:t>s</w:t>
      </w:r>
      <w:r w:rsidRPr="00013F7D">
        <w:t xml:space="preserve">. </w:t>
      </w:r>
      <w:r w:rsidR="008478A0" w:rsidRPr="00013F7D">
        <w:t>T</w:t>
      </w:r>
      <w:r w:rsidRPr="00013F7D">
        <w:t>he WSIS action lines</w:t>
      </w:r>
      <w:r w:rsidR="008478A0" w:rsidRPr="00013F7D">
        <w:t>, designed to be technology neutral,</w:t>
      </w:r>
      <w:r w:rsidRPr="00013F7D">
        <w:t xml:space="preserve"> remained </w:t>
      </w:r>
      <w:r w:rsidR="008478A0" w:rsidRPr="00013F7D">
        <w:t>valid in the face of new and emerging technologies</w:t>
      </w:r>
      <w:r w:rsidRPr="00013F7D">
        <w:t xml:space="preserve"> and should not be reopened. His country </w:t>
      </w:r>
      <w:r w:rsidR="008478A0" w:rsidRPr="00013F7D">
        <w:t xml:space="preserve">supported making </w:t>
      </w:r>
      <w:r w:rsidRPr="00013F7D">
        <w:t xml:space="preserve">the mandate of the Internet Governance Forum permanent and </w:t>
      </w:r>
      <w:r w:rsidR="00D002CE" w:rsidRPr="00013F7D">
        <w:t>implementing</w:t>
      </w:r>
      <w:r w:rsidR="008478A0" w:rsidRPr="00013F7D">
        <w:t xml:space="preserve"> </w:t>
      </w:r>
      <w:r w:rsidRPr="00013F7D">
        <w:t>the</w:t>
      </w:r>
      <w:r w:rsidR="008478A0" w:rsidRPr="00013F7D">
        <w:t xml:space="preserve"> broadly supported</w:t>
      </w:r>
      <w:r w:rsidRPr="00013F7D">
        <w:t xml:space="preserve"> São Paulo Multistakeholder Guidelines.</w:t>
      </w:r>
    </w:p>
    <w:p w14:paraId="1E0DC577" w14:textId="2378AF4A" w:rsidR="00743146" w:rsidRPr="00013F7D" w:rsidRDefault="00743146" w:rsidP="006A2118">
      <w:pPr>
        <w:jc w:val="both"/>
      </w:pPr>
      <w:r w:rsidRPr="00013F7D">
        <w:t>6.5</w:t>
      </w:r>
      <w:r w:rsidRPr="00013F7D">
        <w:tab/>
        <w:t>One councillor called for str</w:t>
      </w:r>
      <w:r w:rsidR="00D002CE" w:rsidRPr="00013F7D">
        <w:t>onger regional</w:t>
      </w:r>
      <w:r w:rsidRPr="00013F7D">
        <w:t xml:space="preserve"> implementation of WSIS </w:t>
      </w:r>
      <w:r w:rsidR="00D002CE" w:rsidRPr="00013F7D">
        <w:t>action lines</w:t>
      </w:r>
      <w:r w:rsidRPr="00013F7D">
        <w:t xml:space="preserve"> through tailored initiatives address</w:t>
      </w:r>
      <w:r w:rsidR="00D002CE" w:rsidRPr="00013F7D">
        <w:t xml:space="preserve">ing </w:t>
      </w:r>
      <w:r w:rsidRPr="00013F7D">
        <w:t xml:space="preserve">the </w:t>
      </w:r>
      <w:r w:rsidR="00D002CE" w:rsidRPr="00013F7D">
        <w:t>specific needs</w:t>
      </w:r>
      <w:r w:rsidRPr="00013F7D">
        <w:t xml:space="preserve"> of different </w:t>
      </w:r>
      <w:r w:rsidR="00D002CE" w:rsidRPr="00013F7D">
        <w:t xml:space="preserve">regions in support of </w:t>
      </w:r>
      <w:r w:rsidRPr="00013F7D">
        <w:t xml:space="preserve">digital transformation and sustainable development. </w:t>
      </w:r>
    </w:p>
    <w:p w14:paraId="115D37E8" w14:textId="42272960" w:rsidR="00743146" w:rsidRPr="00013F7D" w:rsidRDefault="00743146" w:rsidP="006A2118">
      <w:pPr>
        <w:jc w:val="both"/>
      </w:pPr>
      <w:r w:rsidRPr="00013F7D">
        <w:t>6.6</w:t>
      </w:r>
      <w:r w:rsidRPr="00013F7D">
        <w:tab/>
        <w:t xml:space="preserve">The Council </w:t>
      </w:r>
      <w:r w:rsidRPr="00013F7D">
        <w:rPr>
          <w:b/>
          <w:bCs/>
        </w:rPr>
        <w:t xml:space="preserve">noted </w:t>
      </w:r>
      <w:r w:rsidRPr="00013F7D">
        <w:t>the report contained in Document</w:t>
      </w:r>
      <w:r w:rsidR="00D402E1" w:rsidRPr="00013F7D">
        <w:t> </w:t>
      </w:r>
      <w:r w:rsidRPr="00013F7D">
        <w:t>C25/8.</w:t>
      </w:r>
    </w:p>
    <w:p w14:paraId="4036724F" w14:textId="4E6CB034" w:rsidR="00743146" w:rsidRPr="00013F7D" w:rsidRDefault="00743146" w:rsidP="00692FAC">
      <w:pPr>
        <w:pStyle w:val="Heading1"/>
      </w:pPr>
      <w:r w:rsidRPr="00013F7D">
        <w:t>7</w:t>
      </w:r>
      <w:r w:rsidRPr="00013F7D">
        <w:tab/>
        <w:t xml:space="preserve">WSIS+20 </w:t>
      </w:r>
      <w:r w:rsidR="00ED59D6">
        <w:t>r</w:t>
      </w:r>
      <w:r w:rsidRPr="00013F7D">
        <w:t>eport on ITU</w:t>
      </w:r>
      <w:r w:rsidR="00013F7D" w:rsidRPr="00013F7D">
        <w:t>'</w:t>
      </w:r>
      <w:r w:rsidRPr="00013F7D">
        <w:t>s contribution to the implementation of and follow</w:t>
      </w:r>
      <w:r w:rsidR="00D402E1" w:rsidRPr="00013F7D">
        <w:t>-</w:t>
      </w:r>
      <w:r w:rsidRPr="00013F7D">
        <w:t>up to the WSIS outcomes and its role in achieving the SDGs (Documents</w:t>
      </w:r>
      <w:r w:rsidR="00D402E1" w:rsidRPr="00013F7D">
        <w:t> </w:t>
      </w:r>
      <w:hyperlink r:id="rId24" w:history="1">
        <w:r w:rsidRPr="00013F7D">
          <w:rPr>
            <w:rStyle w:val="Hyperlink"/>
          </w:rPr>
          <w:t>C25/61</w:t>
        </w:r>
      </w:hyperlink>
      <w:r w:rsidRPr="00013F7D">
        <w:t xml:space="preserve">, </w:t>
      </w:r>
      <w:hyperlink r:id="rId25" w:history="1">
        <w:r w:rsidRPr="00013F7D">
          <w:rPr>
            <w:rStyle w:val="Hyperlink"/>
          </w:rPr>
          <w:t>C25/80</w:t>
        </w:r>
      </w:hyperlink>
      <w:r w:rsidRPr="00013F7D">
        <w:t>)</w:t>
      </w:r>
    </w:p>
    <w:p w14:paraId="03CC0EEE" w14:textId="53B19645" w:rsidR="00743146" w:rsidRPr="00013F7D" w:rsidRDefault="00743146" w:rsidP="006A2118">
      <w:pPr>
        <w:jc w:val="both"/>
      </w:pPr>
      <w:r w:rsidRPr="00013F7D">
        <w:t>7.1</w:t>
      </w:r>
      <w:r w:rsidRPr="00013F7D">
        <w:tab/>
        <w:t xml:space="preserve">The Chief of the </w:t>
      </w:r>
      <w:r w:rsidR="00D002CE" w:rsidRPr="00013F7D">
        <w:t>Strategic Planning and Membership</w:t>
      </w:r>
      <w:r w:rsidRPr="00013F7D">
        <w:t xml:space="preserve"> Department introduced the report in Document</w:t>
      </w:r>
      <w:r w:rsidR="00D402E1" w:rsidRPr="00013F7D">
        <w:t> </w:t>
      </w:r>
      <w:r w:rsidRPr="00013F7D">
        <w:t>C25/61, which incorporated guidance</w:t>
      </w:r>
      <w:r w:rsidR="00D002CE" w:rsidRPr="00013F7D">
        <w:t xml:space="preserve"> and</w:t>
      </w:r>
      <w:r w:rsidRPr="00013F7D">
        <w:t xml:space="preserve"> input </w:t>
      </w:r>
      <w:r w:rsidR="00D002CE" w:rsidRPr="00013F7D">
        <w:t>from</w:t>
      </w:r>
      <w:r w:rsidRPr="00013F7D">
        <w:t xml:space="preserve"> the 2024 meetings of the Council and CWG</w:t>
      </w:r>
      <w:r w:rsidR="001E1CE1" w:rsidRPr="00013F7D">
        <w:noBreakHyphen/>
      </w:r>
      <w:r w:rsidRPr="00013F7D">
        <w:t xml:space="preserve">WSIS&amp;SDG. </w:t>
      </w:r>
      <w:r w:rsidR="00D002CE" w:rsidRPr="00013F7D">
        <w:t>O</w:t>
      </w:r>
      <w:r w:rsidRPr="00013F7D">
        <w:t>utcomes of the WSIS+20 High</w:t>
      </w:r>
      <w:r w:rsidR="00D402E1" w:rsidRPr="00013F7D">
        <w:t>-</w:t>
      </w:r>
      <w:r w:rsidRPr="00013F7D">
        <w:t>Level Event to be held in July 2025 and a summary of submissions from the ITU call for input on the WSIS+20 review</w:t>
      </w:r>
      <w:r w:rsidR="00D002CE" w:rsidRPr="00013F7D">
        <w:t xml:space="preserve"> could be incorporated into the report</w:t>
      </w:r>
      <w:r w:rsidRPr="00013F7D">
        <w:t>. The WSIS+20 review by the United Nations General Assembly in December</w:t>
      </w:r>
      <w:r w:rsidR="00D402E1" w:rsidRPr="00013F7D">
        <w:t> </w:t>
      </w:r>
      <w:r w:rsidRPr="00013F7D">
        <w:t xml:space="preserve">2025 would provide an opportunity to assess progress, identify challenges and strengthen collaboration. </w:t>
      </w:r>
    </w:p>
    <w:p w14:paraId="466565DA" w14:textId="0D3171B9" w:rsidR="00743146" w:rsidRPr="00013F7D" w:rsidRDefault="00743146" w:rsidP="006A2118">
      <w:pPr>
        <w:jc w:val="both"/>
      </w:pPr>
      <w:r w:rsidRPr="00013F7D">
        <w:t>7.2</w:t>
      </w:r>
      <w:r w:rsidRPr="00013F7D">
        <w:tab/>
        <w:t>The observer f</w:t>
      </w:r>
      <w:r w:rsidR="00017E6F" w:rsidRPr="00013F7D">
        <w:t>or</w:t>
      </w:r>
      <w:r w:rsidRPr="00013F7D">
        <w:t xml:space="preserve"> the Russian Federation</w:t>
      </w:r>
      <w:r w:rsidR="00D87898" w:rsidRPr="00013F7D">
        <w:t xml:space="preserve"> introduced Document C25/80 and </w:t>
      </w:r>
      <w:r w:rsidRPr="00013F7D">
        <w:t xml:space="preserve">invited </w:t>
      </w:r>
      <w:r w:rsidR="00D87898" w:rsidRPr="00013F7D">
        <w:t xml:space="preserve">councillors </w:t>
      </w:r>
      <w:r w:rsidRPr="00013F7D">
        <w:t xml:space="preserve">to consider the proposals contained </w:t>
      </w:r>
      <w:r w:rsidR="00D87898" w:rsidRPr="00013F7D">
        <w:t>there</w:t>
      </w:r>
      <w:r w:rsidRPr="00013F7D">
        <w:t xml:space="preserve">in </w:t>
      </w:r>
      <w:r w:rsidR="00017E6F" w:rsidRPr="00013F7D">
        <w:t xml:space="preserve">for </w:t>
      </w:r>
      <w:r w:rsidRPr="00013F7D">
        <w:t>the WSIS</w:t>
      </w:r>
      <w:r w:rsidR="00017E6F" w:rsidRPr="00013F7D">
        <w:t xml:space="preserve"> process</w:t>
      </w:r>
      <w:r w:rsidRPr="00013F7D">
        <w:t xml:space="preserve"> beyond 2025.</w:t>
      </w:r>
    </w:p>
    <w:p w14:paraId="3B01282C" w14:textId="1E644725" w:rsidR="00743146" w:rsidRPr="00013F7D" w:rsidRDefault="00743146" w:rsidP="006A2118">
      <w:pPr>
        <w:jc w:val="both"/>
      </w:pPr>
      <w:r w:rsidRPr="00013F7D">
        <w:t>7.3</w:t>
      </w:r>
      <w:r w:rsidRPr="00013F7D">
        <w:tab/>
        <w:t>Many councillors welcome</w:t>
      </w:r>
      <w:r w:rsidR="00017E6F" w:rsidRPr="00013F7D">
        <w:t>d</w:t>
      </w:r>
      <w:r w:rsidRPr="00013F7D">
        <w:t xml:space="preserve"> the report and express</w:t>
      </w:r>
      <w:r w:rsidR="00017E6F" w:rsidRPr="00013F7D">
        <w:t>ed</w:t>
      </w:r>
      <w:r w:rsidRPr="00013F7D">
        <w:t xml:space="preserve"> their support for the WSIS process and the contribution of ITU to achieving the SDGs. They looked forward to the WSIS+20 High</w:t>
      </w:r>
      <w:r w:rsidR="001E1CE1" w:rsidRPr="00013F7D">
        <w:noBreakHyphen/>
      </w:r>
      <w:r w:rsidRPr="00013F7D">
        <w:t>Level Event to be held in July</w:t>
      </w:r>
      <w:r w:rsidR="00D402E1" w:rsidRPr="00013F7D">
        <w:t> </w:t>
      </w:r>
      <w:r w:rsidRPr="00013F7D">
        <w:t>2025 and encouraged all stakeholders to participate. The WSIS action lines provided a s</w:t>
      </w:r>
      <w:r w:rsidR="00017E6F" w:rsidRPr="00013F7D">
        <w:t>trong</w:t>
      </w:r>
      <w:r w:rsidRPr="00013F7D">
        <w:t xml:space="preserve"> framework for discussion o</w:t>
      </w:r>
      <w:r w:rsidR="00017E6F" w:rsidRPr="00013F7D">
        <w:t>f</w:t>
      </w:r>
      <w:r w:rsidRPr="00013F7D">
        <w:t xml:space="preserve"> digital governance</w:t>
      </w:r>
      <w:r w:rsidR="00017E6F" w:rsidRPr="00013F7D">
        <w:t>,</w:t>
      </w:r>
      <w:r w:rsidRPr="00013F7D">
        <w:t xml:space="preserve"> and the multistakeholder mechanisms successfully established under WSIS should be strengthened. </w:t>
      </w:r>
      <w:r w:rsidR="00017E6F" w:rsidRPr="00013F7D">
        <w:t xml:space="preserve">One councillor stressed the importance of </w:t>
      </w:r>
      <w:r w:rsidR="00D402E1" w:rsidRPr="00013F7D">
        <w:t xml:space="preserve">the </w:t>
      </w:r>
      <w:r w:rsidRPr="00013F7D">
        <w:t>framework</w:t>
      </w:r>
      <w:r w:rsidR="00017E6F" w:rsidRPr="00013F7D">
        <w:t xml:space="preserve"> to developing countries and the global South</w:t>
      </w:r>
      <w:r w:rsidRPr="00013F7D">
        <w:t xml:space="preserve">, </w:t>
      </w:r>
      <w:r w:rsidR="00017E6F" w:rsidRPr="00013F7D">
        <w:t xml:space="preserve">especially in </w:t>
      </w:r>
      <w:r w:rsidRPr="00013F7D">
        <w:t xml:space="preserve">facilitating access to emerging technologies. </w:t>
      </w:r>
      <w:r w:rsidR="00017E6F" w:rsidRPr="00013F7D">
        <w:t xml:space="preserve">Another councillor </w:t>
      </w:r>
      <w:r w:rsidRPr="00013F7D">
        <w:t xml:space="preserve">called for the WSIS+20 review process to focus on </w:t>
      </w:r>
      <w:r w:rsidR="00017E6F" w:rsidRPr="00013F7D">
        <w:t xml:space="preserve">outstanding </w:t>
      </w:r>
      <w:r w:rsidRPr="00013F7D">
        <w:t>WSIS deliverables</w:t>
      </w:r>
      <w:r w:rsidR="00017E6F" w:rsidRPr="00013F7D">
        <w:t>, while t</w:t>
      </w:r>
      <w:r w:rsidRPr="00013F7D">
        <w:t xml:space="preserve">wo </w:t>
      </w:r>
      <w:r w:rsidR="00017E6F" w:rsidRPr="00013F7D">
        <w:t>others emphasized</w:t>
      </w:r>
      <w:r w:rsidRPr="00013F7D">
        <w:t xml:space="preserve"> </w:t>
      </w:r>
      <w:r w:rsidR="00C755A6" w:rsidRPr="00013F7D">
        <w:t xml:space="preserve">the need to </w:t>
      </w:r>
      <w:r w:rsidRPr="00013F7D">
        <w:t xml:space="preserve">avoid duplication in WSIS processes, particularly in relation to the GDC, </w:t>
      </w:r>
      <w:r w:rsidR="009B0289" w:rsidRPr="00013F7D">
        <w:t>while ensuring</w:t>
      </w:r>
      <w:r w:rsidRPr="00013F7D">
        <w:t xml:space="preserve"> complementarity.</w:t>
      </w:r>
    </w:p>
    <w:p w14:paraId="5B81192B" w14:textId="3EA79D83" w:rsidR="00743146" w:rsidRPr="00013F7D" w:rsidRDefault="00743146" w:rsidP="006A2118">
      <w:pPr>
        <w:jc w:val="both"/>
      </w:pPr>
      <w:r w:rsidRPr="00013F7D">
        <w:t>7.4</w:t>
      </w:r>
      <w:r w:rsidRPr="00013F7D">
        <w:tab/>
        <w:t>Several councillors expressed their support for the proposal</w:t>
      </w:r>
      <w:r w:rsidR="0077398F" w:rsidRPr="00013F7D">
        <w:t>s</w:t>
      </w:r>
      <w:r w:rsidRPr="00013F7D">
        <w:t xml:space="preserve"> contained in Document</w:t>
      </w:r>
      <w:r w:rsidR="00401FB5" w:rsidRPr="00013F7D">
        <w:t> </w:t>
      </w:r>
      <w:r w:rsidRPr="00013F7D">
        <w:t>C25/80</w:t>
      </w:r>
      <w:r w:rsidR="00017E6F" w:rsidRPr="00013F7D">
        <w:t xml:space="preserve"> on the WSIS process beyond 2025; h</w:t>
      </w:r>
      <w:r w:rsidRPr="00013F7D">
        <w:t>owever, a number of councillors, while in favour of continu</w:t>
      </w:r>
      <w:r w:rsidR="0077398F" w:rsidRPr="00013F7D">
        <w:t>ing</w:t>
      </w:r>
      <w:r w:rsidRPr="00013F7D">
        <w:t xml:space="preserve"> the process</w:t>
      </w:r>
      <w:r w:rsidR="00776294" w:rsidRPr="00013F7D">
        <w:t>,</w:t>
      </w:r>
      <w:r w:rsidRPr="00013F7D">
        <w:t xml:space="preserve"> </w:t>
      </w:r>
      <w:r w:rsidR="00776294" w:rsidRPr="00013F7D">
        <w:t>said</w:t>
      </w:r>
      <w:r w:rsidRPr="00013F7D">
        <w:t xml:space="preserve"> that </w:t>
      </w:r>
      <w:r w:rsidR="0077398F" w:rsidRPr="00013F7D">
        <w:t>the Council</w:t>
      </w:r>
      <w:r w:rsidRPr="00013F7D">
        <w:t xml:space="preserve"> </w:t>
      </w:r>
      <w:r w:rsidR="00776294" w:rsidRPr="00013F7D">
        <w:t xml:space="preserve">should await </w:t>
      </w:r>
      <w:r w:rsidRPr="00013F7D">
        <w:t>the</w:t>
      </w:r>
      <w:r w:rsidR="00776294" w:rsidRPr="00013F7D">
        <w:t xml:space="preserve"> outcome of the</w:t>
      </w:r>
      <w:r w:rsidRPr="00013F7D">
        <w:t xml:space="preserve"> United Nations General Assembly high</w:t>
      </w:r>
      <w:r w:rsidR="00401FB5" w:rsidRPr="00013F7D">
        <w:t>-</w:t>
      </w:r>
      <w:r w:rsidRPr="00013F7D">
        <w:t>level meeting on the WSIS+20 review, scheduled to take place on 16</w:t>
      </w:r>
      <w:r w:rsidR="001E1CE1" w:rsidRPr="00013F7D">
        <w:noBreakHyphen/>
      </w:r>
      <w:r w:rsidRPr="00013F7D">
        <w:t>17</w:t>
      </w:r>
      <w:r w:rsidR="00401FB5" w:rsidRPr="00013F7D">
        <w:t> </w:t>
      </w:r>
      <w:r w:rsidRPr="00013F7D">
        <w:t>December</w:t>
      </w:r>
      <w:r w:rsidR="00401FB5" w:rsidRPr="00013F7D">
        <w:t> </w:t>
      </w:r>
      <w:r w:rsidRPr="00013F7D">
        <w:t>2025</w:t>
      </w:r>
      <w:r w:rsidR="00776294" w:rsidRPr="00013F7D">
        <w:t xml:space="preserve">, </w:t>
      </w:r>
      <w:r w:rsidR="0077398F" w:rsidRPr="00013F7D">
        <w:t xml:space="preserve">before </w:t>
      </w:r>
      <w:r w:rsidR="0077398F" w:rsidRPr="00737E3B">
        <w:t>taking a decision</w:t>
      </w:r>
      <w:r w:rsidRPr="00013F7D">
        <w:t xml:space="preserve">. </w:t>
      </w:r>
    </w:p>
    <w:p w14:paraId="02AF5C45" w14:textId="0F45E3CF" w:rsidR="00743146" w:rsidRPr="00013F7D" w:rsidRDefault="00743146" w:rsidP="006A2118">
      <w:pPr>
        <w:jc w:val="both"/>
      </w:pPr>
      <w:r w:rsidRPr="00013F7D">
        <w:lastRenderedPageBreak/>
        <w:t>7.</w:t>
      </w:r>
      <w:r w:rsidR="00D402E1" w:rsidRPr="00013F7D">
        <w:t>5</w:t>
      </w:r>
      <w:r w:rsidRPr="00013F7D">
        <w:tab/>
        <w:t xml:space="preserve">The Council </w:t>
      </w:r>
      <w:r w:rsidRPr="00013F7D">
        <w:rPr>
          <w:b/>
          <w:bCs/>
        </w:rPr>
        <w:t xml:space="preserve">noted </w:t>
      </w:r>
      <w:r w:rsidRPr="00013F7D">
        <w:t>the report contained in Document</w:t>
      </w:r>
      <w:r w:rsidR="00401FB5" w:rsidRPr="00013F7D">
        <w:t> </w:t>
      </w:r>
      <w:r w:rsidRPr="00013F7D">
        <w:t xml:space="preserve">C25/61 and </w:t>
      </w:r>
      <w:r w:rsidRPr="00013F7D">
        <w:rPr>
          <w:b/>
          <w:bCs/>
        </w:rPr>
        <w:t xml:space="preserve">agreed </w:t>
      </w:r>
      <w:r w:rsidRPr="00013F7D">
        <w:t>to postpone consideration of the proposals contained in Document</w:t>
      </w:r>
      <w:r w:rsidR="00401FB5" w:rsidRPr="00013F7D">
        <w:t> </w:t>
      </w:r>
      <w:r w:rsidRPr="00013F7D">
        <w:t xml:space="preserve">C25/80 until after the </w:t>
      </w:r>
      <w:r w:rsidR="00776294" w:rsidRPr="00013F7D">
        <w:t>United Nations General Assembly high</w:t>
      </w:r>
      <w:r w:rsidR="00401FB5" w:rsidRPr="00013F7D">
        <w:t>-</w:t>
      </w:r>
      <w:r w:rsidR="00776294" w:rsidRPr="00013F7D">
        <w:t>level meeting on the WSIS+20 review</w:t>
      </w:r>
      <w:r w:rsidRPr="00013F7D">
        <w:t>.</w:t>
      </w:r>
    </w:p>
    <w:p w14:paraId="0297F6B7" w14:textId="77777777" w:rsidR="00743146" w:rsidRPr="00013F7D" w:rsidRDefault="00743146" w:rsidP="00692FAC">
      <w:pPr>
        <w:pStyle w:val="Heading1"/>
      </w:pPr>
      <w:r w:rsidRPr="00013F7D">
        <w:t>8</w:t>
      </w:r>
      <w:r w:rsidRPr="00013F7D">
        <w:tab/>
        <w:t>Condolences on the passing of Nigel Hickson</w:t>
      </w:r>
    </w:p>
    <w:p w14:paraId="1AE06981" w14:textId="074135D3" w:rsidR="00743146" w:rsidRPr="00013F7D" w:rsidRDefault="00743146" w:rsidP="006A2118">
      <w:pPr>
        <w:jc w:val="both"/>
      </w:pPr>
      <w:r w:rsidRPr="00013F7D">
        <w:t>8.1</w:t>
      </w:r>
      <w:r w:rsidRPr="00013F7D">
        <w:tab/>
        <w:t>The Chair of CWG</w:t>
      </w:r>
      <w:r w:rsidR="001E1CE1" w:rsidRPr="00013F7D">
        <w:noBreakHyphen/>
      </w:r>
      <w:r w:rsidRPr="00013F7D">
        <w:t xml:space="preserve">Internet said that the working group had suffered a great loss with the passing of its </w:t>
      </w:r>
      <w:r w:rsidR="00353707" w:rsidRPr="00013F7D">
        <w:t>v</w:t>
      </w:r>
      <w:r w:rsidRPr="00013F7D">
        <w:t>ice</w:t>
      </w:r>
      <w:r w:rsidR="001E1CE1" w:rsidRPr="00013F7D">
        <w:noBreakHyphen/>
      </w:r>
      <w:r w:rsidR="00353707" w:rsidRPr="00013F7D">
        <w:t>c</w:t>
      </w:r>
      <w:r w:rsidRPr="00013F7D">
        <w:t xml:space="preserve">hair from the </w:t>
      </w:r>
      <w:r w:rsidR="00FF6CA2" w:rsidRPr="00013F7D">
        <w:t xml:space="preserve">Europe </w:t>
      </w:r>
      <w:r w:rsidRPr="00013F7D">
        <w:t>region, Mr</w:t>
      </w:r>
      <w:r w:rsidR="00401FB5" w:rsidRPr="00013F7D">
        <w:t> </w:t>
      </w:r>
      <w:r w:rsidRPr="00013F7D">
        <w:t>Nigel Hickson, a committed professional on global Internet governance whose presence and voice in the Internet community would be deeply missed.</w:t>
      </w:r>
    </w:p>
    <w:p w14:paraId="56C97E17" w14:textId="77777777" w:rsidR="00743146" w:rsidRPr="00013F7D" w:rsidRDefault="00743146" w:rsidP="006A2118">
      <w:pPr>
        <w:jc w:val="both"/>
      </w:pPr>
      <w:r w:rsidRPr="00013F7D">
        <w:t>8.2</w:t>
      </w:r>
      <w:r w:rsidRPr="00013F7D">
        <w:tab/>
        <w:t xml:space="preserve">The Chair of the Council was joined by several councillors and one observer in expressing condolences to the Administration of the United Kingdom. </w:t>
      </w:r>
    </w:p>
    <w:p w14:paraId="4254076A" w14:textId="55719121" w:rsidR="00743146" w:rsidRPr="00013F7D" w:rsidRDefault="00743146" w:rsidP="006A2118">
      <w:pPr>
        <w:jc w:val="both"/>
      </w:pPr>
      <w:r w:rsidRPr="00013F7D">
        <w:t>8.3</w:t>
      </w:r>
      <w:r w:rsidRPr="00013F7D">
        <w:tab/>
        <w:t>The Secretary</w:t>
      </w:r>
      <w:r w:rsidR="001E1CE1" w:rsidRPr="00013F7D">
        <w:noBreakHyphen/>
      </w:r>
      <w:r w:rsidRPr="00013F7D">
        <w:t>General also expressed heartfelt condolences to Nigel Hickson</w:t>
      </w:r>
      <w:r w:rsidR="00013F7D" w:rsidRPr="00013F7D">
        <w:t>'</w:t>
      </w:r>
      <w:r w:rsidRPr="00013F7D">
        <w:t>s family and friends. She was honoured to have worked alongside him for many years and knew that he would be remembered with deep respect and gratitude.</w:t>
      </w:r>
    </w:p>
    <w:p w14:paraId="1020C14A" w14:textId="77777777" w:rsidR="00743146" w:rsidRPr="00013F7D" w:rsidRDefault="00743146" w:rsidP="006A2118">
      <w:pPr>
        <w:jc w:val="both"/>
      </w:pPr>
      <w:r w:rsidRPr="00013F7D">
        <w:t>8.4</w:t>
      </w:r>
      <w:r w:rsidRPr="00013F7D">
        <w:tab/>
        <w:t>The councillor from the United Kingdom thanked councillors for their condolences on the passing of Nigel Hickson, who would be greatly missed by colleagues and friends around the world.</w:t>
      </w:r>
    </w:p>
    <w:p w14:paraId="537F141E" w14:textId="6BBA86EA" w:rsidR="00743146" w:rsidRPr="00013F7D" w:rsidRDefault="00743146" w:rsidP="00692FAC">
      <w:pPr>
        <w:pStyle w:val="Heading1"/>
      </w:pPr>
      <w:r w:rsidRPr="00013F7D">
        <w:t>9</w:t>
      </w:r>
      <w:r w:rsidRPr="00013F7D">
        <w:tab/>
      </w:r>
      <w:r w:rsidR="00972588" w:rsidRPr="00013F7D">
        <w:t xml:space="preserve">Statements </w:t>
      </w:r>
      <w:r w:rsidRPr="00013F7D">
        <w:t>by councillors</w:t>
      </w:r>
    </w:p>
    <w:p w14:paraId="4D339EE9" w14:textId="340B3706" w:rsidR="00743146" w:rsidRPr="00013F7D" w:rsidRDefault="00743146" w:rsidP="006A2118">
      <w:pPr>
        <w:jc w:val="both"/>
      </w:pPr>
      <w:r w:rsidRPr="00013F7D">
        <w:t>9.1</w:t>
      </w:r>
      <w:r w:rsidRPr="00013F7D">
        <w:tab/>
        <w:t>The councillor</w:t>
      </w:r>
      <w:r w:rsidR="00E96479" w:rsidRPr="00013F7D">
        <w:t>s</w:t>
      </w:r>
      <w:r w:rsidRPr="00013F7D">
        <w:t xml:space="preserve"> from </w:t>
      </w:r>
      <w:r w:rsidR="00E205CB" w:rsidRPr="00013F7D">
        <w:t>Australia</w:t>
      </w:r>
      <w:r w:rsidR="001E0B08" w:rsidRPr="00013F7D">
        <w:t xml:space="preserve"> and</w:t>
      </w:r>
      <w:r w:rsidR="00E205CB" w:rsidRPr="00013F7D">
        <w:t xml:space="preserve"> </w:t>
      </w:r>
      <w:r w:rsidRPr="00013F7D">
        <w:t>Brazil announced the</w:t>
      </w:r>
      <w:r w:rsidR="001E0B08" w:rsidRPr="00013F7D">
        <w:t>ir countries</w:t>
      </w:r>
      <w:r w:rsidR="00013F7D" w:rsidRPr="00013F7D">
        <w:t>'</w:t>
      </w:r>
      <w:r w:rsidRPr="00013F7D">
        <w:t xml:space="preserve"> candidacy f</w:t>
      </w:r>
      <w:r w:rsidR="001E0B08" w:rsidRPr="00013F7D">
        <w:t>or</w:t>
      </w:r>
      <w:r w:rsidRPr="00013F7D">
        <w:t xml:space="preserve"> re</w:t>
      </w:r>
      <w:r w:rsidR="001E1CE1" w:rsidRPr="00013F7D">
        <w:noBreakHyphen/>
      </w:r>
      <w:r w:rsidRPr="00013F7D">
        <w:t xml:space="preserve">election to </w:t>
      </w:r>
      <w:r w:rsidR="001E0B08" w:rsidRPr="00013F7D">
        <w:t xml:space="preserve">the </w:t>
      </w:r>
      <w:r w:rsidRPr="00013F7D">
        <w:t>Council.</w:t>
      </w:r>
    </w:p>
    <w:p w14:paraId="5ABABD84" w14:textId="726D772C" w:rsidR="00390154" w:rsidRPr="00013F7D" w:rsidRDefault="00390154" w:rsidP="00074FA0">
      <w:pPr>
        <w:tabs>
          <w:tab w:val="clear" w:pos="567"/>
          <w:tab w:val="clear" w:pos="1134"/>
          <w:tab w:val="clear" w:pos="1701"/>
          <w:tab w:val="clear" w:pos="2268"/>
          <w:tab w:val="clear" w:pos="2835"/>
          <w:tab w:val="left" w:pos="6237"/>
        </w:tabs>
        <w:spacing w:before="840"/>
        <w:jc w:val="both"/>
        <w:rPr>
          <w:szCs w:val="24"/>
        </w:rPr>
      </w:pPr>
      <w:r w:rsidRPr="00013F7D">
        <w:rPr>
          <w:szCs w:val="24"/>
        </w:rPr>
        <w:t>The Secretary</w:t>
      </w:r>
      <w:r w:rsidR="001E1CE1" w:rsidRPr="00013F7D">
        <w:rPr>
          <w:szCs w:val="24"/>
        </w:rPr>
        <w:noBreakHyphen/>
      </w:r>
      <w:r w:rsidRPr="00013F7D">
        <w:rPr>
          <w:szCs w:val="24"/>
        </w:rPr>
        <w:t>General</w:t>
      </w:r>
      <w:r w:rsidR="00EA358F" w:rsidRPr="00013F7D">
        <w:rPr>
          <w:szCs w:val="24"/>
        </w:rPr>
        <w:t>:</w:t>
      </w:r>
      <w:r w:rsidRPr="00013F7D">
        <w:rPr>
          <w:szCs w:val="24"/>
        </w:rPr>
        <w:tab/>
        <w:t>The Chair:</w:t>
      </w:r>
    </w:p>
    <w:p w14:paraId="49055415" w14:textId="4A5EF7E4" w:rsidR="00390154" w:rsidRDefault="00390154" w:rsidP="00390154">
      <w:pPr>
        <w:tabs>
          <w:tab w:val="clear" w:pos="567"/>
          <w:tab w:val="clear" w:pos="1134"/>
          <w:tab w:val="clear" w:pos="1701"/>
          <w:tab w:val="clear" w:pos="2268"/>
          <w:tab w:val="clear" w:pos="2835"/>
          <w:tab w:val="left" w:pos="6237"/>
        </w:tabs>
        <w:spacing w:before="0" w:after="120"/>
        <w:jc w:val="both"/>
        <w:rPr>
          <w:szCs w:val="24"/>
        </w:rPr>
      </w:pPr>
      <w:r w:rsidRPr="00013F7D">
        <w:rPr>
          <w:szCs w:val="24"/>
        </w:rPr>
        <w:t>D. BOGDAN</w:t>
      </w:r>
      <w:r w:rsidR="001E1CE1" w:rsidRPr="00013F7D">
        <w:rPr>
          <w:szCs w:val="24"/>
        </w:rPr>
        <w:noBreakHyphen/>
      </w:r>
      <w:r w:rsidRPr="00013F7D">
        <w:rPr>
          <w:szCs w:val="24"/>
        </w:rPr>
        <w:t>MARTIN</w:t>
      </w:r>
      <w:r w:rsidRPr="00013F7D">
        <w:rPr>
          <w:szCs w:val="24"/>
        </w:rPr>
        <w:tab/>
      </w:r>
      <w:r w:rsidR="00266E80" w:rsidRPr="00013F7D">
        <w:rPr>
          <w:szCs w:val="24"/>
        </w:rPr>
        <w:t>C. FLUTUR</w:t>
      </w:r>
    </w:p>
    <w:p w14:paraId="406C28CD" w14:textId="77777777" w:rsidR="000419BE" w:rsidRDefault="000419BE" w:rsidP="000419BE">
      <w:pPr>
        <w:spacing w:before="840"/>
        <w:jc w:val="center"/>
      </w:pPr>
      <w:bookmarkStart w:id="12" w:name="_Hlk206167748"/>
      <w:r>
        <w:t>______________</w:t>
      </w:r>
      <w:bookmarkEnd w:id="12"/>
    </w:p>
    <w:sectPr w:rsidR="000419BE" w:rsidSect="00AF00D0">
      <w:footerReference w:type="default" r:id="rId26"/>
      <w:headerReference w:type="first" r:id="rId27"/>
      <w:footerReference w:type="first" r:id="rId28"/>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8B4D" w14:textId="77777777" w:rsidR="00937FC0" w:rsidRDefault="00937FC0">
      <w:r>
        <w:separator/>
      </w:r>
    </w:p>
  </w:endnote>
  <w:endnote w:type="continuationSeparator" w:id="0">
    <w:p w14:paraId="08FFFF84" w14:textId="77777777" w:rsidR="00937FC0" w:rsidRDefault="00937FC0">
      <w:r>
        <w:continuationSeparator/>
      </w:r>
    </w:p>
  </w:endnote>
  <w:endnote w:type="continuationNotice" w:id="1">
    <w:p w14:paraId="1BC138DD" w14:textId="77777777" w:rsidR="00937FC0" w:rsidRDefault="00937FC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2BA52161" w:rsidR="00AF00D0" w:rsidRPr="000C7AD9" w:rsidRDefault="00AF00D0" w:rsidP="001F34A0">
          <w:pPr>
            <w:pStyle w:val="Footer"/>
            <w:tabs>
              <w:tab w:val="clear" w:pos="5954"/>
              <w:tab w:val="left" w:pos="6742"/>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140B7C">
            <w:rPr>
              <w:rFonts w:eastAsia="Times New Roman" w:cs="Times New Roman"/>
              <w:bCs/>
              <w:sz w:val="18"/>
              <w:szCs w:val="18"/>
            </w:rPr>
            <w:t>108</w:t>
          </w:r>
          <w:r w:rsidR="001E1CE1">
            <w:rPr>
              <w:rFonts w:eastAsia="Times New Roman" w:cs="Times New Roman"/>
              <w:bCs/>
              <w:sz w:val="18"/>
              <w:szCs w:val="18"/>
            </w:rPr>
            <w:noBreakHyphen/>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proofErr w:type="spellStart"/>
            <w:r w:rsidRPr="000C76A9">
              <w:rPr>
                <w:rStyle w:val="Hyperlink"/>
              </w:rPr>
              <w:t>council.itu.int</w:t>
            </w:r>
            <w:proofErr w:type="spellEnd"/>
            <w:r w:rsidRPr="000C76A9">
              <w:rPr>
                <w:rStyle w:val="Hyperlink"/>
              </w:rPr>
              <w:t>/2025</w:t>
            </w:r>
          </w:hyperlink>
        </w:p>
      </w:tc>
      <w:tc>
        <w:tcPr>
          <w:tcW w:w="8079" w:type="dxa"/>
        </w:tcPr>
        <w:p w14:paraId="17F23351" w14:textId="152D67F1" w:rsidR="003A3BDC" w:rsidRPr="000C7AD9" w:rsidRDefault="003A3BDC" w:rsidP="001F34A0">
          <w:pPr>
            <w:pStyle w:val="Header"/>
            <w:tabs>
              <w:tab w:val="left" w:pos="6547"/>
              <w:tab w:val="right" w:pos="8505"/>
              <w:tab w:val="right" w:pos="9639"/>
            </w:tabs>
            <w:jc w:val="left"/>
            <w:rPr>
              <w:rFonts w:ascii="Arial" w:hAnsi="Arial" w:cs="Arial"/>
              <w:b/>
              <w:bCs/>
              <w:szCs w:val="18"/>
            </w:rPr>
          </w:pPr>
          <w:r w:rsidRPr="000C7AD9">
            <w:rPr>
              <w:bCs/>
              <w:szCs w:val="18"/>
            </w:rPr>
            <w:tab/>
          </w:r>
          <w:proofErr w:type="spellStart"/>
          <w:r w:rsidRPr="000C7AD9">
            <w:rPr>
              <w:bCs/>
              <w:szCs w:val="18"/>
            </w:rPr>
            <w:t>C2</w:t>
          </w:r>
          <w:r w:rsidR="000C76A9" w:rsidRPr="000C7AD9">
            <w:rPr>
              <w:bCs/>
              <w:szCs w:val="18"/>
            </w:rPr>
            <w:t>5</w:t>
          </w:r>
          <w:proofErr w:type="spellEnd"/>
          <w:r w:rsidRPr="000C7AD9">
            <w:rPr>
              <w:bCs/>
              <w:szCs w:val="18"/>
            </w:rPr>
            <w:t>/</w:t>
          </w:r>
          <w:r w:rsidR="00140B7C">
            <w:rPr>
              <w:bCs/>
              <w:szCs w:val="18"/>
            </w:rPr>
            <w:t>108</w:t>
          </w:r>
          <w:r w:rsidR="001E1CE1">
            <w:rPr>
              <w:bCs/>
              <w:szCs w:val="18"/>
            </w:rPr>
            <w:noBreakHyphen/>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9681" w14:textId="77777777" w:rsidR="00937FC0" w:rsidRDefault="00937FC0">
      <w:r>
        <w:t>____________________</w:t>
      </w:r>
    </w:p>
  </w:footnote>
  <w:footnote w:type="continuationSeparator" w:id="0">
    <w:p w14:paraId="7C30B918" w14:textId="77777777" w:rsidR="00937FC0" w:rsidRDefault="00937FC0">
      <w:r>
        <w:continuationSeparator/>
      </w:r>
    </w:p>
  </w:footnote>
  <w:footnote w:type="continuationNotice" w:id="1">
    <w:p w14:paraId="65171116" w14:textId="77777777" w:rsidR="00937FC0" w:rsidRDefault="00937FC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E7D73"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C4CBB"/>
    <w:multiLevelType w:val="multilevel"/>
    <w:tmpl w:val="C44ABE2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4"/>
  </w:num>
  <w:num w:numId="5" w16cid:durableId="1478301495">
    <w:abstractNumId w:val="6"/>
  </w:num>
  <w:num w:numId="6" w16cid:durableId="2045328376">
    <w:abstractNumId w:val="7"/>
  </w:num>
  <w:num w:numId="7" w16cid:durableId="650913780">
    <w:abstractNumId w:val="13"/>
  </w:num>
  <w:num w:numId="8" w16cid:durableId="1079475666">
    <w:abstractNumId w:val="5"/>
  </w:num>
  <w:num w:numId="9" w16cid:durableId="108011777">
    <w:abstractNumId w:val="10"/>
  </w:num>
  <w:num w:numId="10" w16cid:durableId="449980474">
    <w:abstractNumId w:val="15"/>
  </w:num>
  <w:num w:numId="11" w16cid:durableId="768937311">
    <w:abstractNumId w:val="3"/>
  </w:num>
  <w:num w:numId="12" w16cid:durableId="422576947">
    <w:abstractNumId w:val="8"/>
  </w:num>
  <w:num w:numId="13" w16cid:durableId="1855724044">
    <w:abstractNumId w:val="12"/>
  </w:num>
  <w:num w:numId="14" w16cid:durableId="752051971">
    <w:abstractNumId w:val="4"/>
  </w:num>
  <w:num w:numId="15" w16cid:durableId="2034186178">
    <w:abstractNumId w:val="9"/>
  </w:num>
  <w:num w:numId="16" w16cid:durableId="1597592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3F7D"/>
    <w:rsid w:val="00017E6F"/>
    <w:rsid w:val="000210D4"/>
    <w:rsid w:val="0002380B"/>
    <w:rsid w:val="000419BE"/>
    <w:rsid w:val="0004698E"/>
    <w:rsid w:val="00047E35"/>
    <w:rsid w:val="00063016"/>
    <w:rsid w:val="00066795"/>
    <w:rsid w:val="00074FA0"/>
    <w:rsid w:val="00076AF6"/>
    <w:rsid w:val="00085CF2"/>
    <w:rsid w:val="00093A91"/>
    <w:rsid w:val="00094460"/>
    <w:rsid w:val="000962E7"/>
    <w:rsid w:val="000A5669"/>
    <w:rsid w:val="000A7F24"/>
    <w:rsid w:val="000B1705"/>
    <w:rsid w:val="000C6F4C"/>
    <w:rsid w:val="000C76A9"/>
    <w:rsid w:val="000C7AD9"/>
    <w:rsid w:val="000D75B2"/>
    <w:rsid w:val="0010202B"/>
    <w:rsid w:val="0010442F"/>
    <w:rsid w:val="001121F5"/>
    <w:rsid w:val="001254F1"/>
    <w:rsid w:val="0013114B"/>
    <w:rsid w:val="001400DC"/>
    <w:rsid w:val="00140B7C"/>
    <w:rsid w:val="00140CE1"/>
    <w:rsid w:val="00153171"/>
    <w:rsid w:val="0015770D"/>
    <w:rsid w:val="00170C41"/>
    <w:rsid w:val="001722A2"/>
    <w:rsid w:val="0017539C"/>
    <w:rsid w:val="00175AC2"/>
    <w:rsid w:val="0017609F"/>
    <w:rsid w:val="00177DFC"/>
    <w:rsid w:val="001836BB"/>
    <w:rsid w:val="00190931"/>
    <w:rsid w:val="00193DAC"/>
    <w:rsid w:val="00194073"/>
    <w:rsid w:val="00197DD2"/>
    <w:rsid w:val="001A18BC"/>
    <w:rsid w:val="001A7D1D"/>
    <w:rsid w:val="001B0A82"/>
    <w:rsid w:val="001B51DD"/>
    <w:rsid w:val="001C628E"/>
    <w:rsid w:val="001E0B08"/>
    <w:rsid w:val="001E0F7B"/>
    <w:rsid w:val="001E1CE1"/>
    <w:rsid w:val="001F074A"/>
    <w:rsid w:val="001F1A27"/>
    <w:rsid w:val="001F32ED"/>
    <w:rsid w:val="001F34A0"/>
    <w:rsid w:val="002119FD"/>
    <w:rsid w:val="002130E0"/>
    <w:rsid w:val="00220F49"/>
    <w:rsid w:val="00231A68"/>
    <w:rsid w:val="002320BF"/>
    <w:rsid w:val="00247805"/>
    <w:rsid w:val="00251E05"/>
    <w:rsid w:val="002521BA"/>
    <w:rsid w:val="00253BA0"/>
    <w:rsid w:val="00264425"/>
    <w:rsid w:val="00265875"/>
    <w:rsid w:val="00266E80"/>
    <w:rsid w:val="0027233E"/>
    <w:rsid w:val="0027303B"/>
    <w:rsid w:val="002806D6"/>
    <w:rsid w:val="0028109B"/>
    <w:rsid w:val="00281CF3"/>
    <w:rsid w:val="00285264"/>
    <w:rsid w:val="002A2188"/>
    <w:rsid w:val="002A4E0C"/>
    <w:rsid w:val="002B1F58"/>
    <w:rsid w:val="002B512C"/>
    <w:rsid w:val="002B6471"/>
    <w:rsid w:val="002C1A6F"/>
    <w:rsid w:val="002C1C7A"/>
    <w:rsid w:val="002C49F1"/>
    <w:rsid w:val="002C54E2"/>
    <w:rsid w:val="002D136B"/>
    <w:rsid w:val="002D5F25"/>
    <w:rsid w:val="0030160F"/>
    <w:rsid w:val="003075D8"/>
    <w:rsid w:val="0031075B"/>
    <w:rsid w:val="00312322"/>
    <w:rsid w:val="00320223"/>
    <w:rsid w:val="00322D0D"/>
    <w:rsid w:val="00327875"/>
    <w:rsid w:val="003330A5"/>
    <w:rsid w:val="00334745"/>
    <w:rsid w:val="00353707"/>
    <w:rsid w:val="00361465"/>
    <w:rsid w:val="003701B0"/>
    <w:rsid w:val="00374DD6"/>
    <w:rsid w:val="00383647"/>
    <w:rsid w:val="00386D4D"/>
    <w:rsid w:val="003877F5"/>
    <w:rsid w:val="00390154"/>
    <w:rsid w:val="003940BD"/>
    <w:rsid w:val="003942D4"/>
    <w:rsid w:val="003958A8"/>
    <w:rsid w:val="003970C3"/>
    <w:rsid w:val="003A0827"/>
    <w:rsid w:val="003A3BDC"/>
    <w:rsid w:val="003A7542"/>
    <w:rsid w:val="003B773A"/>
    <w:rsid w:val="003C2533"/>
    <w:rsid w:val="003C7DD6"/>
    <w:rsid w:val="003D38E4"/>
    <w:rsid w:val="003D5A7F"/>
    <w:rsid w:val="003D6F72"/>
    <w:rsid w:val="003F151B"/>
    <w:rsid w:val="004016E2"/>
    <w:rsid w:val="00401FB5"/>
    <w:rsid w:val="0040435A"/>
    <w:rsid w:val="00410F8B"/>
    <w:rsid w:val="00413B31"/>
    <w:rsid w:val="0041576D"/>
    <w:rsid w:val="00416A24"/>
    <w:rsid w:val="00431D9E"/>
    <w:rsid w:val="00433C73"/>
    <w:rsid w:val="00433CE8"/>
    <w:rsid w:val="00434A5C"/>
    <w:rsid w:val="00446A30"/>
    <w:rsid w:val="004544D9"/>
    <w:rsid w:val="00463736"/>
    <w:rsid w:val="0046442E"/>
    <w:rsid w:val="00472BAD"/>
    <w:rsid w:val="004822C4"/>
    <w:rsid w:val="00484009"/>
    <w:rsid w:val="00490E72"/>
    <w:rsid w:val="00491157"/>
    <w:rsid w:val="004921C8"/>
    <w:rsid w:val="0049489B"/>
    <w:rsid w:val="00495B0B"/>
    <w:rsid w:val="004A1980"/>
    <w:rsid w:val="004A1B8B"/>
    <w:rsid w:val="004B7E0F"/>
    <w:rsid w:val="004D1851"/>
    <w:rsid w:val="004D599D"/>
    <w:rsid w:val="004E0E39"/>
    <w:rsid w:val="004E2EA5"/>
    <w:rsid w:val="004E3AEB"/>
    <w:rsid w:val="004F3803"/>
    <w:rsid w:val="004F5F14"/>
    <w:rsid w:val="004F7742"/>
    <w:rsid w:val="0050223C"/>
    <w:rsid w:val="0051181E"/>
    <w:rsid w:val="005240FD"/>
    <w:rsid w:val="005243FF"/>
    <w:rsid w:val="0055581B"/>
    <w:rsid w:val="0056361C"/>
    <w:rsid w:val="00564FBC"/>
    <w:rsid w:val="0056525D"/>
    <w:rsid w:val="00566BE4"/>
    <w:rsid w:val="00573EB5"/>
    <w:rsid w:val="005800BC"/>
    <w:rsid w:val="00582442"/>
    <w:rsid w:val="005A2D87"/>
    <w:rsid w:val="005B766E"/>
    <w:rsid w:val="005C0658"/>
    <w:rsid w:val="005D018B"/>
    <w:rsid w:val="005D2437"/>
    <w:rsid w:val="005D26C5"/>
    <w:rsid w:val="005D3EFA"/>
    <w:rsid w:val="005D65B6"/>
    <w:rsid w:val="005E3201"/>
    <w:rsid w:val="005E76EE"/>
    <w:rsid w:val="005F3269"/>
    <w:rsid w:val="005F54E0"/>
    <w:rsid w:val="00601AB4"/>
    <w:rsid w:val="006057F8"/>
    <w:rsid w:val="00611253"/>
    <w:rsid w:val="006224F8"/>
    <w:rsid w:val="00623AE3"/>
    <w:rsid w:val="00624D20"/>
    <w:rsid w:val="00627E8B"/>
    <w:rsid w:val="0064233E"/>
    <w:rsid w:val="00642D44"/>
    <w:rsid w:val="00643A60"/>
    <w:rsid w:val="0064737F"/>
    <w:rsid w:val="00651377"/>
    <w:rsid w:val="006528D3"/>
    <w:rsid w:val="006535F1"/>
    <w:rsid w:val="00654F5A"/>
    <w:rsid w:val="0065557D"/>
    <w:rsid w:val="00657423"/>
    <w:rsid w:val="00660D50"/>
    <w:rsid w:val="00661415"/>
    <w:rsid w:val="006627D0"/>
    <w:rsid w:val="00662984"/>
    <w:rsid w:val="0066373A"/>
    <w:rsid w:val="006714F4"/>
    <w:rsid w:val="006716BB"/>
    <w:rsid w:val="006725E6"/>
    <w:rsid w:val="006812EF"/>
    <w:rsid w:val="006850BE"/>
    <w:rsid w:val="006918AC"/>
    <w:rsid w:val="00692FAC"/>
    <w:rsid w:val="006A2118"/>
    <w:rsid w:val="006A51FC"/>
    <w:rsid w:val="006B1751"/>
    <w:rsid w:val="006B1859"/>
    <w:rsid w:val="006B3002"/>
    <w:rsid w:val="006B43F2"/>
    <w:rsid w:val="006B6680"/>
    <w:rsid w:val="006B6DCC"/>
    <w:rsid w:val="006C555F"/>
    <w:rsid w:val="006E107F"/>
    <w:rsid w:val="00700D07"/>
    <w:rsid w:val="00702DEF"/>
    <w:rsid w:val="00703142"/>
    <w:rsid w:val="007041DA"/>
    <w:rsid w:val="0070486E"/>
    <w:rsid w:val="00705104"/>
    <w:rsid w:val="00706861"/>
    <w:rsid w:val="00715501"/>
    <w:rsid w:val="007244B9"/>
    <w:rsid w:val="00731D7F"/>
    <w:rsid w:val="00737E3B"/>
    <w:rsid w:val="007405E4"/>
    <w:rsid w:val="00743146"/>
    <w:rsid w:val="0074567B"/>
    <w:rsid w:val="0075051B"/>
    <w:rsid w:val="00765908"/>
    <w:rsid w:val="00765B4C"/>
    <w:rsid w:val="0077398F"/>
    <w:rsid w:val="00776294"/>
    <w:rsid w:val="0078123C"/>
    <w:rsid w:val="00793188"/>
    <w:rsid w:val="00794D34"/>
    <w:rsid w:val="007A07A9"/>
    <w:rsid w:val="007A6C37"/>
    <w:rsid w:val="007C03A7"/>
    <w:rsid w:val="007C129D"/>
    <w:rsid w:val="007C4D79"/>
    <w:rsid w:val="007F3093"/>
    <w:rsid w:val="007F59B3"/>
    <w:rsid w:val="007F63F7"/>
    <w:rsid w:val="007F6ADD"/>
    <w:rsid w:val="00801A24"/>
    <w:rsid w:val="00813E5E"/>
    <w:rsid w:val="008177EA"/>
    <w:rsid w:val="00824B00"/>
    <w:rsid w:val="00833ACB"/>
    <w:rsid w:val="0083581B"/>
    <w:rsid w:val="008478A0"/>
    <w:rsid w:val="008562D3"/>
    <w:rsid w:val="00863874"/>
    <w:rsid w:val="00864AFF"/>
    <w:rsid w:val="00865925"/>
    <w:rsid w:val="00881A82"/>
    <w:rsid w:val="00885029"/>
    <w:rsid w:val="008A2630"/>
    <w:rsid w:val="008B0565"/>
    <w:rsid w:val="008B4A6A"/>
    <w:rsid w:val="008C2D09"/>
    <w:rsid w:val="008C7E27"/>
    <w:rsid w:val="008D70E8"/>
    <w:rsid w:val="008E5A4A"/>
    <w:rsid w:val="008F4F2E"/>
    <w:rsid w:val="008F7448"/>
    <w:rsid w:val="009002BE"/>
    <w:rsid w:val="0090147A"/>
    <w:rsid w:val="00905233"/>
    <w:rsid w:val="00905336"/>
    <w:rsid w:val="009156F1"/>
    <w:rsid w:val="009173EF"/>
    <w:rsid w:val="00932906"/>
    <w:rsid w:val="00936B01"/>
    <w:rsid w:val="009370FB"/>
    <w:rsid w:val="00937FC0"/>
    <w:rsid w:val="00943AF1"/>
    <w:rsid w:val="00951A0C"/>
    <w:rsid w:val="00955307"/>
    <w:rsid w:val="00961B0B"/>
    <w:rsid w:val="0096298C"/>
    <w:rsid w:val="00962D33"/>
    <w:rsid w:val="00972588"/>
    <w:rsid w:val="009907A4"/>
    <w:rsid w:val="009A18D9"/>
    <w:rsid w:val="009A4076"/>
    <w:rsid w:val="009B0289"/>
    <w:rsid w:val="009B38C3"/>
    <w:rsid w:val="009C2762"/>
    <w:rsid w:val="009D4F14"/>
    <w:rsid w:val="009E17BD"/>
    <w:rsid w:val="009E485A"/>
    <w:rsid w:val="00A04CEC"/>
    <w:rsid w:val="00A27F92"/>
    <w:rsid w:val="00A31F3F"/>
    <w:rsid w:val="00A32257"/>
    <w:rsid w:val="00A35654"/>
    <w:rsid w:val="00A36D20"/>
    <w:rsid w:val="00A514A4"/>
    <w:rsid w:val="00A55622"/>
    <w:rsid w:val="00A6195B"/>
    <w:rsid w:val="00A70A90"/>
    <w:rsid w:val="00A815BB"/>
    <w:rsid w:val="00A83502"/>
    <w:rsid w:val="00A87CF9"/>
    <w:rsid w:val="00A90E7E"/>
    <w:rsid w:val="00AA2857"/>
    <w:rsid w:val="00AB2297"/>
    <w:rsid w:val="00AB2A25"/>
    <w:rsid w:val="00AB3CF1"/>
    <w:rsid w:val="00AB56DF"/>
    <w:rsid w:val="00AC1BE6"/>
    <w:rsid w:val="00AD07B8"/>
    <w:rsid w:val="00AD15B3"/>
    <w:rsid w:val="00AD3606"/>
    <w:rsid w:val="00AD4A3D"/>
    <w:rsid w:val="00AE1DFF"/>
    <w:rsid w:val="00AE67FC"/>
    <w:rsid w:val="00AF00D0"/>
    <w:rsid w:val="00AF2F6B"/>
    <w:rsid w:val="00AF302F"/>
    <w:rsid w:val="00AF4E2C"/>
    <w:rsid w:val="00AF6A6F"/>
    <w:rsid w:val="00AF6E49"/>
    <w:rsid w:val="00B005EE"/>
    <w:rsid w:val="00B04A67"/>
    <w:rsid w:val="00B05011"/>
    <w:rsid w:val="00B0583C"/>
    <w:rsid w:val="00B11E04"/>
    <w:rsid w:val="00B17D78"/>
    <w:rsid w:val="00B2144B"/>
    <w:rsid w:val="00B27D64"/>
    <w:rsid w:val="00B32A93"/>
    <w:rsid w:val="00B374B7"/>
    <w:rsid w:val="00B40A81"/>
    <w:rsid w:val="00B44910"/>
    <w:rsid w:val="00B464CD"/>
    <w:rsid w:val="00B55BF1"/>
    <w:rsid w:val="00B72267"/>
    <w:rsid w:val="00B76EB6"/>
    <w:rsid w:val="00B7737B"/>
    <w:rsid w:val="00B824C8"/>
    <w:rsid w:val="00B84B9D"/>
    <w:rsid w:val="00BC251A"/>
    <w:rsid w:val="00BD032B"/>
    <w:rsid w:val="00BD207C"/>
    <w:rsid w:val="00BE2262"/>
    <w:rsid w:val="00BE2640"/>
    <w:rsid w:val="00C01189"/>
    <w:rsid w:val="00C374DE"/>
    <w:rsid w:val="00C4602D"/>
    <w:rsid w:val="00C47AD4"/>
    <w:rsid w:val="00C52D81"/>
    <w:rsid w:val="00C55198"/>
    <w:rsid w:val="00C72166"/>
    <w:rsid w:val="00C75471"/>
    <w:rsid w:val="00C755A6"/>
    <w:rsid w:val="00C81318"/>
    <w:rsid w:val="00CA6393"/>
    <w:rsid w:val="00CB18FF"/>
    <w:rsid w:val="00CB1AD4"/>
    <w:rsid w:val="00CC4287"/>
    <w:rsid w:val="00CD0C08"/>
    <w:rsid w:val="00CD2596"/>
    <w:rsid w:val="00CD7065"/>
    <w:rsid w:val="00CE03FB"/>
    <w:rsid w:val="00CE433C"/>
    <w:rsid w:val="00CF0161"/>
    <w:rsid w:val="00CF0AC4"/>
    <w:rsid w:val="00CF124B"/>
    <w:rsid w:val="00CF33F3"/>
    <w:rsid w:val="00CF5223"/>
    <w:rsid w:val="00D002CE"/>
    <w:rsid w:val="00D06183"/>
    <w:rsid w:val="00D15E83"/>
    <w:rsid w:val="00D22C42"/>
    <w:rsid w:val="00D3453E"/>
    <w:rsid w:val="00D35EA4"/>
    <w:rsid w:val="00D371B8"/>
    <w:rsid w:val="00D402E1"/>
    <w:rsid w:val="00D535B8"/>
    <w:rsid w:val="00D65041"/>
    <w:rsid w:val="00D65BC1"/>
    <w:rsid w:val="00D661C0"/>
    <w:rsid w:val="00D661DE"/>
    <w:rsid w:val="00D70025"/>
    <w:rsid w:val="00D70C9B"/>
    <w:rsid w:val="00D71A70"/>
    <w:rsid w:val="00D74C0A"/>
    <w:rsid w:val="00D8227D"/>
    <w:rsid w:val="00D84504"/>
    <w:rsid w:val="00D87898"/>
    <w:rsid w:val="00DB106E"/>
    <w:rsid w:val="00DB1936"/>
    <w:rsid w:val="00DB384B"/>
    <w:rsid w:val="00DB6BDD"/>
    <w:rsid w:val="00DF0189"/>
    <w:rsid w:val="00DF5B1D"/>
    <w:rsid w:val="00E06FD5"/>
    <w:rsid w:val="00E10E80"/>
    <w:rsid w:val="00E124F0"/>
    <w:rsid w:val="00E13863"/>
    <w:rsid w:val="00E205CB"/>
    <w:rsid w:val="00E224F8"/>
    <w:rsid w:val="00E227F3"/>
    <w:rsid w:val="00E23618"/>
    <w:rsid w:val="00E23832"/>
    <w:rsid w:val="00E335C6"/>
    <w:rsid w:val="00E42E92"/>
    <w:rsid w:val="00E545C6"/>
    <w:rsid w:val="00E60337"/>
    <w:rsid w:val="00E60F04"/>
    <w:rsid w:val="00E64F86"/>
    <w:rsid w:val="00E65B24"/>
    <w:rsid w:val="00E854E4"/>
    <w:rsid w:val="00E86DBF"/>
    <w:rsid w:val="00E90E99"/>
    <w:rsid w:val="00E91FD2"/>
    <w:rsid w:val="00E94CDB"/>
    <w:rsid w:val="00E96479"/>
    <w:rsid w:val="00E96D2A"/>
    <w:rsid w:val="00EA0EA8"/>
    <w:rsid w:val="00EA1D83"/>
    <w:rsid w:val="00EA358F"/>
    <w:rsid w:val="00EB0D6F"/>
    <w:rsid w:val="00EB2232"/>
    <w:rsid w:val="00EC5337"/>
    <w:rsid w:val="00ED59D6"/>
    <w:rsid w:val="00ED6829"/>
    <w:rsid w:val="00ED6D46"/>
    <w:rsid w:val="00ED7E64"/>
    <w:rsid w:val="00EE49E8"/>
    <w:rsid w:val="00EE53E3"/>
    <w:rsid w:val="00F16724"/>
    <w:rsid w:val="00F16BAB"/>
    <w:rsid w:val="00F2150A"/>
    <w:rsid w:val="00F22DBE"/>
    <w:rsid w:val="00F231D8"/>
    <w:rsid w:val="00F24BB9"/>
    <w:rsid w:val="00F2696D"/>
    <w:rsid w:val="00F32D3D"/>
    <w:rsid w:val="00F4439F"/>
    <w:rsid w:val="00F44C00"/>
    <w:rsid w:val="00F45D2C"/>
    <w:rsid w:val="00F46644"/>
    <w:rsid w:val="00F46C5F"/>
    <w:rsid w:val="00F57722"/>
    <w:rsid w:val="00F62E83"/>
    <w:rsid w:val="00F632C0"/>
    <w:rsid w:val="00F642B6"/>
    <w:rsid w:val="00F658AF"/>
    <w:rsid w:val="00F66005"/>
    <w:rsid w:val="00F74710"/>
    <w:rsid w:val="00F81EF1"/>
    <w:rsid w:val="00F82E1E"/>
    <w:rsid w:val="00F94A63"/>
    <w:rsid w:val="00F96FD5"/>
    <w:rsid w:val="00FA1C28"/>
    <w:rsid w:val="00FB1279"/>
    <w:rsid w:val="00FB6B76"/>
    <w:rsid w:val="00FB7596"/>
    <w:rsid w:val="00FC072E"/>
    <w:rsid w:val="00FE4077"/>
    <w:rsid w:val="00FE500D"/>
    <w:rsid w:val="00FE5D6A"/>
    <w:rsid w:val="00FE6522"/>
    <w:rsid w:val="00FE7298"/>
    <w:rsid w:val="00FE77D2"/>
    <w:rsid w:val="00FF302A"/>
    <w:rsid w:val="00FF6CA2"/>
    <w:rsid w:val="058AC576"/>
    <w:rsid w:val="19AA7067"/>
    <w:rsid w:val="1C796D00"/>
    <w:rsid w:val="1E2D52C8"/>
    <w:rsid w:val="28EA9D13"/>
    <w:rsid w:val="3BD6A6F4"/>
    <w:rsid w:val="4022AFA4"/>
    <w:rsid w:val="42CF1146"/>
    <w:rsid w:val="481758D4"/>
    <w:rsid w:val="56C39A5B"/>
    <w:rsid w:val="56D196FD"/>
    <w:rsid w:val="5D22BD84"/>
    <w:rsid w:val="62D8C77F"/>
    <w:rsid w:val="63EF51C3"/>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iPriority w:val="99"/>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uiPriority w:val="99"/>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paragraph" w:customStyle="1" w:styleId="Reasons">
    <w:name w:val="Reasons"/>
    <w:basedOn w:val="Normal"/>
    <w:qFormat/>
    <w:rsid w:val="000419BE"/>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INF-0014/en" TargetMode="External"/><Relationship Id="rId18" Type="http://schemas.openxmlformats.org/officeDocument/2006/relationships/hyperlink" Target="https://www.itu.int/md/S25-CL-C-0080/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md/S25-CL-C-0051/en" TargetMode="External"/><Relationship Id="rId7" Type="http://schemas.openxmlformats.org/officeDocument/2006/relationships/settings" Target="settings.xml"/><Relationship Id="rId12" Type="http://schemas.openxmlformats.org/officeDocument/2006/relationships/hyperlink" Target="https://www.itu.int/md/S25-CL-C-0024/en" TargetMode="External"/><Relationship Id="rId17" Type="http://schemas.openxmlformats.org/officeDocument/2006/relationships/hyperlink" Target="https://www.itu.int/md/S25-CL-C-0061/en" TargetMode="External"/><Relationship Id="rId25" Type="http://schemas.openxmlformats.org/officeDocument/2006/relationships/hyperlink" Target="https://www.itu.int/md/S25-CL-C-0080/en" TargetMode="External"/><Relationship Id="rId2" Type="http://schemas.openxmlformats.org/officeDocument/2006/relationships/customXml" Target="../customXml/item2.xml"/><Relationship Id="rId16" Type="http://schemas.openxmlformats.org/officeDocument/2006/relationships/hyperlink" Target="https://www.itu.int/md/S25-CL-C-0008/en" TargetMode="External"/><Relationship Id="rId20" Type="http://schemas.openxmlformats.org/officeDocument/2006/relationships/hyperlink" Target="https://www.itu.int/md/S25-CL-INF-0014/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04/en" TargetMode="External"/><Relationship Id="rId24" Type="http://schemas.openxmlformats.org/officeDocument/2006/relationships/hyperlink" Target="https://www.itu.int/md/S25-CL-C-0061/en" TargetMode="External"/><Relationship Id="rId5" Type="http://schemas.openxmlformats.org/officeDocument/2006/relationships/numbering" Target="numbering.xml"/><Relationship Id="rId15" Type="http://schemas.openxmlformats.org/officeDocument/2006/relationships/hyperlink" Target="https://www.itu.int/md/S25-CL-C-0033/en" TargetMode="External"/><Relationship Id="rId23" Type="http://schemas.openxmlformats.org/officeDocument/2006/relationships/hyperlink" Target="https://www.itu.int/md/S25-CL-C-0008/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5-CL-C-000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51/en" TargetMode="External"/><Relationship Id="rId22" Type="http://schemas.openxmlformats.org/officeDocument/2006/relationships/hyperlink" Target="https://www.itu.int/md/S25-CL-C-0033/e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234F0C96-A37C-4F44-BF33-21127A1643FB}">
  <ds:schemaRefs>
    <ds:schemaRef ds:uri="http://schemas.microsoft.com/sharepoint/v3/contenttype/forms"/>
  </ds:schemaRefs>
</ds:datastoreItem>
</file>

<file path=customXml/itemProps3.xml><?xml version="1.0" encoding="utf-8"?>
<ds:datastoreItem xmlns:ds="http://schemas.openxmlformats.org/officeDocument/2006/customXml" ds:itemID="{0117C09E-7F0E-4902-8DBD-FCD22B13F6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8698E8-F9DC-4A6B-9513-8A265098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3209</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Summary record of the second plenary meeting</vt:lpstr>
    </vt:vector>
  </TitlesOfParts>
  <Manager/>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second plenary meeting</dc:title>
  <dc:subject>ITU Council 2025</dc:subject>
  <cp:keywords>C2025, C25, Council-25</cp:keywords>
  <dc:description/>
  <dcterms:created xsi:type="dcterms:W3CDTF">2025-08-15T06:43:00Z</dcterms:created>
  <dcterms:modified xsi:type="dcterms:W3CDTF">2025-08-15T14:56:00Z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2fcbcc24-3035-433f-befb-9772f495d204</vt:lpwstr>
  </property>
</Properties>
</file>