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453B1F" w:rsidRPr="00E24D59" w14:paraId="5A1CD792" w14:textId="77777777">
        <w:trPr>
          <w:cantSplit/>
          <w:trHeight w:val="23"/>
        </w:trPr>
        <w:tc>
          <w:tcPr>
            <w:tcW w:w="3969" w:type="dxa"/>
            <w:vMerge w:val="restart"/>
            <w:tcMar>
              <w:left w:w="0" w:type="dxa"/>
            </w:tcMar>
          </w:tcPr>
          <w:p w14:paraId="53369709" w14:textId="1E4F6511" w:rsidR="00453B1F" w:rsidRPr="00E24D59" w:rsidRDefault="00453B1F">
            <w:pPr>
              <w:tabs>
                <w:tab w:val="left" w:pos="851"/>
              </w:tabs>
              <w:spacing w:before="0" w:line="240" w:lineRule="atLeast"/>
              <w:rPr>
                <w:b/>
                <w:bCs/>
              </w:rPr>
            </w:pPr>
            <w:bookmarkStart w:id="0" w:name="dmeeting" w:colFirst="0" w:colLast="0"/>
            <w:bookmarkStart w:id="1" w:name="dnum" w:colFirst="1" w:colLast="1"/>
            <w:bookmarkStart w:id="2" w:name="_Hlk133421839"/>
          </w:p>
        </w:tc>
        <w:tc>
          <w:tcPr>
            <w:tcW w:w="5245" w:type="dxa"/>
          </w:tcPr>
          <w:p w14:paraId="704D21F6" w14:textId="0345BF1E" w:rsidR="00453B1F" w:rsidRPr="00E24D59" w:rsidRDefault="00453B1F">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Pr>
                <w:b/>
                <w:lang w:val="fr-CH"/>
              </w:rPr>
              <w:t>5</w:t>
            </w:r>
            <w:proofErr w:type="spellEnd"/>
            <w:r w:rsidRPr="00E24D59">
              <w:rPr>
                <w:b/>
                <w:lang w:val="fr-CH"/>
              </w:rPr>
              <w:t>/</w:t>
            </w:r>
            <w:r w:rsidR="001466B5">
              <w:rPr>
                <w:rFonts w:hint="eastAsia"/>
                <w:b/>
                <w:lang w:val="fr-CH" w:eastAsia="zh-CN"/>
              </w:rPr>
              <w:t>108</w:t>
            </w:r>
            <w:r w:rsidRPr="00E24D59">
              <w:rPr>
                <w:b/>
                <w:lang w:val="fr-CH"/>
              </w:rPr>
              <w:t>-C</w:t>
            </w:r>
          </w:p>
        </w:tc>
      </w:tr>
      <w:tr w:rsidR="00453B1F" w:rsidRPr="00813E5E" w14:paraId="0C2F723C" w14:textId="77777777">
        <w:trPr>
          <w:cantSplit/>
        </w:trPr>
        <w:tc>
          <w:tcPr>
            <w:tcW w:w="3969" w:type="dxa"/>
            <w:vMerge/>
          </w:tcPr>
          <w:p w14:paraId="1F86E9F6" w14:textId="77777777" w:rsidR="00453B1F" w:rsidRPr="00E24D59" w:rsidRDefault="00453B1F">
            <w:pPr>
              <w:tabs>
                <w:tab w:val="left" w:pos="851"/>
              </w:tabs>
              <w:spacing w:line="240" w:lineRule="atLeast"/>
              <w:rPr>
                <w:b/>
                <w:lang w:val="fr-CH"/>
              </w:rPr>
            </w:pPr>
            <w:bookmarkStart w:id="3" w:name="ddate" w:colFirst="1" w:colLast="1"/>
            <w:bookmarkEnd w:id="0"/>
            <w:bookmarkEnd w:id="1"/>
          </w:p>
        </w:tc>
        <w:tc>
          <w:tcPr>
            <w:tcW w:w="5245" w:type="dxa"/>
          </w:tcPr>
          <w:p w14:paraId="15CA47C1" w14:textId="61A67B6F" w:rsidR="00453B1F" w:rsidRPr="00E85629" w:rsidRDefault="001466B5">
            <w:pPr>
              <w:tabs>
                <w:tab w:val="left" w:pos="851"/>
              </w:tabs>
              <w:spacing w:before="0"/>
              <w:jc w:val="right"/>
              <w:rPr>
                <w:b/>
              </w:rPr>
            </w:pPr>
            <w:r w:rsidRPr="001D3D4E">
              <w:rPr>
                <w:rFonts w:hint="eastAsia"/>
                <w:b/>
                <w:lang w:eastAsia="zh-CN"/>
              </w:rPr>
              <w:t>2025</w:t>
            </w:r>
            <w:r w:rsidRPr="001D3D4E">
              <w:rPr>
                <w:rFonts w:hint="eastAsia"/>
                <w:b/>
                <w:lang w:eastAsia="zh-CN"/>
              </w:rPr>
              <w:t>年</w:t>
            </w:r>
            <w:r w:rsidR="001D3D4E">
              <w:rPr>
                <w:rFonts w:hint="eastAsia"/>
                <w:b/>
                <w:lang w:eastAsia="zh-CN"/>
              </w:rPr>
              <w:t>8</w:t>
            </w:r>
            <w:r w:rsidRPr="001D3D4E">
              <w:rPr>
                <w:rFonts w:hint="eastAsia"/>
                <w:b/>
                <w:lang w:eastAsia="zh-CN"/>
              </w:rPr>
              <w:t>月</w:t>
            </w:r>
            <w:r w:rsidR="001D3D4E">
              <w:rPr>
                <w:rFonts w:hint="eastAsia"/>
                <w:b/>
                <w:lang w:eastAsia="zh-CN"/>
              </w:rPr>
              <w:t>15</w:t>
            </w:r>
            <w:r w:rsidRPr="001D3D4E">
              <w:rPr>
                <w:rFonts w:hint="eastAsia"/>
                <w:b/>
                <w:lang w:eastAsia="zh-CN"/>
              </w:rPr>
              <w:t>日</w:t>
            </w:r>
          </w:p>
        </w:tc>
      </w:tr>
      <w:tr w:rsidR="00453B1F" w:rsidRPr="00813E5E" w14:paraId="5D3D3D3B" w14:textId="77777777">
        <w:trPr>
          <w:cantSplit/>
          <w:trHeight w:val="23"/>
        </w:trPr>
        <w:tc>
          <w:tcPr>
            <w:tcW w:w="3969" w:type="dxa"/>
            <w:vMerge/>
          </w:tcPr>
          <w:p w14:paraId="133E2757" w14:textId="77777777" w:rsidR="00453B1F" w:rsidRPr="00813E5E" w:rsidRDefault="00453B1F">
            <w:pPr>
              <w:tabs>
                <w:tab w:val="left" w:pos="851"/>
              </w:tabs>
              <w:spacing w:line="240" w:lineRule="atLeast"/>
              <w:rPr>
                <w:b/>
              </w:rPr>
            </w:pPr>
            <w:bookmarkStart w:id="4" w:name="dorlang" w:colFirst="1" w:colLast="1"/>
            <w:bookmarkEnd w:id="3"/>
          </w:p>
        </w:tc>
        <w:tc>
          <w:tcPr>
            <w:tcW w:w="5245" w:type="dxa"/>
          </w:tcPr>
          <w:p w14:paraId="5277E947" w14:textId="4AFE54DF" w:rsidR="00453B1F" w:rsidRPr="00E85629" w:rsidRDefault="00453B1F">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1466B5">
              <w:rPr>
                <w:rFonts w:cstheme="minorHAnsi" w:hint="eastAsia"/>
                <w:b/>
                <w:bCs/>
                <w:lang w:val="ru-RU" w:eastAsia="zh-CN"/>
              </w:rPr>
              <w:t>英文</w:t>
            </w:r>
          </w:p>
        </w:tc>
      </w:tr>
      <w:tr w:rsidR="00453B1F" w:rsidRPr="00813E5E" w14:paraId="21C6B0C0" w14:textId="77777777">
        <w:trPr>
          <w:cantSplit/>
          <w:trHeight w:val="23"/>
        </w:trPr>
        <w:tc>
          <w:tcPr>
            <w:tcW w:w="3969" w:type="dxa"/>
          </w:tcPr>
          <w:p w14:paraId="1162E49E" w14:textId="77777777" w:rsidR="00453B1F" w:rsidRPr="00813E5E" w:rsidRDefault="00453B1F">
            <w:pPr>
              <w:tabs>
                <w:tab w:val="left" w:pos="851"/>
              </w:tabs>
              <w:spacing w:line="240" w:lineRule="atLeast"/>
              <w:rPr>
                <w:b/>
              </w:rPr>
            </w:pPr>
          </w:p>
        </w:tc>
        <w:tc>
          <w:tcPr>
            <w:tcW w:w="5245" w:type="dxa"/>
          </w:tcPr>
          <w:p w14:paraId="19E92F42" w14:textId="77777777" w:rsidR="00453B1F" w:rsidRDefault="00453B1F">
            <w:pPr>
              <w:tabs>
                <w:tab w:val="left" w:pos="851"/>
              </w:tabs>
              <w:spacing w:before="0" w:line="240" w:lineRule="atLeast"/>
              <w:jc w:val="right"/>
              <w:rPr>
                <w:b/>
              </w:rPr>
            </w:pPr>
          </w:p>
        </w:tc>
      </w:tr>
      <w:bookmarkEnd w:id="2"/>
      <w:bookmarkEnd w:id="4"/>
      <w:tr w:rsidR="00A85B60" w:rsidRPr="00A85B60" w14:paraId="1B1D7B3C" w14:textId="77777777" w:rsidTr="00B82154">
        <w:trPr>
          <w:cantSplit/>
          <w:trHeight w:val="23"/>
        </w:trPr>
        <w:tc>
          <w:tcPr>
            <w:tcW w:w="9214" w:type="dxa"/>
            <w:gridSpan w:val="2"/>
          </w:tcPr>
          <w:p w14:paraId="7C3D22F2" w14:textId="77777777" w:rsidR="00AC2500" w:rsidRDefault="00A85B60" w:rsidP="00F447B4">
            <w:pPr>
              <w:tabs>
                <w:tab w:val="left" w:pos="851"/>
              </w:tabs>
              <w:spacing w:line="240" w:lineRule="atLeast"/>
              <w:jc w:val="center"/>
              <w:rPr>
                <w:b/>
                <w:bCs/>
                <w:color w:val="000000"/>
                <w:sz w:val="34"/>
                <w:szCs w:val="34"/>
                <w:lang w:eastAsia="zh-CN"/>
              </w:rPr>
            </w:pPr>
            <w:r w:rsidRPr="00A85B60">
              <w:rPr>
                <w:rFonts w:hint="eastAsia"/>
                <w:b/>
                <w:bCs/>
                <w:color w:val="000000"/>
                <w:sz w:val="34"/>
                <w:szCs w:val="34"/>
                <w:lang w:eastAsia="zh-CN"/>
              </w:rPr>
              <w:t>第二次全体会议</w:t>
            </w:r>
          </w:p>
          <w:p w14:paraId="0C831085" w14:textId="507295B9" w:rsidR="00432F1B" w:rsidRPr="00A85B60" w:rsidRDefault="00A85B60" w:rsidP="00AC2500">
            <w:pPr>
              <w:tabs>
                <w:tab w:val="left" w:pos="851"/>
              </w:tabs>
              <w:spacing w:after="240" w:line="240" w:lineRule="atLeast"/>
              <w:jc w:val="center"/>
              <w:rPr>
                <w:b/>
                <w:bCs/>
                <w:color w:val="000000"/>
                <w:sz w:val="34"/>
                <w:szCs w:val="34"/>
                <w:lang w:eastAsia="zh-CN"/>
              </w:rPr>
            </w:pPr>
            <w:r w:rsidRPr="00A85B60">
              <w:rPr>
                <w:b/>
                <w:bCs/>
                <w:color w:val="000000"/>
                <w:sz w:val="34"/>
                <w:szCs w:val="34"/>
                <w:lang w:eastAsia="zh-CN"/>
              </w:rPr>
              <w:t>摘要记录</w:t>
            </w:r>
          </w:p>
        </w:tc>
      </w:tr>
      <w:tr w:rsidR="00A85B60" w:rsidRPr="00A85B60" w14:paraId="4C87861D" w14:textId="77777777" w:rsidTr="00B82154">
        <w:trPr>
          <w:cantSplit/>
          <w:trHeight w:val="23"/>
        </w:trPr>
        <w:tc>
          <w:tcPr>
            <w:tcW w:w="9214" w:type="dxa"/>
            <w:gridSpan w:val="2"/>
          </w:tcPr>
          <w:p w14:paraId="550D7A1F" w14:textId="77777777" w:rsidR="00A85B60" w:rsidRPr="00A85B60" w:rsidRDefault="00A85B60" w:rsidP="00A85B60">
            <w:pPr>
              <w:tabs>
                <w:tab w:val="clear" w:pos="794"/>
                <w:tab w:val="clear" w:pos="1191"/>
                <w:tab w:val="clear" w:pos="1588"/>
                <w:tab w:val="clear" w:pos="1985"/>
              </w:tabs>
              <w:overflowPunct/>
              <w:autoSpaceDE/>
              <w:autoSpaceDN/>
              <w:adjustRightInd/>
              <w:spacing w:after="240" w:line="280" w:lineRule="exact"/>
              <w:jc w:val="center"/>
              <w:textAlignment w:val="auto"/>
              <w:rPr>
                <w:szCs w:val="24"/>
                <w:lang w:val="en-US" w:eastAsia="zh-CN"/>
              </w:rPr>
            </w:pPr>
            <w:r w:rsidRPr="00A85B60">
              <w:rPr>
                <w:color w:val="000000"/>
                <w:szCs w:val="24"/>
                <w:lang w:val="zh-CN" w:eastAsia="zh-CN"/>
              </w:rPr>
              <w:t>202</w:t>
            </w:r>
            <w:r w:rsidRPr="00A85B60">
              <w:rPr>
                <w:rFonts w:hint="eastAsia"/>
                <w:color w:val="000000"/>
                <w:szCs w:val="24"/>
                <w:lang w:val="zh-CN" w:eastAsia="zh-CN"/>
              </w:rPr>
              <w:t>5</w:t>
            </w:r>
            <w:r w:rsidRPr="00A85B60">
              <w:rPr>
                <w:color w:val="000000"/>
                <w:szCs w:val="24"/>
                <w:lang w:val="zh-CN" w:eastAsia="zh-CN"/>
              </w:rPr>
              <w:t>年</w:t>
            </w:r>
            <w:r w:rsidRPr="00A85B60">
              <w:rPr>
                <w:rFonts w:hint="eastAsia"/>
                <w:color w:val="000000"/>
                <w:szCs w:val="24"/>
                <w:lang w:val="zh-CN" w:eastAsia="zh-CN"/>
              </w:rPr>
              <w:t>6</w:t>
            </w:r>
            <w:r w:rsidRPr="00A85B60">
              <w:rPr>
                <w:color w:val="000000"/>
                <w:szCs w:val="24"/>
                <w:lang w:val="zh-CN" w:eastAsia="zh-CN"/>
              </w:rPr>
              <w:t>月</w:t>
            </w:r>
            <w:r w:rsidRPr="00A85B60">
              <w:rPr>
                <w:rFonts w:hint="eastAsia"/>
                <w:color w:val="000000"/>
                <w:szCs w:val="24"/>
                <w:lang w:val="zh-CN" w:eastAsia="zh-CN"/>
              </w:rPr>
              <w:t>18</w:t>
            </w:r>
            <w:r w:rsidRPr="00A85B60">
              <w:rPr>
                <w:color w:val="000000"/>
                <w:szCs w:val="24"/>
                <w:lang w:val="zh-CN" w:eastAsia="zh-CN"/>
              </w:rPr>
              <w:t>日（星期三），</w:t>
            </w:r>
            <w:r w:rsidRPr="00A85B60">
              <w:rPr>
                <w:rFonts w:hint="eastAsia"/>
                <w:color w:val="000000"/>
                <w:szCs w:val="24"/>
                <w:lang w:val="zh-CN" w:eastAsia="zh-CN"/>
              </w:rPr>
              <w:t>14</w:t>
            </w:r>
            <w:r w:rsidRPr="00A85B60">
              <w:rPr>
                <w:color w:val="000000"/>
                <w:szCs w:val="24"/>
                <w:lang w:val="zh-CN" w:eastAsia="zh-CN"/>
              </w:rPr>
              <w:t>时</w:t>
            </w:r>
            <w:r w:rsidRPr="00A85B60">
              <w:rPr>
                <w:color w:val="000000"/>
                <w:szCs w:val="24"/>
                <w:lang w:val="zh-CN" w:eastAsia="zh-CN"/>
              </w:rPr>
              <w:t>3</w:t>
            </w:r>
            <w:r w:rsidRPr="00A85B60">
              <w:rPr>
                <w:rFonts w:hint="eastAsia"/>
                <w:color w:val="000000"/>
                <w:szCs w:val="24"/>
                <w:lang w:val="zh-CN" w:eastAsia="zh-CN"/>
              </w:rPr>
              <w:t>5</w:t>
            </w:r>
            <w:r w:rsidRPr="00A85B60">
              <w:rPr>
                <w:color w:val="000000"/>
                <w:szCs w:val="24"/>
                <w:lang w:val="zh-CN" w:eastAsia="zh-CN"/>
              </w:rPr>
              <w:t>分至</w:t>
            </w:r>
            <w:r w:rsidRPr="00A85B60">
              <w:rPr>
                <w:color w:val="000000"/>
                <w:szCs w:val="24"/>
                <w:lang w:val="zh-CN" w:eastAsia="zh-CN"/>
              </w:rPr>
              <w:t>1</w:t>
            </w:r>
            <w:r w:rsidRPr="00A85B60">
              <w:rPr>
                <w:rFonts w:hint="eastAsia"/>
                <w:color w:val="000000"/>
                <w:szCs w:val="24"/>
                <w:lang w:val="zh-CN" w:eastAsia="zh-CN"/>
              </w:rPr>
              <w:t>7</w:t>
            </w:r>
            <w:r w:rsidRPr="00A85B60">
              <w:rPr>
                <w:color w:val="000000"/>
                <w:szCs w:val="24"/>
                <w:lang w:val="zh-CN" w:eastAsia="zh-CN"/>
              </w:rPr>
              <w:t>时</w:t>
            </w:r>
            <w:r w:rsidRPr="00A85B60">
              <w:rPr>
                <w:color w:val="000000"/>
                <w:szCs w:val="24"/>
                <w:lang w:val="zh-CN" w:eastAsia="zh-CN"/>
              </w:rPr>
              <w:t>4</w:t>
            </w:r>
            <w:r w:rsidRPr="00A85B60">
              <w:rPr>
                <w:rFonts w:hint="eastAsia"/>
                <w:color w:val="000000"/>
                <w:szCs w:val="24"/>
                <w:lang w:val="zh-CN" w:eastAsia="zh-CN"/>
              </w:rPr>
              <w:t>5</w:t>
            </w:r>
            <w:r w:rsidRPr="00A85B60">
              <w:rPr>
                <w:color w:val="000000"/>
                <w:szCs w:val="24"/>
                <w:lang w:val="zh-CN" w:eastAsia="zh-CN"/>
              </w:rPr>
              <w:t>分</w:t>
            </w:r>
          </w:p>
          <w:p w14:paraId="0112E27D" w14:textId="77777777" w:rsidR="00A85B60" w:rsidRPr="00A85B60" w:rsidRDefault="00A85B60" w:rsidP="00A85B60">
            <w:pPr>
              <w:tabs>
                <w:tab w:val="clear" w:pos="794"/>
                <w:tab w:val="clear" w:pos="1191"/>
                <w:tab w:val="clear" w:pos="1588"/>
                <w:tab w:val="clear" w:pos="1985"/>
                <w:tab w:val="left" w:pos="567"/>
                <w:tab w:val="left" w:pos="851"/>
                <w:tab w:val="left" w:pos="1134"/>
                <w:tab w:val="left" w:pos="1701"/>
                <w:tab w:val="left" w:pos="2268"/>
                <w:tab w:val="left" w:pos="2835"/>
              </w:tabs>
              <w:spacing w:after="240" w:line="240" w:lineRule="atLeast"/>
              <w:jc w:val="center"/>
              <w:rPr>
                <w:bCs/>
                <w:szCs w:val="24"/>
                <w:lang w:val="en-US" w:eastAsia="zh-CN"/>
              </w:rPr>
            </w:pPr>
            <w:r w:rsidRPr="00A85B60">
              <w:rPr>
                <w:rFonts w:hint="eastAsia"/>
                <w:b/>
                <w:bCs/>
                <w:color w:val="000000"/>
                <w:szCs w:val="24"/>
                <w:lang w:val="zh-CN" w:eastAsia="zh-CN"/>
              </w:rPr>
              <w:t>主席</w:t>
            </w:r>
            <w:r w:rsidRPr="00A85B60">
              <w:rPr>
                <w:rFonts w:hint="eastAsia"/>
                <w:color w:val="000000"/>
                <w:szCs w:val="24"/>
                <w:lang w:val="zh-CN" w:eastAsia="zh-CN"/>
              </w:rPr>
              <w:t>：</w:t>
            </w:r>
            <w:r w:rsidRPr="00A85B60">
              <w:rPr>
                <w:rFonts w:cs="Calibri"/>
                <w:szCs w:val="24"/>
                <w:lang w:val="en-US" w:eastAsia="zh-CN"/>
              </w:rPr>
              <w:t>C. Flutur</w:t>
            </w:r>
            <w:r w:rsidRPr="00A85B60">
              <w:rPr>
                <w:rFonts w:cs="Calibri" w:hint="eastAsia"/>
                <w:szCs w:val="24"/>
                <w:lang w:val="en-US" w:eastAsia="zh-CN"/>
              </w:rPr>
              <w:t>女士（罗马尼亚）</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A85B60" w:rsidRPr="00A85B60" w14:paraId="6BC48DA3" w14:textId="77777777" w:rsidTr="00B82154">
        <w:tc>
          <w:tcPr>
            <w:tcW w:w="242" w:type="pct"/>
          </w:tcPr>
          <w:p w14:paraId="0630E2ED"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480" w:after="120" w:line="280" w:lineRule="exact"/>
              <w:jc w:val="both"/>
              <w:rPr>
                <w:b/>
                <w:bCs/>
                <w:szCs w:val="24"/>
                <w:lang w:val="en-US" w:eastAsia="zh-CN"/>
              </w:rPr>
            </w:pPr>
            <w:bookmarkStart w:id="5" w:name="_Hlk141438382"/>
            <w:r w:rsidRPr="00A85B60">
              <w:rPr>
                <w:b/>
                <w:bCs/>
                <w:color w:val="000000"/>
                <w:szCs w:val="24"/>
                <w:lang w:val="en-US" w:eastAsia="zh-CN"/>
              </w:rPr>
              <w:br w:type="page"/>
            </w:r>
            <w:r w:rsidRPr="00A85B60">
              <w:rPr>
                <w:b/>
                <w:bCs/>
                <w:color w:val="000000"/>
                <w:szCs w:val="24"/>
                <w:lang w:val="en-US" w:eastAsia="zh-CN"/>
              </w:rPr>
              <w:br w:type="page"/>
            </w:r>
          </w:p>
        </w:tc>
        <w:tc>
          <w:tcPr>
            <w:tcW w:w="3580" w:type="pct"/>
            <w:hideMark/>
          </w:tcPr>
          <w:p w14:paraId="1C7E5B9E"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480" w:after="120" w:line="280" w:lineRule="exact"/>
              <w:jc w:val="both"/>
              <w:rPr>
                <w:b/>
                <w:bCs/>
                <w:szCs w:val="24"/>
                <w:lang w:val="en-US" w:eastAsia="zh-CN"/>
              </w:rPr>
            </w:pPr>
            <w:r w:rsidRPr="00A85B60">
              <w:rPr>
                <w:b/>
                <w:bCs/>
                <w:color w:val="000000"/>
                <w:szCs w:val="24"/>
                <w:lang w:val="zh-CN" w:eastAsia="zh-CN"/>
              </w:rPr>
              <w:t>讨论议题</w:t>
            </w:r>
          </w:p>
        </w:tc>
        <w:tc>
          <w:tcPr>
            <w:tcW w:w="1178" w:type="pct"/>
            <w:hideMark/>
          </w:tcPr>
          <w:p w14:paraId="368D74BF"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480" w:after="120" w:line="280" w:lineRule="exact"/>
              <w:jc w:val="center"/>
              <w:rPr>
                <w:b/>
                <w:bCs/>
                <w:szCs w:val="24"/>
                <w:lang w:val="en-US" w:eastAsia="zh-CN"/>
              </w:rPr>
            </w:pPr>
            <w:r w:rsidRPr="00A85B60">
              <w:rPr>
                <w:b/>
                <w:bCs/>
                <w:color w:val="000000"/>
                <w:szCs w:val="24"/>
                <w:lang w:val="zh-CN" w:eastAsia="zh-CN"/>
              </w:rPr>
              <w:t>文件</w:t>
            </w:r>
          </w:p>
        </w:tc>
      </w:tr>
      <w:tr w:rsidR="00A85B60" w:rsidRPr="00A85B60" w14:paraId="653BB806" w14:textId="77777777" w:rsidTr="00B82154">
        <w:trPr>
          <w:trHeight w:val="20"/>
        </w:trPr>
        <w:tc>
          <w:tcPr>
            <w:tcW w:w="242" w:type="pct"/>
            <w:hideMark/>
          </w:tcPr>
          <w:p w14:paraId="6E7AA6A4"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1</w:t>
            </w:r>
          </w:p>
        </w:tc>
        <w:tc>
          <w:tcPr>
            <w:tcW w:w="3580" w:type="pct"/>
          </w:tcPr>
          <w:p w14:paraId="7257C84D"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rFonts w:hint="eastAsia"/>
                <w:color w:val="000000"/>
                <w:szCs w:val="24"/>
                <w:lang w:val="zh-CN" w:eastAsia="zh-CN"/>
              </w:rPr>
              <w:t>介绍</w:t>
            </w:r>
            <w:r w:rsidRPr="00A85B60">
              <w:rPr>
                <w:color w:val="000000"/>
                <w:szCs w:val="24"/>
                <w:lang w:val="zh-CN" w:eastAsia="zh-CN"/>
              </w:rPr>
              <w:t>2026</w:t>
            </w:r>
            <w:r w:rsidRPr="00A85B60">
              <w:rPr>
                <w:color w:val="000000"/>
                <w:szCs w:val="24"/>
                <w:lang w:val="zh-CN" w:eastAsia="zh-CN"/>
              </w:rPr>
              <w:t>年全权代表大会</w:t>
            </w:r>
          </w:p>
        </w:tc>
        <w:tc>
          <w:tcPr>
            <w:tcW w:w="1178" w:type="pct"/>
          </w:tcPr>
          <w:p w14:paraId="2CAC3360" w14:textId="169062F3" w:rsidR="00A85B60" w:rsidRPr="00A85B60" w:rsidRDefault="00AC250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center"/>
              <w:rPr>
                <w:szCs w:val="24"/>
                <w:lang w:val="en-US" w:eastAsia="zh-CN"/>
              </w:rPr>
            </w:pPr>
            <w:r w:rsidRPr="00013F7D">
              <w:rPr>
                <w:szCs w:val="24"/>
              </w:rPr>
              <w:noBreakHyphen/>
            </w:r>
          </w:p>
        </w:tc>
      </w:tr>
      <w:tr w:rsidR="00A85B60" w:rsidRPr="00A85B60" w14:paraId="423A7A89" w14:textId="77777777" w:rsidTr="00B82154">
        <w:trPr>
          <w:trHeight w:val="20"/>
        </w:trPr>
        <w:tc>
          <w:tcPr>
            <w:tcW w:w="242" w:type="pct"/>
          </w:tcPr>
          <w:p w14:paraId="3F0FA954"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2</w:t>
            </w:r>
          </w:p>
        </w:tc>
        <w:tc>
          <w:tcPr>
            <w:tcW w:w="3580" w:type="pct"/>
          </w:tcPr>
          <w:p w14:paraId="56DFCB9D"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2026</w:t>
            </w:r>
            <w:r w:rsidRPr="00A85B60">
              <w:rPr>
                <w:color w:val="000000"/>
                <w:szCs w:val="24"/>
                <w:lang w:val="zh-CN" w:eastAsia="zh-CN"/>
              </w:rPr>
              <w:t>年全权代表大会的筹备工作</w:t>
            </w:r>
          </w:p>
        </w:tc>
        <w:tc>
          <w:tcPr>
            <w:tcW w:w="1178" w:type="pct"/>
            <w:vAlign w:val="center"/>
          </w:tcPr>
          <w:p w14:paraId="6293268A"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center"/>
              <w:rPr>
                <w:rFonts w:asciiTheme="minorHAnsi" w:hAnsiTheme="minorHAnsi" w:cstheme="minorHAnsi"/>
                <w:szCs w:val="24"/>
                <w:lang w:val="en-US" w:eastAsia="zh-CN"/>
              </w:rPr>
            </w:pPr>
            <w:hyperlink r:id="rId8" w:history="1">
              <w:r w:rsidRPr="00A85B60">
                <w:rPr>
                  <w:color w:val="0563C1"/>
                  <w:szCs w:val="24"/>
                  <w:u w:val="single"/>
                  <w:lang w:val="en-US" w:eastAsia="zh-CN"/>
                </w:rPr>
                <w:t>C25/4</w:t>
              </w:r>
            </w:hyperlink>
          </w:p>
        </w:tc>
      </w:tr>
      <w:tr w:rsidR="00A85B60" w:rsidRPr="00A85B60" w14:paraId="60C63A0D" w14:textId="77777777" w:rsidTr="00B82154">
        <w:trPr>
          <w:trHeight w:val="20"/>
        </w:trPr>
        <w:tc>
          <w:tcPr>
            <w:tcW w:w="242" w:type="pct"/>
          </w:tcPr>
          <w:p w14:paraId="587BC404"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3</w:t>
            </w:r>
          </w:p>
        </w:tc>
        <w:tc>
          <w:tcPr>
            <w:tcW w:w="3580" w:type="pct"/>
          </w:tcPr>
          <w:p w14:paraId="1F1BBD06"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关于</w:t>
            </w:r>
            <w:r w:rsidRPr="00A85B60">
              <w:rPr>
                <w:rFonts w:hint="eastAsia"/>
                <w:color w:val="000000"/>
                <w:szCs w:val="24"/>
                <w:lang w:val="zh-CN" w:eastAsia="zh-CN"/>
              </w:rPr>
              <w:t>2024</w:t>
            </w:r>
            <w:r w:rsidRPr="00A85B60">
              <w:rPr>
                <w:rFonts w:hint="eastAsia"/>
                <w:color w:val="000000"/>
                <w:szCs w:val="24"/>
                <w:lang w:val="zh-CN" w:eastAsia="zh-CN"/>
              </w:rPr>
              <w:t>年</w:t>
            </w:r>
            <w:r w:rsidRPr="00A85B60">
              <w:rPr>
                <w:color w:val="000000"/>
                <w:szCs w:val="24"/>
                <w:lang w:val="zh-CN" w:eastAsia="zh-CN"/>
              </w:rPr>
              <w:t>全球标准专题研讨会和</w:t>
            </w:r>
            <w:r w:rsidRPr="00A85B60">
              <w:rPr>
                <w:rFonts w:hint="eastAsia"/>
                <w:color w:val="000000"/>
                <w:szCs w:val="24"/>
                <w:lang w:val="zh-CN" w:eastAsia="zh-CN"/>
              </w:rPr>
              <w:t>2024</w:t>
            </w:r>
            <w:r w:rsidRPr="00A85B60">
              <w:rPr>
                <w:rFonts w:hint="eastAsia"/>
                <w:color w:val="000000"/>
                <w:szCs w:val="24"/>
                <w:lang w:val="zh-CN" w:eastAsia="zh-CN"/>
              </w:rPr>
              <w:t>年</w:t>
            </w:r>
            <w:r w:rsidRPr="00A85B60">
              <w:rPr>
                <w:color w:val="000000"/>
                <w:szCs w:val="24"/>
                <w:lang w:val="zh-CN" w:eastAsia="zh-CN"/>
              </w:rPr>
              <w:t>世界电信标准化全会的报告</w:t>
            </w:r>
          </w:p>
        </w:tc>
        <w:tc>
          <w:tcPr>
            <w:tcW w:w="1178" w:type="pct"/>
          </w:tcPr>
          <w:p w14:paraId="062F546B" w14:textId="77777777" w:rsidR="00A85B60" w:rsidRPr="007157CF" w:rsidRDefault="00A85B60" w:rsidP="007157CF">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ind w:hanging="62"/>
              <w:jc w:val="center"/>
              <w:rPr>
                <w:rFonts w:asciiTheme="minorHAnsi" w:hAnsiTheme="minorHAnsi" w:cstheme="minorHAnsi"/>
                <w:spacing w:val="-4"/>
                <w:szCs w:val="24"/>
                <w:lang w:val="en-US" w:eastAsia="zh-CN"/>
              </w:rPr>
            </w:pPr>
            <w:hyperlink r:id="rId9" w:history="1">
              <w:r w:rsidRPr="007157CF">
                <w:rPr>
                  <w:rFonts w:asciiTheme="minorHAnsi" w:hAnsiTheme="minorHAnsi" w:cstheme="minorHAnsi"/>
                  <w:color w:val="0563C1"/>
                  <w:spacing w:val="-4"/>
                  <w:szCs w:val="24"/>
                  <w:u w:val="single"/>
                  <w:lang w:val="en-US" w:eastAsia="en-GB"/>
                </w:rPr>
                <w:t>C25/24</w:t>
              </w:r>
            </w:hyperlink>
            <w:r w:rsidRPr="007157CF">
              <w:rPr>
                <w:rFonts w:asciiTheme="minorHAnsi" w:hAnsiTheme="minorHAnsi" w:cstheme="minorHAnsi" w:hint="eastAsia"/>
                <w:spacing w:val="-4"/>
                <w:szCs w:val="24"/>
                <w:lang w:val="en-US" w:eastAsia="zh-CN"/>
              </w:rPr>
              <w:t>、</w:t>
            </w:r>
            <w:r w:rsidRPr="007157CF">
              <w:rPr>
                <w:spacing w:val="-4"/>
                <w:szCs w:val="24"/>
                <w:lang w:val="en-US" w:eastAsia="zh-CN"/>
              </w:rPr>
              <w:fldChar w:fldCharType="begin"/>
            </w:r>
            <w:r w:rsidRPr="007157CF">
              <w:rPr>
                <w:spacing w:val="-4"/>
                <w:szCs w:val="24"/>
                <w:lang w:val="en-US" w:eastAsia="zh-CN"/>
              </w:rPr>
              <w:instrText>HYPERLINK "https://www.itu.int/md/S25-CL-INF-0014/en"</w:instrText>
            </w:r>
            <w:r w:rsidRPr="007157CF">
              <w:rPr>
                <w:spacing w:val="-4"/>
                <w:szCs w:val="24"/>
                <w:lang w:val="en-US" w:eastAsia="zh-CN"/>
              </w:rPr>
            </w:r>
            <w:r w:rsidRPr="007157CF">
              <w:rPr>
                <w:spacing w:val="-4"/>
                <w:szCs w:val="24"/>
                <w:lang w:val="en-US" w:eastAsia="zh-CN"/>
              </w:rPr>
              <w:fldChar w:fldCharType="separate"/>
            </w:r>
            <w:proofErr w:type="spellStart"/>
            <w:r w:rsidRPr="007157CF">
              <w:rPr>
                <w:rFonts w:asciiTheme="minorHAnsi" w:hAnsiTheme="minorHAnsi" w:cstheme="minorHAnsi"/>
                <w:color w:val="0563C1"/>
                <w:spacing w:val="-4"/>
                <w:szCs w:val="24"/>
                <w:u w:val="single"/>
                <w:lang w:val="en-US" w:eastAsia="en-GB"/>
              </w:rPr>
              <w:t>C25</w:t>
            </w:r>
            <w:proofErr w:type="spellEnd"/>
            <w:r w:rsidRPr="007157CF">
              <w:rPr>
                <w:rFonts w:asciiTheme="minorHAnsi" w:hAnsiTheme="minorHAnsi" w:cstheme="minorHAnsi"/>
                <w:color w:val="0563C1"/>
                <w:spacing w:val="-4"/>
                <w:szCs w:val="24"/>
                <w:u w:val="single"/>
                <w:lang w:val="en-US" w:eastAsia="en-GB"/>
              </w:rPr>
              <w:t>/INF/14</w:t>
            </w:r>
            <w:r w:rsidRPr="007157CF">
              <w:rPr>
                <w:spacing w:val="-4"/>
                <w:szCs w:val="24"/>
                <w:lang w:val="en-US" w:eastAsia="zh-CN"/>
              </w:rPr>
              <w:fldChar w:fldCharType="end"/>
            </w:r>
          </w:p>
        </w:tc>
      </w:tr>
      <w:tr w:rsidR="00A85B60" w:rsidRPr="00A85B60" w14:paraId="48EBFB5D" w14:textId="77777777" w:rsidTr="00B82154">
        <w:trPr>
          <w:trHeight w:val="20"/>
        </w:trPr>
        <w:tc>
          <w:tcPr>
            <w:tcW w:w="242" w:type="pct"/>
          </w:tcPr>
          <w:p w14:paraId="2FADF2DE"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4</w:t>
            </w:r>
          </w:p>
        </w:tc>
        <w:tc>
          <w:tcPr>
            <w:tcW w:w="3580" w:type="pct"/>
          </w:tcPr>
          <w:p w14:paraId="3F4B08F0"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理事会国际互联网相关公共政策问题工作组主席的报告</w:t>
            </w:r>
          </w:p>
        </w:tc>
        <w:tc>
          <w:tcPr>
            <w:tcW w:w="1178" w:type="pct"/>
          </w:tcPr>
          <w:p w14:paraId="3CA2B44E"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center"/>
              <w:rPr>
                <w:rFonts w:asciiTheme="minorHAnsi" w:hAnsiTheme="minorHAnsi" w:cstheme="minorHAnsi"/>
                <w:szCs w:val="24"/>
                <w:lang w:val="en-US" w:eastAsia="zh-CN"/>
              </w:rPr>
            </w:pPr>
            <w:hyperlink r:id="rId10" w:history="1">
              <w:r w:rsidRPr="00A85B60">
                <w:rPr>
                  <w:rFonts w:asciiTheme="minorHAnsi" w:hAnsiTheme="minorHAnsi" w:cstheme="minorHAnsi"/>
                  <w:color w:val="0563C1"/>
                  <w:szCs w:val="24"/>
                  <w:u w:val="single"/>
                  <w:lang w:val="en-US" w:eastAsia="en-GB"/>
                </w:rPr>
                <w:t>C25/51</w:t>
              </w:r>
            </w:hyperlink>
          </w:p>
        </w:tc>
      </w:tr>
      <w:tr w:rsidR="00A85B60" w:rsidRPr="00A85B60" w14:paraId="3879ED61" w14:textId="77777777" w:rsidTr="00B82154">
        <w:trPr>
          <w:trHeight w:val="20"/>
        </w:trPr>
        <w:tc>
          <w:tcPr>
            <w:tcW w:w="242" w:type="pct"/>
          </w:tcPr>
          <w:p w14:paraId="2016EF43"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5</w:t>
            </w:r>
          </w:p>
        </w:tc>
        <w:tc>
          <w:tcPr>
            <w:tcW w:w="3580" w:type="pct"/>
          </w:tcPr>
          <w:p w14:paraId="2AE593F7"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国际电联互联网活动：全球代表大会第</w:t>
            </w:r>
            <w:r w:rsidRPr="00A85B60">
              <w:rPr>
                <w:color w:val="000000"/>
                <w:szCs w:val="24"/>
                <w:lang w:val="zh-CN" w:eastAsia="zh-CN"/>
              </w:rPr>
              <w:t>101</w:t>
            </w:r>
            <w:r w:rsidRPr="00A85B60">
              <w:rPr>
                <w:color w:val="000000"/>
                <w:szCs w:val="24"/>
                <w:lang w:val="zh-CN" w:eastAsia="zh-CN"/>
              </w:rPr>
              <w:t>、</w:t>
            </w:r>
            <w:r w:rsidRPr="00A85B60">
              <w:rPr>
                <w:color w:val="000000"/>
                <w:szCs w:val="24"/>
                <w:lang w:val="zh-CN" w:eastAsia="zh-CN"/>
              </w:rPr>
              <w:t>102</w:t>
            </w:r>
            <w:r w:rsidRPr="00A85B60">
              <w:rPr>
                <w:color w:val="000000"/>
                <w:szCs w:val="24"/>
                <w:lang w:val="zh-CN" w:eastAsia="zh-CN"/>
              </w:rPr>
              <w:t>、</w:t>
            </w:r>
            <w:r w:rsidRPr="00A85B60">
              <w:rPr>
                <w:color w:val="000000"/>
                <w:szCs w:val="24"/>
                <w:lang w:val="zh-CN" w:eastAsia="zh-CN"/>
              </w:rPr>
              <w:t>133</w:t>
            </w:r>
            <w:r w:rsidRPr="00A85B60">
              <w:rPr>
                <w:color w:val="000000"/>
                <w:szCs w:val="24"/>
                <w:lang w:val="zh-CN" w:eastAsia="zh-CN"/>
              </w:rPr>
              <w:t>、</w:t>
            </w:r>
            <w:r w:rsidRPr="00A85B60">
              <w:rPr>
                <w:color w:val="000000"/>
                <w:szCs w:val="24"/>
                <w:lang w:val="zh-CN" w:eastAsia="zh-CN"/>
              </w:rPr>
              <w:t>180</w:t>
            </w:r>
            <w:r w:rsidRPr="00A85B60">
              <w:rPr>
                <w:color w:val="000000"/>
                <w:szCs w:val="24"/>
                <w:lang w:val="zh-CN" w:eastAsia="zh-CN"/>
              </w:rPr>
              <w:t>和</w:t>
            </w:r>
            <w:r w:rsidRPr="00A85B60">
              <w:rPr>
                <w:color w:val="000000"/>
                <w:szCs w:val="24"/>
                <w:lang w:val="zh-CN" w:eastAsia="zh-CN"/>
              </w:rPr>
              <w:t>206</w:t>
            </w:r>
            <w:r w:rsidRPr="00A85B60">
              <w:rPr>
                <w:color w:val="000000"/>
                <w:szCs w:val="24"/>
                <w:lang w:val="zh-CN" w:eastAsia="zh-CN"/>
              </w:rPr>
              <w:t>号决议</w:t>
            </w:r>
          </w:p>
        </w:tc>
        <w:tc>
          <w:tcPr>
            <w:tcW w:w="1178" w:type="pct"/>
          </w:tcPr>
          <w:p w14:paraId="446A2E2A"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center"/>
              <w:rPr>
                <w:rFonts w:asciiTheme="minorHAnsi" w:hAnsiTheme="minorHAnsi" w:cstheme="minorHAnsi"/>
                <w:szCs w:val="24"/>
                <w:lang w:val="en-US" w:eastAsia="zh-CN"/>
              </w:rPr>
            </w:pPr>
            <w:hyperlink r:id="rId11" w:history="1">
              <w:r w:rsidRPr="00A85B60">
                <w:rPr>
                  <w:color w:val="0563C1"/>
                  <w:szCs w:val="24"/>
                  <w:u w:val="single"/>
                  <w:lang w:val="en-US" w:eastAsia="zh-CN"/>
                </w:rPr>
                <w:t>C25/33</w:t>
              </w:r>
            </w:hyperlink>
          </w:p>
        </w:tc>
      </w:tr>
      <w:tr w:rsidR="00A85B60" w:rsidRPr="00A85B60" w14:paraId="5BE48324" w14:textId="77777777" w:rsidTr="00B82154">
        <w:trPr>
          <w:trHeight w:val="20"/>
        </w:trPr>
        <w:tc>
          <w:tcPr>
            <w:tcW w:w="242" w:type="pct"/>
          </w:tcPr>
          <w:p w14:paraId="38948033"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6</w:t>
            </w:r>
          </w:p>
        </w:tc>
        <w:tc>
          <w:tcPr>
            <w:tcW w:w="3580" w:type="pct"/>
          </w:tcPr>
          <w:p w14:paraId="3406F5D3"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CWG-WSIS&amp;SDG</w:t>
            </w:r>
            <w:r w:rsidRPr="00A85B60">
              <w:rPr>
                <w:color w:val="000000"/>
                <w:szCs w:val="24"/>
                <w:lang w:val="zh-CN" w:eastAsia="zh-CN"/>
              </w:rPr>
              <w:t>主席关于第</w:t>
            </w:r>
            <w:r w:rsidRPr="00A85B60">
              <w:rPr>
                <w:color w:val="000000"/>
                <w:szCs w:val="24"/>
                <w:lang w:val="zh-CN" w:eastAsia="zh-CN"/>
              </w:rPr>
              <w:t>41</w:t>
            </w:r>
            <w:r w:rsidRPr="00A85B60">
              <w:rPr>
                <w:color w:val="000000"/>
                <w:szCs w:val="24"/>
                <w:lang w:val="zh-CN" w:eastAsia="zh-CN"/>
              </w:rPr>
              <w:t>次和第</w:t>
            </w:r>
            <w:r w:rsidRPr="00A85B60">
              <w:rPr>
                <w:color w:val="000000"/>
                <w:szCs w:val="24"/>
                <w:lang w:val="zh-CN" w:eastAsia="zh-CN"/>
              </w:rPr>
              <w:t>42</w:t>
            </w:r>
            <w:r w:rsidRPr="00A85B60">
              <w:rPr>
                <w:color w:val="000000"/>
                <w:szCs w:val="24"/>
                <w:lang w:val="zh-CN" w:eastAsia="zh-CN"/>
              </w:rPr>
              <w:t>次会议成果的报告</w:t>
            </w:r>
          </w:p>
        </w:tc>
        <w:tc>
          <w:tcPr>
            <w:tcW w:w="1178" w:type="pct"/>
          </w:tcPr>
          <w:p w14:paraId="0A117C91"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center"/>
              <w:rPr>
                <w:rFonts w:asciiTheme="minorHAnsi" w:hAnsiTheme="minorHAnsi" w:cstheme="minorHAnsi"/>
                <w:szCs w:val="24"/>
                <w:lang w:val="en-US" w:eastAsia="zh-CN"/>
              </w:rPr>
            </w:pPr>
            <w:hyperlink r:id="rId12" w:history="1">
              <w:r w:rsidRPr="00A85B60">
                <w:rPr>
                  <w:rFonts w:asciiTheme="minorHAnsi" w:hAnsiTheme="minorHAnsi" w:cstheme="minorHAnsi"/>
                  <w:color w:val="0563C1"/>
                  <w:szCs w:val="24"/>
                  <w:u w:val="single"/>
                  <w:lang w:val="en-US" w:eastAsia="en-GB"/>
                </w:rPr>
                <w:t>C25/8</w:t>
              </w:r>
            </w:hyperlink>
          </w:p>
        </w:tc>
      </w:tr>
      <w:tr w:rsidR="00A85B60" w:rsidRPr="00A85B60" w14:paraId="2EC6ADD2" w14:textId="77777777" w:rsidTr="00B82154">
        <w:trPr>
          <w:trHeight w:val="20"/>
        </w:trPr>
        <w:tc>
          <w:tcPr>
            <w:tcW w:w="242" w:type="pct"/>
          </w:tcPr>
          <w:p w14:paraId="6887EC52"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7</w:t>
            </w:r>
          </w:p>
        </w:tc>
        <w:tc>
          <w:tcPr>
            <w:tcW w:w="3580" w:type="pct"/>
          </w:tcPr>
          <w:p w14:paraId="4181E360"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关于国际电联对</w:t>
            </w:r>
            <w:r w:rsidRPr="00A85B60">
              <w:rPr>
                <w:color w:val="000000"/>
                <w:szCs w:val="24"/>
                <w:lang w:val="zh-CN" w:eastAsia="zh-CN"/>
              </w:rPr>
              <w:t>WSIS</w:t>
            </w:r>
            <w:r w:rsidRPr="00A85B60">
              <w:rPr>
                <w:color w:val="000000"/>
                <w:szCs w:val="24"/>
                <w:lang w:val="zh-CN" w:eastAsia="zh-CN"/>
              </w:rPr>
              <w:t>成果落实和后续行动的贡献及其在实现可持续发展目标中的作用的</w:t>
            </w:r>
            <w:r w:rsidRPr="00A85B60">
              <w:rPr>
                <w:color w:val="000000"/>
                <w:szCs w:val="24"/>
                <w:lang w:val="zh-CN" w:eastAsia="zh-CN"/>
              </w:rPr>
              <w:t>WSIS+20</w:t>
            </w:r>
            <w:r w:rsidRPr="00A85B60">
              <w:rPr>
                <w:color w:val="000000"/>
                <w:szCs w:val="24"/>
                <w:lang w:val="zh-CN" w:eastAsia="zh-CN"/>
              </w:rPr>
              <w:t>报告</w:t>
            </w:r>
          </w:p>
        </w:tc>
        <w:tc>
          <w:tcPr>
            <w:tcW w:w="1178" w:type="pct"/>
          </w:tcPr>
          <w:p w14:paraId="2EFCAEB2" w14:textId="77777777" w:rsidR="00A85B60" w:rsidRPr="00A85B60" w:rsidRDefault="00A85B60" w:rsidP="00A85B6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center"/>
              <w:rPr>
                <w:rFonts w:asciiTheme="minorHAnsi" w:hAnsiTheme="minorHAnsi" w:cstheme="minorHAnsi"/>
                <w:szCs w:val="24"/>
                <w:lang w:val="en-US" w:eastAsia="zh-CN"/>
              </w:rPr>
            </w:pPr>
            <w:hyperlink r:id="rId13" w:history="1">
              <w:proofErr w:type="spellStart"/>
              <w:r w:rsidRPr="00A85B60">
                <w:rPr>
                  <w:color w:val="0563C1"/>
                  <w:szCs w:val="24"/>
                  <w:u w:val="single"/>
                  <w:lang w:val="en-US" w:eastAsia="zh-CN"/>
                </w:rPr>
                <w:t>C25</w:t>
              </w:r>
              <w:proofErr w:type="spellEnd"/>
              <w:r w:rsidRPr="00A85B60">
                <w:rPr>
                  <w:color w:val="0563C1"/>
                  <w:szCs w:val="24"/>
                  <w:u w:val="single"/>
                  <w:lang w:val="en-US" w:eastAsia="zh-CN"/>
                </w:rPr>
                <w:t>/61</w:t>
              </w:r>
            </w:hyperlink>
            <w:r w:rsidRPr="00A85B60">
              <w:rPr>
                <w:rFonts w:hint="eastAsia"/>
                <w:bCs/>
                <w:szCs w:val="24"/>
                <w:lang w:val="en-US" w:eastAsia="zh-CN"/>
              </w:rPr>
              <w:t>、</w:t>
            </w:r>
            <w:r w:rsidRPr="00A85B60">
              <w:rPr>
                <w:szCs w:val="24"/>
                <w:lang w:val="en-US" w:eastAsia="zh-CN"/>
              </w:rPr>
              <w:fldChar w:fldCharType="begin"/>
            </w:r>
            <w:r w:rsidRPr="00A85B60">
              <w:rPr>
                <w:szCs w:val="24"/>
                <w:lang w:val="en-US" w:eastAsia="zh-CN"/>
              </w:rPr>
              <w:instrText>HYPERLINK "https://www.itu.int/md/S25-CL-C-0080/en"</w:instrText>
            </w:r>
            <w:r w:rsidRPr="00A85B60">
              <w:rPr>
                <w:szCs w:val="24"/>
                <w:lang w:val="en-US" w:eastAsia="zh-CN"/>
              </w:rPr>
            </w:r>
            <w:r w:rsidRPr="00A85B60">
              <w:rPr>
                <w:szCs w:val="24"/>
                <w:lang w:val="en-US" w:eastAsia="zh-CN"/>
              </w:rPr>
              <w:fldChar w:fldCharType="separate"/>
            </w:r>
            <w:proofErr w:type="spellStart"/>
            <w:r w:rsidRPr="00A85B60">
              <w:rPr>
                <w:color w:val="0563C1"/>
                <w:szCs w:val="24"/>
                <w:u w:val="single"/>
                <w:lang w:val="en-US" w:eastAsia="zh-CN"/>
              </w:rPr>
              <w:t>C25</w:t>
            </w:r>
            <w:proofErr w:type="spellEnd"/>
            <w:r w:rsidRPr="00A85B60">
              <w:rPr>
                <w:color w:val="0563C1"/>
                <w:szCs w:val="24"/>
                <w:u w:val="single"/>
                <w:lang w:val="en-US" w:eastAsia="zh-CN"/>
              </w:rPr>
              <w:t>/80</w:t>
            </w:r>
            <w:r w:rsidRPr="00A85B60">
              <w:rPr>
                <w:szCs w:val="24"/>
                <w:lang w:val="en-US" w:eastAsia="zh-CN"/>
              </w:rPr>
              <w:fldChar w:fldCharType="end"/>
            </w:r>
          </w:p>
        </w:tc>
      </w:tr>
      <w:tr w:rsidR="00AC2500" w:rsidRPr="00A85B60" w14:paraId="1BE736B2" w14:textId="77777777" w:rsidTr="00B82154">
        <w:trPr>
          <w:trHeight w:val="20"/>
        </w:trPr>
        <w:tc>
          <w:tcPr>
            <w:tcW w:w="242" w:type="pct"/>
          </w:tcPr>
          <w:p w14:paraId="17070BE3" w14:textId="77777777" w:rsidR="00AC2500" w:rsidRPr="00A85B60" w:rsidRDefault="00AC2500" w:rsidP="00AC250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8</w:t>
            </w:r>
          </w:p>
        </w:tc>
        <w:tc>
          <w:tcPr>
            <w:tcW w:w="3580" w:type="pct"/>
          </w:tcPr>
          <w:p w14:paraId="045FB898" w14:textId="77777777" w:rsidR="00AC2500" w:rsidRPr="00A85B60" w:rsidRDefault="00AC2500" w:rsidP="00AC250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rFonts w:hint="eastAsia"/>
                <w:szCs w:val="24"/>
                <w:lang w:val="en-US" w:eastAsia="zh-CN"/>
              </w:rPr>
              <w:t>对</w:t>
            </w:r>
            <w:r w:rsidRPr="00A85B60">
              <w:rPr>
                <w:szCs w:val="24"/>
                <w:lang w:val="en-US" w:eastAsia="en-GB"/>
              </w:rPr>
              <w:t>Nigel Hickson</w:t>
            </w:r>
            <w:r w:rsidRPr="00A85B60">
              <w:rPr>
                <w:color w:val="000000"/>
                <w:szCs w:val="24"/>
                <w:lang w:val="zh-CN" w:eastAsia="zh-CN"/>
              </w:rPr>
              <w:t>去世</w:t>
            </w:r>
            <w:r w:rsidRPr="00A85B60">
              <w:rPr>
                <w:rFonts w:hint="eastAsia"/>
                <w:color w:val="000000"/>
                <w:szCs w:val="24"/>
                <w:lang w:val="zh-CN" w:eastAsia="zh-CN"/>
              </w:rPr>
              <w:t>表示</w:t>
            </w:r>
            <w:r w:rsidRPr="00A85B60">
              <w:rPr>
                <w:color w:val="000000"/>
                <w:szCs w:val="24"/>
                <w:lang w:val="zh-CN" w:eastAsia="zh-CN"/>
              </w:rPr>
              <w:t>哀悼</w:t>
            </w:r>
          </w:p>
        </w:tc>
        <w:tc>
          <w:tcPr>
            <w:tcW w:w="1178" w:type="pct"/>
          </w:tcPr>
          <w:p w14:paraId="67394A60" w14:textId="0E6B5592" w:rsidR="00AC2500" w:rsidRPr="00A85B60" w:rsidRDefault="00AC2500" w:rsidP="00AC250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center"/>
              <w:rPr>
                <w:rFonts w:asciiTheme="minorHAnsi" w:hAnsiTheme="minorHAnsi" w:cstheme="minorHAnsi"/>
                <w:szCs w:val="24"/>
                <w:lang w:val="en-US" w:eastAsia="zh-CN"/>
              </w:rPr>
            </w:pPr>
            <w:r w:rsidRPr="00013F7D">
              <w:rPr>
                <w:rFonts w:asciiTheme="minorHAnsi" w:hAnsiTheme="minorHAnsi" w:cstheme="minorHAnsi"/>
                <w:szCs w:val="24"/>
                <w:lang w:eastAsia="en-GB"/>
              </w:rPr>
              <w:noBreakHyphen/>
            </w:r>
          </w:p>
        </w:tc>
      </w:tr>
      <w:tr w:rsidR="00AC2500" w:rsidRPr="00A85B60" w14:paraId="08CD392F" w14:textId="77777777" w:rsidTr="00B82154">
        <w:trPr>
          <w:trHeight w:val="20"/>
        </w:trPr>
        <w:tc>
          <w:tcPr>
            <w:tcW w:w="242" w:type="pct"/>
          </w:tcPr>
          <w:p w14:paraId="1029FAC5" w14:textId="77777777" w:rsidR="00AC2500" w:rsidRPr="00A85B60" w:rsidRDefault="00AC2500" w:rsidP="00AC250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9</w:t>
            </w:r>
          </w:p>
        </w:tc>
        <w:tc>
          <w:tcPr>
            <w:tcW w:w="3580" w:type="pct"/>
          </w:tcPr>
          <w:p w14:paraId="35862292" w14:textId="77777777" w:rsidR="00AC2500" w:rsidRPr="00A85B60" w:rsidRDefault="00AC2500" w:rsidP="00AC250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both"/>
              <w:rPr>
                <w:szCs w:val="24"/>
                <w:lang w:val="en-US" w:eastAsia="zh-CN"/>
              </w:rPr>
            </w:pPr>
            <w:r w:rsidRPr="00A85B60">
              <w:rPr>
                <w:color w:val="000000"/>
                <w:szCs w:val="24"/>
                <w:lang w:val="zh-CN" w:eastAsia="zh-CN"/>
              </w:rPr>
              <w:t>理事的</w:t>
            </w:r>
            <w:r w:rsidRPr="00A85B60">
              <w:rPr>
                <w:rFonts w:hint="eastAsia"/>
                <w:color w:val="000000"/>
                <w:szCs w:val="24"/>
                <w:lang w:val="zh-CN" w:eastAsia="zh-CN"/>
              </w:rPr>
              <w:t>声明</w:t>
            </w:r>
          </w:p>
        </w:tc>
        <w:tc>
          <w:tcPr>
            <w:tcW w:w="1178" w:type="pct"/>
          </w:tcPr>
          <w:p w14:paraId="75E90E0F" w14:textId="11D7AFD6" w:rsidR="00AC2500" w:rsidRPr="00A85B60" w:rsidRDefault="00AC2500" w:rsidP="00AC2500">
            <w:pPr>
              <w:tabs>
                <w:tab w:val="clear" w:pos="794"/>
                <w:tab w:val="clear" w:pos="1191"/>
                <w:tab w:val="clear" w:pos="1588"/>
                <w:tab w:val="clear" w:pos="1985"/>
                <w:tab w:val="left" w:pos="567"/>
                <w:tab w:val="left" w:pos="1134"/>
                <w:tab w:val="left" w:pos="1701"/>
                <w:tab w:val="left" w:pos="2268"/>
                <w:tab w:val="left" w:pos="2835"/>
              </w:tabs>
              <w:spacing w:before="80" w:after="80" w:line="280" w:lineRule="exact"/>
              <w:jc w:val="center"/>
              <w:rPr>
                <w:rFonts w:asciiTheme="minorHAnsi" w:hAnsiTheme="minorHAnsi" w:cstheme="minorHAnsi"/>
                <w:szCs w:val="24"/>
                <w:lang w:val="en-US" w:eastAsia="zh-CN"/>
              </w:rPr>
            </w:pPr>
            <w:r w:rsidRPr="00013F7D">
              <w:rPr>
                <w:rFonts w:asciiTheme="minorHAnsi" w:hAnsiTheme="minorHAnsi" w:cstheme="minorHAnsi"/>
                <w:szCs w:val="24"/>
                <w:lang w:eastAsia="en-GB"/>
              </w:rPr>
              <w:noBreakHyphen/>
            </w:r>
          </w:p>
        </w:tc>
      </w:tr>
      <w:bookmarkEnd w:id="5"/>
    </w:tbl>
    <w:p w14:paraId="4A99FCA8" w14:textId="77777777" w:rsidR="00365D14" w:rsidRDefault="00365D14" w:rsidP="00A85B60">
      <w:pPr>
        <w:tabs>
          <w:tab w:val="clear" w:pos="794"/>
          <w:tab w:val="clear" w:pos="1191"/>
          <w:tab w:val="clear" w:pos="1588"/>
          <w:tab w:val="clear" w:pos="1985"/>
        </w:tabs>
        <w:overflowPunct/>
        <w:autoSpaceDE/>
        <w:autoSpaceDN/>
        <w:adjustRightInd/>
        <w:spacing w:before="0"/>
        <w:textAlignment w:val="auto"/>
        <w:rPr>
          <w:lang w:eastAsia="zh-CN"/>
        </w:rPr>
      </w:pPr>
    </w:p>
    <w:p w14:paraId="0E36B681" w14:textId="0B8363D8" w:rsidR="00AE195F" w:rsidRPr="00A85B60" w:rsidRDefault="00E24D59" w:rsidP="00A85B60">
      <w:pPr>
        <w:tabs>
          <w:tab w:val="clear" w:pos="794"/>
          <w:tab w:val="clear" w:pos="1191"/>
          <w:tab w:val="clear" w:pos="1588"/>
          <w:tab w:val="clear" w:pos="1985"/>
        </w:tabs>
        <w:overflowPunct/>
        <w:autoSpaceDE/>
        <w:autoSpaceDN/>
        <w:adjustRightInd/>
        <w:spacing w:before="0"/>
        <w:textAlignment w:val="auto"/>
        <w:rPr>
          <w:lang w:eastAsia="zh-CN"/>
        </w:rPr>
      </w:pPr>
      <w:r>
        <w:br w:type="page"/>
      </w:r>
    </w:p>
    <w:p w14:paraId="03734308" w14:textId="77777777" w:rsidR="00A85B60" w:rsidRPr="00A85B60" w:rsidRDefault="00A85B60" w:rsidP="00A85B60">
      <w:pPr>
        <w:pStyle w:val="Heading1"/>
      </w:pPr>
      <w:r w:rsidRPr="00A85B60">
        <w:lastRenderedPageBreak/>
        <w:t>1</w:t>
      </w:r>
      <w:r w:rsidRPr="00A85B60">
        <w:tab/>
      </w:r>
      <w:proofErr w:type="spellStart"/>
      <w:r w:rsidRPr="00A85B60">
        <w:rPr>
          <w:rFonts w:hint="eastAsia"/>
        </w:rPr>
        <w:t>介绍</w:t>
      </w:r>
      <w:proofErr w:type="spellEnd"/>
      <w:r w:rsidRPr="00A85B60">
        <w:rPr>
          <w:rFonts w:hint="eastAsia"/>
        </w:rPr>
        <w:t>2026</w:t>
      </w:r>
      <w:proofErr w:type="spellStart"/>
      <w:r w:rsidRPr="00A85B60">
        <w:rPr>
          <w:rFonts w:hint="eastAsia"/>
        </w:rPr>
        <w:t>年全权代表大会</w:t>
      </w:r>
      <w:proofErr w:type="spellEnd"/>
    </w:p>
    <w:p w14:paraId="77DF398F" w14:textId="4ADA3B46" w:rsidR="00A85B60" w:rsidRPr="00A066BA" w:rsidRDefault="00A85B60" w:rsidP="00A066BA">
      <w:pPr>
        <w:jc w:val="both"/>
        <w:rPr>
          <w:spacing w:val="-2"/>
          <w:lang w:eastAsia="zh-CN"/>
        </w:rPr>
      </w:pPr>
      <w:r w:rsidRPr="00A066BA">
        <w:rPr>
          <w:spacing w:val="-2"/>
          <w:lang w:val="zh-CN" w:eastAsia="zh-CN"/>
        </w:rPr>
        <w:t>1.1</w:t>
      </w:r>
      <w:r w:rsidRPr="00A066BA">
        <w:rPr>
          <w:spacing w:val="-2"/>
          <w:lang w:val="zh-CN" w:eastAsia="zh-CN"/>
        </w:rPr>
        <w:tab/>
      </w:r>
      <w:r w:rsidRPr="00A066BA">
        <w:rPr>
          <w:spacing w:val="-2"/>
          <w:lang w:val="zh-CN" w:eastAsia="zh-CN"/>
        </w:rPr>
        <w:t>卡塔尔观察员概述了将在多哈展览会议中心举行的</w:t>
      </w:r>
      <w:r w:rsidRPr="00A066BA">
        <w:rPr>
          <w:spacing w:val="-2"/>
          <w:lang w:val="zh-CN" w:eastAsia="zh-CN"/>
        </w:rPr>
        <w:t>2026</w:t>
      </w:r>
      <w:r w:rsidRPr="00A066BA">
        <w:rPr>
          <w:spacing w:val="-2"/>
          <w:lang w:val="zh-CN" w:eastAsia="zh-CN"/>
        </w:rPr>
        <w:t>年全权代表大会（</w:t>
      </w:r>
      <w:r w:rsidRPr="00A066BA">
        <w:rPr>
          <w:spacing w:val="-2"/>
          <w:lang w:val="zh-CN" w:eastAsia="zh-CN"/>
        </w:rPr>
        <w:t>PP-26</w:t>
      </w:r>
      <w:r w:rsidRPr="00A066BA">
        <w:rPr>
          <w:spacing w:val="-2"/>
          <w:lang w:val="zh-CN" w:eastAsia="zh-CN"/>
        </w:rPr>
        <w:t>）的筹备工作。在</w:t>
      </w:r>
      <w:r w:rsidRPr="00A066BA">
        <w:rPr>
          <w:spacing w:val="-2"/>
          <w:lang w:val="zh-CN" w:eastAsia="zh-CN"/>
        </w:rPr>
        <w:t>2024</w:t>
      </w:r>
      <w:r w:rsidRPr="00A066BA">
        <w:rPr>
          <w:spacing w:val="-2"/>
          <w:lang w:val="zh-CN" w:eastAsia="zh-CN"/>
        </w:rPr>
        <w:t>年初宣布候任主席人选后，国际电联的一个代表团访问了卡塔尔，并确认该场所符合</w:t>
      </w:r>
      <w:r w:rsidRPr="00A066BA">
        <w:rPr>
          <w:rFonts w:hint="eastAsia"/>
          <w:spacing w:val="-2"/>
          <w:lang w:val="zh-CN" w:eastAsia="zh-CN"/>
        </w:rPr>
        <w:t>大会</w:t>
      </w:r>
      <w:r w:rsidRPr="00A066BA">
        <w:rPr>
          <w:spacing w:val="-2"/>
          <w:lang w:val="zh-CN" w:eastAsia="zh-CN"/>
        </w:rPr>
        <w:t>空间、技术、安全、位置和通道方面的要求。大会的作用和责任已经确定：卡塔尔通信管理局负责内容，</w:t>
      </w:r>
      <w:r w:rsidRPr="00A066BA">
        <w:rPr>
          <w:rFonts w:hint="eastAsia"/>
          <w:spacing w:val="-2"/>
          <w:lang w:val="zh-CN" w:eastAsia="zh-CN"/>
        </w:rPr>
        <w:t>卡塔尔组织大会常设委员会负责后勤</w:t>
      </w:r>
      <w:r w:rsidRPr="00A066BA">
        <w:rPr>
          <w:spacing w:val="-2"/>
          <w:lang w:val="zh-CN" w:eastAsia="zh-CN"/>
        </w:rPr>
        <w:t>。</w:t>
      </w:r>
    </w:p>
    <w:p w14:paraId="49B010DE" w14:textId="77777777" w:rsidR="00A85B60" w:rsidRPr="00013F7D" w:rsidRDefault="00A85B60" w:rsidP="00A066BA">
      <w:pPr>
        <w:jc w:val="both"/>
        <w:rPr>
          <w:lang w:eastAsia="zh-CN"/>
        </w:rPr>
      </w:pPr>
      <w:r>
        <w:rPr>
          <w:lang w:val="zh-CN" w:eastAsia="zh-CN"/>
        </w:rPr>
        <w:t>1.2</w:t>
      </w:r>
      <w:r>
        <w:rPr>
          <w:lang w:val="zh-CN" w:eastAsia="zh-CN"/>
        </w:rPr>
        <w:tab/>
      </w:r>
      <w:r>
        <w:rPr>
          <w:lang w:val="zh-CN" w:eastAsia="zh-CN"/>
        </w:rPr>
        <w:t>东道国协议和场地规划正在最后确定中，代表</w:t>
      </w:r>
      <w:r>
        <w:rPr>
          <w:rFonts w:hint="eastAsia"/>
          <w:lang w:val="zh-CN" w:eastAsia="zh-CN"/>
        </w:rPr>
        <w:t>下榻</w:t>
      </w:r>
      <w:r>
        <w:rPr>
          <w:lang w:val="zh-CN" w:eastAsia="zh-CN"/>
        </w:rPr>
        <w:t>酒店平台将很快启动。国际电联团队将于</w:t>
      </w:r>
      <w:r>
        <w:rPr>
          <w:lang w:val="zh-CN" w:eastAsia="zh-CN"/>
        </w:rPr>
        <w:t>2025</w:t>
      </w:r>
      <w:r>
        <w:rPr>
          <w:lang w:val="zh-CN" w:eastAsia="zh-CN"/>
        </w:rPr>
        <w:t>年</w:t>
      </w:r>
      <w:r>
        <w:rPr>
          <w:lang w:val="zh-CN" w:eastAsia="zh-CN"/>
        </w:rPr>
        <w:t>11</w:t>
      </w:r>
      <w:r>
        <w:rPr>
          <w:lang w:val="zh-CN" w:eastAsia="zh-CN"/>
        </w:rPr>
        <w:t>月</w:t>
      </w:r>
      <w:r>
        <w:rPr>
          <w:rFonts w:hint="eastAsia"/>
          <w:lang w:val="zh-CN" w:eastAsia="zh-CN"/>
        </w:rPr>
        <w:t>再度访问</w:t>
      </w:r>
      <w:r>
        <w:rPr>
          <w:lang w:val="zh-CN" w:eastAsia="zh-CN"/>
        </w:rPr>
        <w:t>卡塔尔，</w:t>
      </w:r>
      <w:r>
        <w:rPr>
          <w:rFonts w:hint="eastAsia"/>
          <w:lang w:val="zh-CN" w:eastAsia="zh-CN"/>
        </w:rPr>
        <w:t>观察</w:t>
      </w:r>
      <w:r>
        <w:rPr>
          <w:lang w:val="zh-CN" w:eastAsia="zh-CN"/>
        </w:rPr>
        <w:t>第二届社会发展世界峰会的组织情况。</w:t>
      </w:r>
    </w:p>
    <w:p w14:paraId="02840079" w14:textId="77777777" w:rsidR="00A85B60" w:rsidRPr="00013F7D" w:rsidRDefault="00A85B60" w:rsidP="00A066BA">
      <w:pPr>
        <w:jc w:val="both"/>
        <w:rPr>
          <w:lang w:eastAsia="zh-CN"/>
        </w:rPr>
      </w:pPr>
      <w:r>
        <w:rPr>
          <w:lang w:val="zh-CN" w:eastAsia="zh-CN"/>
        </w:rPr>
        <w:t>1.3</w:t>
      </w:r>
      <w:r>
        <w:rPr>
          <w:lang w:val="zh-CN" w:eastAsia="zh-CN"/>
        </w:rPr>
        <w:tab/>
      </w:r>
      <w:r>
        <w:rPr>
          <w:lang w:val="zh-CN" w:eastAsia="zh-CN"/>
        </w:rPr>
        <w:t>卡塔尔承诺举办一届世界级的大会</w:t>
      </w:r>
      <w:r>
        <w:rPr>
          <w:rFonts w:hint="eastAsia"/>
          <w:lang w:val="zh-CN" w:eastAsia="zh-CN"/>
        </w:rPr>
        <w:t>，大会</w:t>
      </w:r>
      <w:r w:rsidRPr="00721609">
        <w:rPr>
          <w:rFonts w:hint="eastAsia"/>
          <w:lang w:val="zh-CN" w:eastAsia="zh-CN"/>
        </w:rPr>
        <w:t>环境将传统与现代完美融合</w:t>
      </w:r>
      <w:r>
        <w:rPr>
          <w:lang w:val="zh-CN" w:eastAsia="zh-CN"/>
        </w:rPr>
        <w:t>。</w:t>
      </w:r>
      <w:r w:rsidRPr="00721609">
        <w:rPr>
          <w:rFonts w:hint="eastAsia"/>
          <w:lang w:val="zh-CN" w:eastAsia="zh-CN"/>
        </w:rPr>
        <w:t>卡塔尔正与</w:t>
      </w:r>
      <w:r>
        <w:rPr>
          <w:lang w:val="zh-CN" w:eastAsia="zh-CN"/>
        </w:rPr>
        <w:t>国际电联</w:t>
      </w:r>
      <w:r w:rsidRPr="00721609">
        <w:rPr>
          <w:rFonts w:hint="eastAsia"/>
          <w:lang w:val="zh-CN" w:eastAsia="zh-CN"/>
        </w:rPr>
        <w:t>合作，</w:t>
      </w:r>
      <w:r>
        <w:rPr>
          <w:lang w:val="zh-CN" w:eastAsia="zh-CN"/>
        </w:rPr>
        <w:t>最终确定一个用于宣传、注册和提高项目知名度的数字平台。将发布品牌推广导则</w:t>
      </w:r>
      <w:r w:rsidRPr="00721609">
        <w:rPr>
          <w:rFonts w:hint="eastAsia"/>
          <w:lang w:val="zh-CN" w:eastAsia="zh-CN"/>
        </w:rPr>
        <w:t>，</w:t>
      </w:r>
      <w:r>
        <w:rPr>
          <w:rFonts w:hint="eastAsia"/>
          <w:lang w:val="zh-CN" w:eastAsia="zh-CN"/>
        </w:rPr>
        <w:t>首先从</w:t>
      </w:r>
      <w:r>
        <w:rPr>
          <w:lang w:val="zh-CN" w:eastAsia="zh-CN"/>
        </w:rPr>
        <w:t>徽标</w:t>
      </w:r>
      <w:r>
        <w:rPr>
          <w:rFonts w:hint="eastAsia"/>
          <w:lang w:val="zh-CN" w:eastAsia="zh-CN"/>
        </w:rPr>
        <w:t>开始</w:t>
      </w:r>
      <w:r w:rsidRPr="00721609">
        <w:rPr>
          <w:rFonts w:hint="eastAsia"/>
          <w:lang w:val="zh-CN" w:eastAsia="zh-CN"/>
        </w:rPr>
        <w:t>。</w:t>
      </w:r>
    </w:p>
    <w:p w14:paraId="1D12E40C" w14:textId="77777777" w:rsidR="00A85B60" w:rsidRPr="00013F7D" w:rsidRDefault="00A85B60" w:rsidP="00A066BA">
      <w:pPr>
        <w:jc w:val="both"/>
        <w:rPr>
          <w:lang w:eastAsia="zh-CN"/>
        </w:rPr>
      </w:pPr>
      <w:r>
        <w:rPr>
          <w:lang w:val="zh-CN" w:eastAsia="zh-CN"/>
        </w:rPr>
        <w:t>1.4</w:t>
      </w:r>
      <w:r>
        <w:rPr>
          <w:lang w:val="zh-CN" w:eastAsia="zh-CN"/>
        </w:rPr>
        <w:tab/>
      </w:r>
      <w:r>
        <w:rPr>
          <w:lang w:val="zh-CN" w:eastAsia="zh-CN"/>
        </w:rPr>
        <w:t>理事们观看了一段简短的视频，讲述了</w:t>
      </w:r>
      <w:r>
        <w:rPr>
          <w:lang w:val="zh-CN" w:eastAsia="zh-CN"/>
        </w:rPr>
        <w:t>PP-26</w:t>
      </w:r>
      <w:r>
        <w:rPr>
          <w:lang w:val="zh-CN" w:eastAsia="zh-CN"/>
        </w:rPr>
        <w:t>徽标背后的灵感来源。</w:t>
      </w:r>
    </w:p>
    <w:p w14:paraId="78C35BC7" w14:textId="77777777" w:rsidR="00A85B60" w:rsidRPr="00013F7D" w:rsidRDefault="00A85B60" w:rsidP="00A066BA">
      <w:pPr>
        <w:jc w:val="both"/>
        <w:rPr>
          <w:lang w:eastAsia="zh-CN"/>
        </w:rPr>
      </w:pPr>
      <w:r>
        <w:rPr>
          <w:lang w:val="zh-CN" w:eastAsia="zh-CN"/>
        </w:rPr>
        <w:t>1.5</w:t>
      </w:r>
      <w:r>
        <w:rPr>
          <w:lang w:val="zh-CN" w:eastAsia="zh-CN"/>
        </w:rPr>
        <w:tab/>
      </w:r>
      <w:r w:rsidRPr="00F2255B">
        <w:rPr>
          <w:rFonts w:hint="eastAsia"/>
          <w:lang w:val="zh-CN" w:eastAsia="zh-CN"/>
        </w:rPr>
        <w:t>秘书长感谢卡塔尔为确保</w:t>
      </w:r>
      <w:r>
        <w:rPr>
          <w:lang w:val="zh-CN" w:eastAsia="zh-CN"/>
        </w:rPr>
        <w:t>PP-26</w:t>
      </w:r>
      <w:r w:rsidRPr="00F2255B">
        <w:rPr>
          <w:rFonts w:hint="eastAsia"/>
          <w:lang w:val="zh-CN" w:eastAsia="zh-CN"/>
        </w:rPr>
        <w:t>圆满成功所展现的强有力合作与坚定承诺。</w:t>
      </w:r>
    </w:p>
    <w:p w14:paraId="79A4D3B5" w14:textId="02FE9932" w:rsidR="00A85B60" w:rsidRPr="00A85B60" w:rsidRDefault="00A85B60" w:rsidP="00A85B60">
      <w:pPr>
        <w:pStyle w:val="Heading1"/>
        <w:rPr>
          <w:lang w:eastAsia="zh-CN"/>
        </w:rPr>
      </w:pPr>
      <w:r w:rsidRPr="00A85B60">
        <w:rPr>
          <w:lang w:eastAsia="zh-CN"/>
        </w:rPr>
        <w:t>2</w:t>
      </w:r>
      <w:r w:rsidRPr="00A85B60">
        <w:rPr>
          <w:lang w:eastAsia="zh-CN"/>
        </w:rPr>
        <w:tab/>
        <w:t>202</w:t>
      </w:r>
      <w:r w:rsidRPr="00A85B60">
        <w:rPr>
          <w:rFonts w:hint="eastAsia"/>
          <w:lang w:eastAsia="zh-CN"/>
        </w:rPr>
        <w:t>6</w:t>
      </w:r>
      <w:r w:rsidRPr="00A85B60">
        <w:rPr>
          <w:lang w:eastAsia="zh-CN"/>
        </w:rPr>
        <w:t>年全权代表大会的筹备</w:t>
      </w:r>
      <w:r w:rsidRPr="00A85B60">
        <w:rPr>
          <w:rFonts w:hint="eastAsia"/>
          <w:lang w:eastAsia="zh-CN"/>
        </w:rPr>
        <w:t>工作</w:t>
      </w:r>
      <w:r w:rsidRPr="00A85B60">
        <w:rPr>
          <w:lang w:eastAsia="zh-CN"/>
        </w:rPr>
        <w:t>（</w:t>
      </w:r>
      <w:hyperlink r:id="rId14" w:history="1">
        <w:proofErr w:type="spellStart"/>
        <w:r w:rsidR="007157CF" w:rsidRPr="007157CF">
          <w:rPr>
            <w:rStyle w:val="Hyperlink"/>
            <w:rFonts w:eastAsia="SimSun"/>
            <w:noProof w:val="0"/>
            <w:lang w:eastAsia="zh-CN"/>
          </w:rPr>
          <w:t>C25</w:t>
        </w:r>
        <w:proofErr w:type="spellEnd"/>
        <w:r w:rsidR="007157CF" w:rsidRPr="007157CF">
          <w:rPr>
            <w:rStyle w:val="Hyperlink"/>
            <w:rFonts w:eastAsia="SimSun"/>
            <w:noProof w:val="0"/>
            <w:lang w:eastAsia="zh-CN"/>
          </w:rPr>
          <w:t>/4</w:t>
        </w:r>
      </w:hyperlink>
      <w:r w:rsidRPr="00A85B60">
        <w:rPr>
          <w:lang w:eastAsia="zh-CN"/>
        </w:rPr>
        <w:t>号文件）</w:t>
      </w:r>
      <w:r>
        <w:fldChar w:fldCharType="begin"/>
      </w:r>
      <w:r>
        <w:rPr>
          <w:lang w:eastAsia="zh-CN"/>
        </w:rPr>
        <w:instrText>HYPERLINK "https://www.itu.int/md/S25-CL-C-0004/en"</w:instrText>
      </w:r>
      <w:r>
        <w:fldChar w:fldCharType="separate"/>
      </w:r>
      <w:r>
        <w:fldChar w:fldCharType="end"/>
      </w:r>
    </w:p>
    <w:p w14:paraId="435AAEAE" w14:textId="77777777" w:rsidR="00A85B60" w:rsidRPr="00013F7D" w:rsidRDefault="00A85B60" w:rsidP="00A066BA">
      <w:pPr>
        <w:jc w:val="both"/>
        <w:rPr>
          <w:lang w:eastAsia="zh-CN"/>
        </w:rPr>
      </w:pPr>
      <w:r>
        <w:rPr>
          <w:lang w:val="zh-CN" w:eastAsia="zh-CN"/>
        </w:rPr>
        <w:t>2.1</w:t>
      </w:r>
      <w:r>
        <w:rPr>
          <w:lang w:val="zh-CN" w:eastAsia="zh-CN"/>
        </w:rPr>
        <w:tab/>
      </w:r>
      <w:r>
        <w:rPr>
          <w:lang w:val="zh-CN" w:eastAsia="zh-CN"/>
        </w:rPr>
        <w:t>全体会议秘书介绍了</w:t>
      </w:r>
      <w:r>
        <w:rPr>
          <w:lang w:val="zh-CN" w:eastAsia="zh-CN"/>
        </w:rPr>
        <w:t>C25/4</w:t>
      </w:r>
      <w:r>
        <w:rPr>
          <w:lang w:val="zh-CN" w:eastAsia="zh-CN"/>
        </w:rPr>
        <w:t>号文件，该文件介绍了</w:t>
      </w:r>
      <w:r>
        <w:rPr>
          <w:lang w:val="zh-CN" w:eastAsia="zh-CN"/>
        </w:rPr>
        <w:t>PP-26</w:t>
      </w:r>
      <w:r>
        <w:rPr>
          <w:lang w:val="zh-CN" w:eastAsia="zh-CN"/>
        </w:rPr>
        <w:t>筹备工作的最新情况和改进计划。秘书处和东道国每月举行一次在线会议，交流信息，讨论筹备内容并最终确定东道国协议。候任主席的准备工作已经开始。</w:t>
      </w:r>
    </w:p>
    <w:p w14:paraId="08EC20A8" w14:textId="77777777" w:rsidR="00A85B60" w:rsidRPr="00013F7D" w:rsidRDefault="00A85B60" w:rsidP="00A066BA">
      <w:pPr>
        <w:jc w:val="both"/>
        <w:rPr>
          <w:lang w:eastAsia="zh-CN"/>
        </w:rPr>
      </w:pPr>
      <w:r>
        <w:rPr>
          <w:lang w:val="zh-CN" w:eastAsia="zh-CN"/>
        </w:rPr>
        <w:t>2.2</w:t>
      </w:r>
      <w:r>
        <w:rPr>
          <w:lang w:val="zh-CN" w:eastAsia="zh-CN"/>
        </w:rPr>
        <w:tab/>
      </w:r>
      <w:r>
        <w:rPr>
          <w:lang w:val="zh-CN" w:eastAsia="zh-CN"/>
        </w:rPr>
        <w:t>该文件的附件中含有关于全权代表大会之前开展某些竞选活动的道德规范问题导则，并请理事会重新批准该导则。</w:t>
      </w:r>
    </w:p>
    <w:p w14:paraId="65AD7F88" w14:textId="77777777" w:rsidR="00A85B60" w:rsidRPr="00013F7D" w:rsidRDefault="00A85B60" w:rsidP="00A066BA">
      <w:pPr>
        <w:jc w:val="both"/>
        <w:rPr>
          <w:lang w:eastAsia="zh-CN"/>
        </w:rPr>
      </w:pPr>
      <w:r>
        <w:rPr>
          <w:lang w:val="zh-CN" w:eastAsia="zh-CN"/>
        </w:rPr>
        <w:t>2.3</w:t>
      </w:r>
      <w:r>
        <w:rPr>
          <w:lang w:val="zh-CN" w:eastAsia="zh-CN"/>
        </w:rPr>
        <w:tab/>
      </w:r>
      <w:r>
        <w:rPr>
          <w:lang w:val="zh-CN" w:eastAsia="zh-CN"/>
        </w:rPr>
        <w:t>几位理事和一位观察员感谢卡塔尔政府承办</w:t>
      </w:r>
      <w:r>
        <w:rPr>
          <w:lang w:val="zh-CN" w:eastAsia="zh-CN"/>
        </w:rPr>
        <w:t>PP-26</w:t>
      </w:r>
      <w:r>
        <w:rPr>
          <w:lang w:val="zh-CN" w:eastAsia="zh-CN"/>
        </w:rPr>
        <w:t>及其做出的努力。一位理事回顾说，阿拉伯国家区域在成功举办国际电联活动方面有着悠久的历史。</w:t>
      </w:r>
    </w:p>
    <w:p w14:paraId="4C026E94" w14:textId="77777777" w:rsidR="00A85B60" w:rsidRPr="00013F7D" w:rsidRDefault="00A85B60" w:rsidP="00A066BA">
      <w:pPr>
        <w:jc w:val="both"/>
        <w:rPr>
          <w:lang w:eastAsia="zh-CN"/>
        </w:rPr>
      </w:pPr>
      <w:r>
        <w:rPr>
          <w:lang w:val="zh-CN" w:eastAsia="zh-CN"/>
        </w:rPr>
        <w:t>2.4</w:t>
      </w:r>
      <w:r>
        <w:rPr>
          <w:lang w:val="zh-CN" w:eastAsia="zh-CN"/>
        </w:rPr>
        <w:tab/>
      </w:r>
      <w:r>
        <w:rPr>
          <w:lang w:val="zh-CN" w:eastAsia="zh-CN"/>
        </w:rPr>
        <w:t>几位理事赞扬了</w:t>
      </w:r>
      <w:r>
        <w:rPr>
          <w:rFonts w:hint="eastAsia"/>
          <w:lang w:val="zh-CN" w:eastAsia="zh-CN"/>
        </w:rPr>
        <w:t>各</w:t>
      </w:r>
      <w:r>
        <w:rPr>
          <w:lang w:val="zh-CN" w:eastAsia="zh-CN"/>
        </w:rPr>
        <w:t>区域和</w:t>
      </w:r>
      <w:r>
        <w:rPr>
          <w:rFonts w:hint="eastAsia"/>
          <w:lang w:val="zh-CN" w:eastAsia="zh-CN"/>
        </w:rPr>
        <w:t>跨</w:t>
      </w:r>
      <w:r>
        <w:rPr>
          <w:lang w:val="zh-CN" w:eastAsia="zh-CN"/>
        </w:rPr>
        <w:t>区域的筹备进程。建议像</w:t>
      </w:r>
      <w:r>
        <w:rPr>
          <w:lang w:val="zh-CN" w:eastAsia="zh-CN"/>
        </w:rPr>
        <w:t>2018</w:t>
      </w:r>
      <w:r>
        <w:rPr>
          <w:lang w:val="zh-CN" w:eastAsia="zh-CN"/>
        </w:rPr>
        <w:t>年和</w:t>
      </w:r>
      <w:r>
        <w:rPr>
          <w:lang w:val="zh-CN" w:eastAsia="zh-CN"/>
        </w:rPr>
        <w:t>2022</w:t>
      </w:r>
      <w:r>
        <w:rPr>
          <w:lang w:val="zh-CN" w:eastAsia="zh-CN"/>
        </w:rPr>
        <w:t>年一样，最好在日内瓦并与其他国际电联会议一起举行三次</w:t>
      </w:r>
      <w:r>
        <w:rPr>
          <w:rFonts w:hint="eastAsia"/>
          <w:lang w:val="zh-CN" w:eastAsia="zh-CN"/>
        </w:rPr>
        <w:t>跨</w:t>
      </w:r>
      <w:r>
        <w:rPr>
          <w:lang w:val="zh-CN" w:eastAsia="zh-CN"/>
        </w:rPr>
        <w:t>区域会议，以利用大量外交</w:t>
      </w:r>
      <w:r>
        <w:rPr>
          <w:rFonts w:hint="eastAsia"/>
          <w:lang w:val="zh-CN" w:eastAsia="zh-CN"/>
        </w:rPr>
        <w:t>人员在场的机会</w:t>
      </w:r>
      <w:r>
        <w:rPr>
          <w:lang w:val="zh-CN" w:eastAsia="zh-CN"/>
        </w:rPr>
        <w:t>并避免差旅费用。会议的召开形式和时间应有利于远程和现场参会。</w:t>
      </w:r>
    </w:p>
    <w:p w14:paraId="14590C5E" w14:textId="1AE10911" w:rsidR="00A85B60" w:rsidRPr="00013F7D" w:rsidRDefault="00A85B60" w:rsidP="00A066BA">
      <w:pPr>
        <w:jc w:val="both"/>
        <w:rPr>
          <w:lang w:eastAsia="zh-CN"/>
        </w:rPr>
      </w:pPr>
      <w:r>
        <w:rPr>
          <w:lang w:val="zh-CN" w:eastAsia="zh-CN"/>
        </w:rPr>
        <w:t>2.5</w:t>
      </w:r>
      <w:r>
        <w:rPr>
          <w:lang w:val="zh-CN" w:eastAsia="zh-CN"/>
        </w:rPr>
        <w:tab/>
      </w:r>
      <w:r>
        <w:rPr>
          <w:lang w:val="zh-CN" w:eastAsia="zh-CN"/>
        </w:rPr>
        <w:t>沙特阿拉伯理事宣布其主管部门愿意主办</w:t>
      </w:r>
      <w:r w:rsidR="001D3D4E">
        <w:rPr>
          <w:lang w:val="zh-CN" w:eastAsia="zh-CN"/>
        </w:rPr>
        <w:t>PP-26</w:t>
      </w:r>
      <w:r w:rsidR="001D3D4E">
        <w:rPr>
          <w:lang w:val="zh-CN" w:eastAsia="zh-CN"/>
        </w:rPr>
        <w:t>之前</w:t>
      </w:r>
      <w:r w:rsidR="001D3D4E">
        <w:rPr>
          <w:rFonts w:hint="eastAsia"/>
          <w:lang w:val="zh-CN" w:eastAsia="zh-CN"/>
        </w:rPr>
        <w:t>的最后</w:t>
      </w:r>
      <w:r>
        <w:rPr>
          <w:lang w:val="zh-CN" w:eastAsia="zh-CN"/>
        </w:rPr>
        <w:t>一次</w:t>
      </w:r>
      <w:r>
        <w:rPr>
          <w:rFonts w:hint="eastAsia"/>
          <w:lang w:val="zh-CN" w:eastAsia="zh-CN"/>
        </w:rPr>
        <w:t>跨</w:t>
      </w:r>
      <w:r>
        <w:rPr>
          <w:lang w:val="zh-CN" w:eastAsia="zh-CN"/>
        </w:rPr>
        <w:t>区域会议。</w:t>
      </w:r>
    </w:p>
    <w:p w14:paraId="373C3B81" w14:textId="77777777" w:rsidR="00A85B60" w:rsidRPr="00013F7D" w:rsidRDefault="00A85B60" w:rsidP="00A066BA">
      <w:pPr>
        <w:jc w:val="both"/>
        <w:rPr>
          <w:lang w:eastAsia="zh-CN"/>
        </w:rPr>
      </w:pPr>
      <w:r>
        <w:rPr>
          <w:lang w:val="zh-CN" w:eastAsia="zh-CN"/>
        </w:rPr>
        <w:t>2.6</w:t>
      </w:r>
      <w:r>
        <w:rPr>
          <w:lang w:val="zh-CN" w:eastAsia="zh-CN"/>
        </w:rPr>
        <w:tab/>
      </w:r>
      <w:r>
        <w:rPr>
          <w:lang w:val="zh-CN" w:eastAsia="zh-CN"/>
        </w:rPr>
        <w:t>理事们支持</w:t>
      </w:r>
      <w:r>
        <w:rPr>
          <w:rFonts w:hint="eastAsia"/>
          <w:lang w:val="zh-CN" w:eastAsia="zh-CN"/>
        </w:rPr>
        <w:t>在</w:t>
      </w:r>
      <w:r>
        <w:rPr>
          <w:lang w:val="zh-CN" w:eastAsia="zh-CN"/>
        </w:rPr>
        <w:t>增加妇女和青年参与</w:t>
      </w:r>
      <w:r>
        <w:rPr>
          <w:rFonts w:hint="eastAsia"/>
          <w:lang w:val="zh-CN" w:eastAsia="zh-CN"/>
        </w:rPr>
        <w:t>方面所做</w:t>
      </w:r>
      <w:r>
        <w:rPr>
          <w:lang w:val="zh-CN" w:eastAsia="zh-CN"/>
        </w:rPr>
        <w:t>的努力。应明确界定青年的作用，以促进</w:t>
      </w:r>
      <w:r>
        <w:rPr>
          <w:rFonts w:hint="eastAsia"/>
          <w:lang w:val="zh-CN" w:eastAsia="zh-CN"/>
        </w:rPr>
        <w:t>其</w:t>
      </w:r>
      <w:r>
        <w:rPr>
          <w:lang w:val="zh-CN" w:eastAsia="zh-CN"/>
        </w:rPr>
        <w:t>真正参与</w:t>
      </w:r>
      <w:r>
        <w:rPr>
          <w:rFonts w:hint="eastAsia"/>
          <w:lang w:val="zh-CN" w:eastAsia="zh-CN"/>
        </w:rPr>
        <w:t>其中</w:t>
      </w:r>
      <w:r>
        <w:rPr>
          <w:lang w:val="zh-CN" w:eastAsia="zh-CN"/>
        </w:rPr>
        <w:t>。一位理事提议重复国际电联学院</w:t>
      </w:r>
      <w:r>
        <w:rPr>
          <w:lang w:val="zh-CN" w:eastAsia="zh-CN"/>
        </w:rPr>
        <w:t>2022</w:t>
      </w:r>
      <w:r>
        <w:rPr>
          <w:lang w:val="zh-CN" w:eastAsia="zh-CN"/>
        </w:rPr>
        <w:t>年关于全权代表大会和针对女性代表（包括首次参会</w:t>
      </w:r>
      <w:r>
        <w:rPr>
          <w:rFonts w:hint="eastAsia"/>
          <w:lang w:val="zh-CN" w:eastAsia="zh-CN"/>
        </w:rPr>
        <w:t>的代表</w:t>
      </w:r>
      <w:r>
        <w:rPr>
          <w:lang w:val="zh-CN" w:eastAsia="zh-CN"/>
        </w:rPr>
        <w:t>和年轻代表）谈判技巧的课程。首次参会者亦应受益于工作组或研究组领导人的培训。</w:t>
      </w:r>
    </w:p>
    <w:p w14:paraId="1CC39709" w14:textId="77777777" w:rsidR="00A85B60" w:rsidRPr="00013F7D" w:rsidRDefault="00A85B60" w:rsidP="00A066BA">
      <w:pPr>
        <w:jc w:val="both"/>
        <w:rPr>
          <w:lang w:eastAsia="zh-CN"/>
        </w:rPr>
      </w:pPr>
      <w:r>
        <w:rPr>
          <w:lang w:val="zh-CN" w:eastAsia="zh-CN"/>
        </w:rPr>
        <w:t>2.7</w:t>
      </w:r>
      <w:r>
        <w:rPr>
          <w:lang w:val="zh-CN" w:eastAsia="zh-CN"/>
        </w:rPr>
        <w:tab/>
      </w:r>
      <w:r>
        <w:rPr>
          <w:rFonts w:hint="eastAsia"/>
          <w:lang w:val="zh-CN" w:eastAsia="zh-CN"/>
        </w:rPr>
        <w:t>若干</w:t>
      </w:r>
      <w:r w:rsidRPr="008E7CB9">
        <w:rPr>
          <w:rFonts w:hint="eastAsia"/>
          <w:lang w:val="zh-CN" w:eastAsia="zh-CN"/>
        </w:rPr>
        <w:t>理事承认设立明确的部长级环节具有积极意义，但强调需</w:t>
      </w:r>
      <w:r>
        <w:rPr>
          <w:rFonts w:hint="eastAsia"/>
          <w:lang w:val="zh-CN" w:eastAsia="zh-CN"/>
        </w:rPr>
        <w:t>要</w:t>
      </w:r>
      <w:r w:rsidRPr="008E7CB9">
        <w:rPr>
          <w:rFonts w:hint="eastAsia"/>
          <w:lang w:val="zh-CN" w:eastAsia="zh-CN"/>
        </w:rPr>
        <w:t>有充足的时间或安排替代会议，以最大限度提高</w:t>
      </w:r>
      <w:proofErr w:type="gramStart"/>
      <w:r w:rsidRPr="008E7CB9">
        <w:rPr>
          <w:rFonts w:hint="eastAsia"/>
          <w:lang w:val="zh-CN" w:eastAsia="zh-CN"/>
        </w:rPr>
        <w:t>高</w:t>
      </w:r>
      <w:proofErr w:type="gramEnd"/>
      <w:r w:rsidRPr="008E7CB9">
        <w:rPr>
          <w:rFonts w:hint="eastAsia"/>
          <w:lang w:val="zh-CN" w:eastAsia="zh-CN"/>
        </w:rPr>
        <w:t>级别参与并促进更加积极的参与。</w:t>
      </w:r>
    </w:p>
    <w:p w14:paraId="1685FF93" w14:textId="77777777" w:rsidR="00A85B60" w:rsidRPr="00013F7D" w:rsidRDefault="00A85B60" w:rsidP="00A066BA">
      <w:pPr>
        <w:jc w:val="both"/>
        <w:rPr>
          <w:lang w:eastAsia="zh-CN"/>
        </w:rPr>
      </w:pPr>
      <w:r>
        <w:rPr>
          <w:lang w:val="zh-CN" w:eastAsia="zh-CN"/>
        </w:rPr>
        <w:t>2.8</w:t>
      </w:r>
      <w:r>
        <w:rPr>
          <w:lang w:val="zh-CN" w:eastAsia="zh-CN"/>
        </w:rPr>
        <w:tab/>
      </w:r>
      <w:r>
        <w:rPr>
          <w:rFonts w:hint="eastAsia"/>
          <w:lang w:val="zh-CN" w:eastAsia="zh-CN"/>
        </w:rPr>
        <w:t>若干</w:t>
      </w:r>
      <w:r>
        <w:rPr>
          <w:lang w:val="zh-CN" w:eastAsia="zh-CN"/>
        </w:rPr>
        <w:t>理事强调，大会文件首先应面面俱到。减少数量不应损害成员国做出知情决定的能力。</w:t>
      </w:r>
    </w:p>
    <w:p w14:paraId="2DAA72EF" w14:textId="77777777" w:rsidR="00A85B60" w:rsidRPr="00013F7D" w:rsidRDefault="00A85B60" w:rsidP="00A066BA">
      <w:pPr>
        <w:jc w:val="both"/>
        <w:rPr>
          <w:lang w:eastAsia="zh-CN"/>
        </w:rPr>
      </w:pPr>
      <w:r>
        <w:rPr>
          <w:lang w:val="zh-CN" w:eastAsia="zh-CN"/>
        </w:rPr>
        <w:t>2.9</w:t>
      </w:r>
      <w:r>
        <w:rPr>
          <w:lang w:val="zh-CN" w:eastAsia="zh-CN"/>
        </w:rPr>
        <w:tab/>
      </w:r>
      <w:r>
        <w:rPr>
          <w:lang w:val="zh-CN" w:eastAsia="zh-CN"/>
        </w:rPr>
        <w:t>一位理事说，关于某些竞选活动的道德规范</w:t>
      </w:r>
      <w:r>
        <w:rPr>
          <w:rFonts w:hint="eastAsia"/>
          <w:lang w:val="zh-CN" w:eastAsia="zh-CN"/>
        </w:rPr>
        <w:t>导则</w:t>
      </w:r>
      <w:r>
        <w:rPr>
          <w:lang w:val="zh-CN" w:eastAsia="zh-CN"/>
        </w:rPr>
        <w:t>提供了明确措施</w:t>
      </w:r>
      <w:r>
        <w:rPr>
          <w:rFonts w:hint="eastAsia"/>
          <w:lang w:val="zh-CN" w:eastAsia="zh-CN"/>
        </w:rPr>
        <w:t>来</w:t>
      </w:r>
      <w:r>
        <w:rPr>
          <w:lang w:val="zh-CN" w:eastAsia="zh-CN"/>
        </w:rPr>
        <w:t>避免出现不</w:t>
      </w:r>
      <w:r>
        <w:rPr>
          <w:rFonts w:hint="eastAsia"/>
          <w:lang w:val="zh-CN" w:eastAsia="zh-CN"/>
        </w:rPr>
        <w:t>符合道德规范的</w:t>
      </w:r>
      <w:r>
        <w:rPr>
          <w:lang w:val="zh-CN" w:eastAsia="zh-CN"/>
        </w:rPr>
        <w:t>行为，而且候选人往往在正式通知秘书长之前就已公开宣布，因此应</w:t>
      </w:r>
      <w:r>
        <w:rPr>
          <w:rFonts w:hint="eastAsia"/>
          <w:lang w:val="zh-CN" w:eastAsia="zh-CN"/>
        </w:rPr>
        <w:t>将</w:t>
      </w:r>
      <w:r>
        <w:rPr>
          <w:lang w:val="zh-CN" w:eastAsia="zh-CN"/>
        </w:rPr>
        <w:t>国际电联《人事规则和人事规则》规则</w:t>
      </w:r>
      <w:r w:rsidRPr="00013F7D">
        <w:rPr>
          <w:lang w:eastAsia="zh-CN"/>
        </w:rPr>
        <w:t>12.2</w:t>
      </w:r>
      <w:r>
        <w:rPr>
          <w:lang w:val="zh-CN" w:eastAsia="zh-CN"/>
        </w:rPr>
        <w:t>中</w:t>
      </w:r>
      <w:r>
        <w:rPr>
          <w:rFonts w:hint="eastAsia"/>
          <w:lang w:val="zh-CN" w:eastAsia="zh-CN"/>
        </w:rPr>
        <w:t>关于</w:t>
      </w:r>
      <w:r w:rsidRPr="008E7CB9">
        <w:rPr>
          <w:rFonts w:hint="eastAsia"/>
          <w:lang w:val="zh-CN" w:eastAsia="zh-CN"/>
        </w:rPr>
        <w:t>委任职员正式通知其</w:t>
      </w:r>
      <w:r>
        <w:rPr>
          <w:rFonts w:hint="eastAsia"/>
          <w:lang w:val="zh-CN" w:eastAsia="zh-CN"/>
        </w:rPr>
        <w:t>参</w:t>
      </w:r>
      <w:r w:rsidRPr="008E7CB9">
        <w:rPr>
          <w:rFonts w:hint="eastAsia"/>
          <w:lang w:val="zh-CN" w:eastAsia="zh-CN"/>
        </w:rPr>
        <w:t>选后应停薪留职的要求</w:t>
      </w:r>
      <w:r>
        <w:rPr>
          <w:rFonts w:hint="eastAsia"/>
          <w:lang w:val="zh-CN" w:eastAsia="zh-CN"/>
        </w:rPr>
        <w:t>予以</w:t>
      </w:r>
      <w:r w:rsidRPr="008E7CB9">
        <w:rPr>
          <w:rFonts w:hint="eastAsia"/>
          <w:lang w:val="zh-CN" w:eastAsia="zh-CN"/>
        </w:rPr>
        <w:t>删除。</w:t>
      </w:r>
    </w:p>
    <w:p w14:paraId="7F080E11" w14:textId="77777777" w:rsidR="00A85B60" w:rsidRPr="00013F7D" w:rsidRDefault="00A85B60" w:rsidP="00A066BA">
      <w:pPr>
        <w:jc w:val="both"/>
        <w:rPr>
          <w:lang w:eastAsia="zh-CN"/>
        </w:rPr>
      </w:pPr>
      <w:r>
        <w:rPr>
          <w:lang w:val="zh-CN" w:eastAsia="zh-CN"/>
        </w:rPr>
        <w:lastRenderedPageBreak/>
        <w:t>2.10</w:t>
      </w:r>
      <w:r>
        <w:rPr>
          <w:lang w:val="zh-CN" w:eastAsia="zh-CN"/>
        </w:rPr>
        <w:tab/>
      </w:r>
      <w:r>
        <w:rPr>
          <w:lang w:val="zh-CN" w:eastAsia="zh-CN"/>
        </w:rPr>
        <w:t>一位理事支持减少</w:t>
      </w:r>
      <w:r w:rsidRPr="00695557">
        <w:rPr>
          <w:rFonts w:hint="eastAsia"/>
          <w:lang w:val="zh-CN" w:eastAsia="zh-CN"/>
        </w:rPr>
        <w:t>竞选</w:t>
      </w:r>
      <w:r>
        <w:rPr>
          <w:lang w:val="zh-CN" w:eastAsia="zh-CN"/>
        </w:rPr>
        <w:t>材料以</w:t>
      </w:r>
      <w:r w:rsidRPr="00695557">
        <w:rPr>
          <w:rFonts w:hint="eastAsia"/>
          <w:lang w:val="zh-CN" w:eastAsia="zh-CN"/>
        </w:rPr>
        <w:t>增强环境责任感</w:t>
      </w:r>
      <w:r>
        <w:rPr>
          <w:lang w:val="zh-CN" w:eastAsia="zh-CN"/>
        </w:rPr>
        <w:t>，</w:t>
      </w:r>
      <w:r w:rsidRPr="00695557">
        <w:rPr>
          <w:rFonts w:hint="eastAsia"/>
          <w:lang w:val="zh-CN" w:eastAsia="zh-CN"/>
        </w:rPr>
        <w:t>并建议在使用材料时进行回收利用</w:t>
      </w:r>
      <w:r>
        <w:rPr>
          <w:lang w:val="zh-CN" w:eastAsia="zh-CN"/>
        </w:rPr>
        <w:t>。他还建议秘书处借鉴联合国其他组织的最佳做法，探讨电子投票的可选方案。</w:t>
      </w:r>
    </w:p>
    <w:p w14:paraId="73109ACF" w14:textId="75689160" w:rsidR="00A85B60" w:rsidRPr="00013F7D" w:rsidRDefault="00A85B60" w:rsidP="00A066BA">
      <w:pPr>
        <w:jc w:val="both"/>
        <w:rPr>
          <w:lang w:eastAsia="zh-CN"/>
        </w:rPr>
      </w:pPr>
      <w:r w:rsidRPr="00BC0E8B">
        <w:rPr>
          <w:lang w:eastAsia="zh-CN"/>
        </w:rPr>
        <w:t>2.11</w:t>
      </w:r>
      <w:r w:rsidRPr="00BC0E8B">
        <w:rPr>
          <w:lang w:eastAsia="zh-CN"/>
        </w:rPr>
        <w:tab/>
        <w:t>PP-26</w:t>
      </w:r>
      <w:r>
        <w:rPr>
          <w:lang w:val="zh-CN" w:eastAsia="zh-CN"/>
        </w:rPr>
        <w:t>候任主席</w:t>
      </w:r>
      <w:r w:rsidRPr="00BC0E8B">
        <w:rPr>
          <w:lang w:eastAsia="zh-CN"/>
        </w:rPr>
        <w:t xml:space="preserve">Ahmad Abdulla </w:t>
      </w:r>
      <w:proofErr w:type="spellStart"/>
      <w:r w:rsidRPr="00BC0E8B">
        <w:rPr>
          <w:lang w:eastAsia="zh-CN"/>
        </w:rPr>
        <w:t>AlMuslemani</w:t>
      </w:r>
      <w:proofErr w:type="spellEnd"/>
      <w:r>
        <w:rPr>
          <w:lang w:val="zh-CN" w:eastAsia="zh-CN"/>
        </w:rPr>
        <w:t>先生确认</w:t>
      </w:r>
      <w:r w:rsidRPr="00BC0E8B">
        <w:rPr>
          <w:lang w:eastAsia="zh-CN"/>
        </w:rPr>
        <w:t>，</w:t>
      </w:r>
      <w:r>
        <w:rPr>
          <w:lang w:val="zh-CN" w:eastAsia="zh-CN"/>
        </w:rPr>
        <w:t>支持在大会的前三天举行部长级会议</w:t>
      </w:r>
      <w:r w:rsidRPr="00BC0E8B">
        <w:rPr>
          <w:lang w:eastAsia="zh-CN"/>
        </w:rPr>
        <w:t>，</w:t>
      </w:r>
      <w:r>
        <w:rPr>
          <w:lang w:val="zh-CN" w:eastAsia="zh-CN"/>
        </w:rPr>
        <w:t>以加强政治对话。东道国将遵循联合国可持续性标准，包括减少纸张和能源的使用。卡塔尔旨在通过经验分享和会前培训，促进女性和青年的包容性参与。作为主席，他将</w:t>
      </w:r>
      <w:r>
        <w:rPr>
          <w:rFonts w:hint="eastAsia"/>
          <w:lang w:val="zh-CN" w:eastAsia="zh-CN"/>
        </w:rPr>
        <w:t>借鉴</w:t>
      </w:r>
      <w:r>
        <w:rPr>
          <w:lang w:val="zh-CN" w:eastAsia="zh-CN"/>
        </w:rPr>
        <w:t>PP-18</w:t>
      </w:r>
      <w:r>
        <w:rPr>
          <w:lang w:val="zh-CN" w:eastAsia="zh-CN"/>
        </w:rPr>
        <w:t>和</w:t>
      </w:r>
      <w:r>
        <w:rPr>
          <w:lang w:val="zh-CN" w:eastAsia="zh-CN"/>
        </w:rPr>
        <w:t>PP-22</w:t>
      </w:r>
      <w:r>
        <w:rPr>
          <w:lang w:val="zh-CN" w:eastAsia="zh-CN"/>
        </w:rPr>
        <w:t>主席的经验，努力建立</w:t>
      </w:r>
      <w:r>
        <w:rPr>
          <w:rFonts w:hint="eastAsia"/>
          <w:lang w:val="zh-CN" w:eastAsia="zh-CN"/>
        </w:rPr>
        <w:t>协商一致</w:t>
      </w:r>
      <w:r>
        <w:rPr>
          <w:lang w:val="zh-CN" w:eastAsia="zh-CN"/>
        </w:rPr>
        <w:t>并促进合作。</w:t>
      </w:r>
      <w:r w:rsidR="007D512E" w:rsidRPr="007D512E">
        <w:rPr>
          <w:rFonts w:hint="eastAsia"/>
          <w:lang w:val="zh-CN" w:eastAsia="zh-CN"/>
        </w:rPr>
        <w:t>他特别强调了在</w:t>
      </w:r>
      <w:r w:rsidR="007D512E" w:rsidRPr="007D512E">
        <w:rPr>
          <w:rFonts w:hint="eastAsia"/>
          <w:lang w:val="zh-CN" w:eastAsia="zh-CN"/>
        </w:rPr>
        <w:t>PP-18</w:t>
      </w:r>
      <w:r w:rsidR="007D512E" w:rsidRPr="007D512E">
        <w:rPr>
          <w:rFonts w:hint="eastAsia"/>
          <w:lang w:val="zh-CN" w:eastAsia="zh-CN"/>
        </w:rPr>
        <w:t>之前通过的跨区域筹备进程的价值，并表示他在</w:t>
      </w:r>
      <w:r w:rsidR="007D512E" w:rsidRPr="007D512E">
        <w:rPr>
          <w:rFonts w:hint="eastAsia"/>
          <w:lang w:val="zh-CN" w:eastAsia="zh-CN"/>
        </w:rPr>
        <w:t>PP-26</w:t>
      </w:r>
      <w:r w:rsidR="007D512E" w:rsidRPr="007D512E">
        <w:rPr>
          <w:rFonts w:hint="eastAsia"/>
          <w:lang w:val="zh-CN" w:eastAsia="zh-CN"/>
        </w:rPr>
        <w:t>之前</w:t>
      </w:r>
      <w:r w:rsidR="007D512E">
        <w:rPr>
          <w:rFonts w:hint="eastAsia"/>
          <w:lang w:val="zh-CN" w:eastAsia="zh-CN"/>
        </w:rPr>
        <w:t>已在</w:t>
      </w:r>
      <w:r w:rsidR="007D512E" w:rsidRPr="007D512E">
        <w:rPr>
          <w:rFonts w:hint="eastAsia"/>
          <w:lang w:val="zh-CN" w:eastAsia="zh-CN"/>
        </w:rPr>
        <w:t>充分参与这一进程。有效和协作的筹备进程将确保大会的成功。他还补充说，</w:t>
      </w:r>
      <w:r w:rsidRPr="00695557">
        <w:rPr>
          <w:rFonts w:hint="eastAsia"/>
          <w:lang w:val="zh-CN" w:eastAsia="zh-CN"/>
        </w:rPr>
        <w:t>将根据各区域的提案，确保领导层的地域平衡。</w:t>
      </w:r>
    </w:p>
    <w:p w14:paraId="5F0FE21F" w14:textId="77777777" w:rsidR="00A85B60" w:rsidRPr="00013F7D" w:rsidRDefault="00A85B60" w:rsidP="00A066BA">
      <w:pPr>
        <w:jc w:val="both"/>
        <w:rPr>
          <w:lang w:eastAsia="zh-CN"/>
        </w:rPr>
      </w:pPr>
      <w:r>
        <w:rPr>
          <w:lang w:val="zh-CN" w:eastAsia="zh-CN"/>
        </w:rPr>
        <w:t>2.12</w:t>
      </w:r>
      <w:r>
        <w:rPr>
          <w:lang w:val="zh-CN" w:eastAsia="zh-CN"/>
        </w:rPr>
        <w:tab/>
      </w:r>
      <w:r>
        <w:rPr>
          <w:lang w:val="zh-CN" w:eastAsia="zh-CN"/>
        </w:rPr>
        <w:t>罗马尼亚理事作为</w:t>
      </w:r>
      <w:r>
        <w:rPr>
          <w:lang w:val="zh-CN" w:eastAsia="zh-CN"/>
        </w:rPr>
        <w:t>PP-22</w:t>
      </w:r>
      <w:r>
        <w:rPr>
          <w:lang w:val="zh-CN" w:eastAsia="zh-CN"/>
        </w:rPr>
        <w:t>的东道国发言，对多哈正在</w:t>
      </w:r>
      <w:r w:rsidRPr="00695557">
        <w:rPr>
          <w:rFonts w:hint="eastAsia"/>
          <w:lang w:val="zh-CN" w:eastAsia="zh-CN"/>
        </w:rPr>
        <w:t>筹</w:t>
      </w:r>
      <w:r>
        <w:rPr>
          <w:lang w:val="zh-CN" w:eastAsia="zh-CN"/>
        </w:rPr>
        <w:t>备的设施、秘书处的大力支持和区域间协调进程表示赞赏，</w:t>
      </w:r>
      <w:r w:rsidRPr="00695557">
        <w:rPr>
          <w:rFonts w:hint="eastAsia"/>
          <w:lang w:val="zh-CN" w:eastAsia="zh-CN"/>
        </w:rPr>
        <w:t>认为这些</w:t>
      </w:r>
      <w:r>
        <w:rPr>
          <w:rFonts w:hint="eastAsia"/>
          <w:lang w:val="zh-CN" w:eastAsia="zh-CN"/>
        </w:rPr>
        <w:t>努力</w:t>
      </w:r>
      <w:r w:rsidRPr="00695557">
        <w:rPr>
          <w:rFonts w:hint="eastAsia"/>
          <w:lang w:val="zh-CN" w:eastAsia="zh-CN"/>
        </w:rPr>
        <w:t>将节省时间并减少会议延误</w:t>
      </w:r>
      <w:r>
        <w:rPr>
          <w:lang w:val="zh-CN" w:eastAsia="zh-CN"/>
        </w:rPr>
        <w:t>。她支持计划中的培训举措和环境措施，并赞同有关竞选活动的指导方针。</w:t>
      </w:r>
    </w:p>
    <w:p w14:paraId="7F62A0E4" w14:textId="7D553D37" w:rsidR="00A85B60" w:rsidRPr="00013F7D" w:rsidRDefault="00A85B60" w:rsidP="00A066BA">
      <w:pPr>
        <w:jc w:val="both"/>
        <w:rPr>
          <w:lang w:eastAsia="zh-CN"/>
        </w:rPr>
      </w:pPr>
      <w:r>
        <w:rPr>
          <w:lang w:val="zh-CN" w:eastAsia="zh-CN"/>
        </w:rPr>
        <w:t>2.13</w:t>
      </w:r>
      <w:r>
        <w:rPr>
          <w:lang w:val="zh-CN" w:eastAsia="zh-CN"/>
        </w:rPr>
        <w:tab/>
      </w:r>
      <w:r>
        <w:rPr>
          <w:lang w:val="zh-CN" w:eastAsia="zh-CN"/>
        </w:rPr>
        <w:t>全体会议秘书确认，秘书处将继续提供有关大会进程的培训材料。她欢迎沙特阿拉伯主动提出主办</w:t>
      </w:r>
      <w:r w:rsidR="00FB4DD7">
        <w:rPr>
          <w:rFonts w:hint="eastAsia"/>
          <w:lang w:val="zh-CN" w:eastAsia="zh-CN"/>
        </w:rPr>
        <w:t>最后</w:t>
      </w:r>
      <w:r>
        <w:rPr>
          <w:lang w:val="zh-CN" w:eastAsia="zh-CN"/>
        </w:rPr>
        <w:t>一次</w:t>
      </w:r>
      <w:r>
        <w:rPr>
          <w:rFonts w:hint="eastAsia"/>
          <w:lang w:val="zh-CN" w:eastAsia="zh-CN"/>
        </w:rPr>
        <w:t>跨</w:t>
      </w:r>
      <w:r>
        <w:rPr>
          <w:lang w:val="zh-CN" w:eastAsia="zh-CN"/>
        </w:rPr>
        <w:t>区域筹备会议，</w:t>
      </w:r>
      <w:r>
        <w:rPr>
          <w:rFonts w:hint="eastAsia"/>
          <w:lang w:val="zh-CN" w:eastAsia="zh-CN"/>
        </w:rPr>
        <w:t>会议将为</w:t>
      </w:r>
      <w:r>
        <w:rPr>
          <w:lang w:val="zh-CN" w:eastAsia="zh-CN"/>
        </w:rPr>
        <w:t>远程参与</w:t>
      </w:r>
      <w:r>
        <w:rPr>
          <w:rFonts w:hint="eastAsia"/>
          <w:lang w:val="zh-CN" w:eastAsia="zh-CN"/>
        </w:rPr>
        <w:t>提供便利</w:t>
      </w:r>
      <w:r>
        <w:rPr>
          <w:lang w:val="zh-CN" w:eastAsia="zh-CN"/>
        </w:rPr>
        <w:t>。关于修正《人事规则和人事细则》规则</w:t>
      </w:r>
      <w:r w:rsidRPr="00013F7D">
        <w:rPr>
          <w:lang w:eastAsia="zh-CN"/>
        </w:rPr>
        <w:t>12.2</w:t>
      </w:r>
      <w:r>
        <w:rPr>
          <w:lang w:val="zh-CN" w:eastAsia="zh-CN"/>
        </w:rPr>
        <w:t>的请求，这属于理事会的职权范围。关于某些竞选活动的道德规范方面的</w:t>
      </w:r>
      <w:r>
        <w:rPr>
          <w:rFonts w:hint="eastAsia"/>
          <w:lang w:val="zh-CN" w:eastAsia="zh-CN"/>
        </w:rPr>
        <w:t>导则</w:t>
      </w:r>
      <w:r w:rsidRPr="00E65CA1">
        <w:rPr>
          <w:rFonts w:hint="eastAsia"/>
          <w:lang w:val="zh-CN" w:eastAsia="zh-CN"/>
        </w:rPr>
        <w:t>一直未作修改且已</w:t>
      </w:r>
      <w:r>
        <w:rPr>
          <w:lang w:val="zh-CN" w:eastAsia="zh-CN"/>
        </w:rPr>
        <w:t>在</w:t>
      </w:r>
      <w:r>
        <w:rPr>
          <w:lang w:val="zh-CN" w:eastAsia="zh-CN"/>
        </w:rPr>
        <w:t>2017</w:t>
      </w:r>
      <w:r>
        <w:rPr>
          <w:lang w:val="zh-CN" w:eastAsia="zh-CN"/>
        </w:rPr>
        <w:t>年和</w:t>
      </w:r>
      <w:r>
        <w:rPr>
          <w:lang w:val="zh-CN" w:eastAsia="zh-CN"/>
        </w:rPr>
        <w:t>2021</w:t>
      </w:r>
      <w:r>
        <w:rPr>
          <w:lang w:val="zh-CN" w:eastAsia="zh-CN"/>
        </w:rPr>
        <w:t>年获得</w:t>
      </w:r>
      <w:r>
        <w:rPr>
          <w:rFonts w:hint="eastAsia"/>
          <w:lang w:val="zh-CN" w:eastAsia="zh-CN"/>
        </w:rPr>
        <w:t>批准</w:t>
      </w:r>
      <w:r>
        <w:rPr>
          <w:lang w:val="zh-CN" w:eastAsia="zh-CN"/>
        </w:rPr>
        <w:t>，</w:t>
      </w:r>
      <w:r w:rsidRPr="00E65CA1">
        <w:rPr>
          <w:rFonts w:hint="eastAsia"/>
          <w:lang w:val="zh-CN" w:eastAsia="zh-CN"/>
        </w:rPr>
        <w:t>但该文件不具有法律约束力；重新批准该文件将为即将举行的</w:t>
      </w:r>
      <w:r>
        <w:rPr>
          <w:rFonts w:hint="eastAsia"/>
          <w:lang w:val="zh-CN" w:eastAsia="zh-CN"/>
        </w:rPr>
        <w:t>竞选活动</w:t>
      </w:r>
      <w:r w:rsidRPr="00E65CA1">
        <w:rPr>
          <w:rFonts w:hint="eastAsia"/>
          <w:lang w:val="zh-CN" w:eastAsia="zh-CN"/>
        </w:rPr>
        <w:t>提供持续的指导。</w:t>
      </w:r>
    </w:p>
    <w:p w14:paraId="05C33EAC" w14:textId="77777777" w:rsidR="00A85B60" w:rsidRPr="00013F7D" w:rsidRDefault="00A85B60" w:rsidP="00A066BA">
      <w:pPr>
        <w:jc w:val="both"/>
        <w:rPr>
          <w:lang w:eastAsia="zh-CN"/>
        </w:rPr>
      </w:pPr>
      <w:r>
        <w:rPr>
          <w:lang w:val="zh-CN" w:eastAsia="zh-CN"/>
        </w:rPr>
        <w:t>2.14</w:t>
      </w:r>
      <w:r>
        <w:rPr>
          <w:lang w:val="zh-CN" w:eastAsia="zh-CN"/>
        </w:rPr>
        <w:tab/>
      </w:r>
      <w:r>
        <w:rPr>
          <w:lang w:val="zh-CN" w:eastAsia="zh-CN"/>
        </w:rPr>
        <w:t>主席建议理事会将</w:t>
      </w:r>
      <w:r>
        <w:rPr>
          <w:lang w:val="zh-CN" w:eastAsia="zh-CN"/>
        </w:rPr>
        <w:t>C25/4</w:t>
      </w:r>
      <w:r>
        <w:rPr>
          <w:lang w:val="zh-CN" w:eastAsia="zh-CN"/>
        </w:rPr>
        <w:t>号文件记录在案，并重新</w:t>
      </w:r>
      <w:r>
        <w:rPr>
          <w:rFonts w:hint="eastAsia"/>
          <w:lang w:val="zh-CN" w:eastAsia="zh-CN"/>
        </w:rPr>
        <w:t>批准</w:t>
      </w:r>
      <w:r>
        <w:rPr>
          <w:lang w:val="zh-CN" w:eastAsia="zh-CN"/>
        </w:rPr>
        <w:t>关于某些竞选活动的道德规范方面的导则。</w:t>
      </w:r>
    </w:p>
    <w:p w14:paraId="2E47F911" w14:textId="77777777" w:rsidR="00A85B60" w:rsidRPr="00013F7D" w:rsidRDefault="00A85B60" w:rsidP="00A066BA">
      <w:pPr>
        <w:jc w:val="both"/>
        <w:rPr>
          <w:lang w:eastAsia="zh-CN"/>
        </w:rPr>
      </w:pPr>
      <w:r>
        <w:rPr>
          <w:lang w:val="zh-CN" w:eastAsia="zh-CN"/>
        </w:rPr>
        <w:t>2.15</w:t>
      </w:r>
      <w:r>
        <w:rPr>
          <w:lang w:val="zh-CN" w:eastAsia="zh-CN"/>
        </w:rPr>
        <w:tab/>
      </w:r>
      <w:r>
        <w:rPr>
          <w:lang w:val="zh-CN" w:eastAsia="zh-CN"/>
        </w:rPr>
        <w:t>会议对此</w:t>
      </w:r>
      <w:r w:rsidRPr="00E65CA1">
        <w:rPr>
          <w:b/>
          <w:bCs/>
          <w:lang w:val="zh-CN" w:eastAsia="zh-CN"/>
        </w:rPr>
        <w:t>表示同意</w:t>
      </w:r>
      <w:r>
        <w:rPr>
          <w:lang w:val="zh-CN" w:eastAsia="zh-CN"/>
        </w:rPr>
        <w:t>。</w:t>
      </w:r>
    </w:p>
    <w:p w14:paraId="1A2ADDF1" w14:textId="77777777" w:rsidR="00A85B60" w:rsidRPr="00A85B60" w:rsidRDefault="00A85B60" w:rsidP="00A85B60">
      <w:pPr>
        <w:pStyle w:val="Heading1"/>
        <w:rPr>
          <w:lang w:eastAsia="zh-CN"/>
        </w:rPr>
      </w:pPr>
      <w:r w:rsidRPr="00A85B60">
        <w:rPr>
          <w:lang w:eastAsia="zh-CN"/>
        </w:rPr>
        <w:t>3</w:t>
      </w:r>
      <w:r w:rsidRPr="00A85B60">
        <w:rPr>
          <w:lang w:eastAsia="zh-CN"/>
        </w:rPr>
        <w:tab/>
      </w:r>
      <w:r w:rsidRPr="00A85B60">
        <w:rPr>
          <w:rFonts w:hint="eastAsia"/>
          <w:lang w:eastAsia="zh-CN"/>
        </w:rPr>
        <w:t>关于</w:t>
      </w:r>
      <w:r w:rsidRPr="00A85B60">
        <w:rPr>
          <w:rFonts w:hint="eastAsia"/>
          <w:lang w:eastAsia="zh-CN"/>
        </w:rPr>
        <w:t>2024</w:t>
      </w:r>
      <w:r w:rsidRPr="00A85B60">
        <w:rPr>
          <w:rFonts w:hint="eastAsia"/>
          <w:lang w:eastAsia="zh-CN"/>
        </w:rPr>
        <w:t>年</w:t>
      </w:r>
      <w:r w:rsidRPr="00A85B60">
        <w:rPr>
          <w:lang w:eastAsia="zh-CN"/>
        </w:rPr>
        <w:t>全球标准专题研讨会和</w:t>
      </w:r>
      <w:r w:rsidRPr="00A85B60">
        <w:rPr>
          <w:rFonts w:hint="eastAsia"/>
          <w:lang w:eastAsia="zh-CN"/>
        </w:rPr>
        <w:t>2024</w:t>
      </w:r>
      <w:r w:rsidRPr="00A85B60">
        <w:rPr>
          <w:rFonts w:hint="eastAsia"/>
          <w:lang w:eastAsia="zh-CN"/>
        </w:rPr>
        <w:t>年</w:t>
      </w:r>
      <w:r w:rsidRPr="00A85B60">
        <w:rPr>
          <w:lang w:eastAsia="zh-CN"/>
        </w:rPr>
        <w:t>世界电信标准化全会的报告（</w:t>
      </w:r>
      <w:hyperlink r:id="rId15" w:history="1">
        <w:r w:rsidRPr="00A85B60">
          <w:rPr>
            <w:rStyle w:val="Hyperlink"/>
            <w:rFonts w:eastAsia="SimSun"/>
            <w:lang w:eastAsia="zh-CN"/>
          </w:rPr>
          <w:t>C25/24</w:t>
        </w:r>
      </w:hyperlink>
      <w:r w:rsidRPr="00A85B60">
        <w:rPr>
          <w:rFonts w:hint="eastAsia"/>
          <w:lang w:eastAsia="zh-CN"/>
        </w:rPr>
        <w:t>、</w:t>
      </w:r>
      <w:r>
        <w:fldChar w:fldCharType="begin"/>
      </w:r>
      <w:r>
        <w:rPr>
          <w:lang w:eastAsia="zh-CN"/>
        </w:rPr>
        <w:instrText>HYPERLINK "https://www.itu.int/md/S25-CL-INF-0014/en"</w:instrText>
      </w:r>
      <w:r>
        <w:fldChar w:fldCharType="separate"/>
      </w:r>
      <w:r w:rsidRPr="00A85B60">
        <w:rPr>
          <w:rStyle w:val="Hyperlink"/>
          <w:rFonts w:eastAsia="SimSun"/>
          <w:lang w:eastAsia="zh-CN"/>
        </w:rPr>
        <w:t>C25/INF/14</w:t>
      </w:r>
      <w:r>
        <w:fldChar w:fldCharType="end"/>
      </w:r>
      <w:r w:rsidRPr="00A85B60">
        <w:rPr>
          <w:lang w:eastAsia="zh-CN"/>
        </w:rPr>
        <w:t>号文件）</w:t>
      </w:r>
      <w:hyperlink r:id="rId16" w:history="1"/>
      <w:hyperlink r:id="rId17" w:history="1"/>
    </w:p>
    <w:p w14:paraId="79911514" w14:textId="77777777" w:rsidR="00A85B60" w:rsidRPr="00013F7D" w:rsidRDefault="00A85B60" w:rsidP="00A066BA">
      <w:pPr>
        <w:jc w:val="both"/>
        <w:rPr>
          <w:lang w:eastAsia="zh-CN"/>
        </w:rPr>
      </w:pPr>
      <w:r>
        <w:rPr>
          <w:lang w:val="zh-CN" w:eastAsia="zh-CN"/>
        </w:rPr>
        <w:t>3.1</w:t>
      </w:r>
      <w:r>
        <w:rPr>
          <w:lang w:val="zh-CN" w:eastAsia="zh-CN"/>
        </w:rPr>
        <w:tab/>
      </w:r>
      <w:r>
        <w:rPr>
          <w:lang w:val="zh-CN" w:eastAsia="zh-CN"/>
        </w:rPr>
        <w:t>电信标准化局（</w:t>
      </w:r>
      <w:r>
        <w:rPr>
          <w:lang w:val="zh-CN" w:eastAsia="zh-CN"/>
        </w:rPr>
        <w:t>TSB</w:t>
      </w:r>
      <w:r>
        <w:rPr>
          <w:lang w:val="zh-CN" w:eastAsia="zh-CN"/>
        </w:rPr>
        <w:t>）主任衷心感谢印度政府为</w:t>
      </w:r>
      <w:r>
        <w:rPr>
          <w:lang w:val="zh-CN" w:eastAsia="zh-CN"/>
        </w:rPr>
        <w:t>2024</w:t>
      </w:r>
      <w:r>
        <w:rPr>
          <w:lang w:val="zh-CN" w:eastAsia="zh-CN"/>
        </w:rPr>
        <w:t>年全球标准专题研讨会（</w:t>
      </w:r>
      <w:r>
        <w:rPr>
          <w:lang w:val="zh-CN" w:eastAsia="zh-CN"/>
        </w:rPr>
        <w:t>GSS-24</w:t>
      </w:r>
      <w:r>
        <w:rPr>
          <w:lang w:val="zh-CN" w:eastAsia="zh-CN"/>
        </w:rPr>
        <w:t>）和</w:t>
      </w:r>
      <w:r>
        <w:rPr>
          <w:lang w:val="zh-CN" w:eastAsia="zh-CN"/>
        </w:rPr>
        <w:t>2024</w:t>
      </w:r>
      <w:r>
        <w:rPr>
          <w:lang w:val="zh-CN" w:eastAsia="zh-CN"/>
        </w:rPr>
        <w:t>年世界电信标准化全会（</w:t>
      </w:r>
      <w:r>
        <w:rPr>
          <w:lang w:val="zh-CN" w:eastAsia="zh-CN"/>
        </w:rPr>
        <w:t>WTSA-24</w:t>
      </w:r>
      <w:r>
        <w:rPr>
          <w:lang w:val="zh-CN" w:eastAsia="zh-CN"/>
        </w:rPr>
        <w:t>）</w:t>
      </w:r>
      <w:r w:rsidRPr="00E65CA1">
        <w:rPr>
          <w:rFonts w:hint="eastAsia"/>
          <w:lang w:val="zh-CN" w:eastAsia="zh-CN"/>
        </w:rPr>
        <w:t>所提供的热情款待和周密安排。</w:t>
      </w:r>
    </w:p>
    <w:p w14:paraId="4DE298C0" w14:textId="77777777" w:rsidR="00A85B60" w:rsidRPr="00013F7D" w:rsidRDefault="00A85B60" w:rsidP="00A066BA">
      <w:pPr>
        <w:jc w:val="both"/>
        <w:rPr>
          <w:lang w:eastAsia="zh-CN"/>
        </w:rPr>
      </w:pPr>
      <w:r>
        <w:rPr>
          <w:lang w:val="zh-CN" w:eastAsia="zh-CN"/>
        </w:rPr>
        <w:t>3.2</w:t>
      </w:r>
      <w:r>
        <w:rPr>
          <w:lang w:val="zh-CN" w:eastAsia="zh-CN"/>
        </w:rPr>
        <w:tab/>
        <w:t>TSB</w:t>
      </w:r>
      <w:r>
        <w:rPr>
          <w:lang w:val="zh-CN" w:eastAsia="zh-CN"/>
        </w:rPr>
        <w:t>副主任介绍了秘书处关于这两项活动的报告（</w:t>
      </w:r>
      <w:r>
        <w:rPr>
          <w:lang w:val="zh-CN" w:eastAsia="zh-CN"/>
        </w:rPr>
        <w:t>C25/24</w:t>
      </w:r>
      <w:r>
        <w:rPr>
          <w:lang w:val="zh-CN" w:eastAsia="zh-CN"/>
        </w:rPr>
        <w:t>号文件），并请理事们查阅</w:t>
      </w:r>
      <w:r>
        <w:rPr>
          <w:lang w:val="zh-CN" w:eastAsia="zh-CN"/>
        </w:rPr>
        <w:t>C25/INF/14</w:t>
      </w:r>
      <w:r>
        <w:rPr>
          <w:lang w:val="zh-CN" w:eastAsia="zh-CN"/>
        </w:rPr>
        <w:t>号文件，了解有关这些活动的进一步细节。</w:t>
      </w:r>
    </w:p>
    <w:p w14:paraId="090ADA97" w14:textId="77777777" w:rsidR="00A85B60" w:rsidRPr="00013F7D" w:rsidRDefault="00A85B60" w:rsidP="00A066BA">
      <w:pPr>
        <w:jc w:val="both"/>
        <w:rPr>
          <w:lang w:eastAsia="zh-CN"/>
        </w:rPr>
      </w:pPr>
      <w:r>
        <w:rPr>
          <w:lang w:val="zh-CN" w:eastAsia="zh-CN"/>
        </w:rPr>
        <w:t>3.3</w:t>
      </w:r>
      <w:r>
        <w:rPr>
          <w:lang w:val="zh-CN" w:eastAsia="zh-CN"/>
        </w:rPr>
        <w:tab/>
      </w:r>
      <w:r>
        <w:rPr>
          <w:lang w:val="zh-CN" w:eastAsia="zh-CN"/>
        </w:rPr>
        <w:t>几位理事赞扬了这两项活动的成果，指出</w:t>
      </w:r>
      <w:r>
        <w:rPr>
          <w:lang w:val="zh-CN" w:eastAsia="zh-CN"/>
        </w:rPr>
        <w:t>GSS-24</w:t>
      </w:r>
      <w:r>
        <w:rPr>
          <w:lang w:val="zh-CN" w:eastAsia="zh-CN"/>
        </w:rPr>
        <w:t>的输入意见促进了</w:t>
      </w:r>
      <w:r>
        <w:rPr>
          <w:lang w:val="zh-CN" w:eastAsia="zh-CN"/>
        </w:rPr>
        <w:t>WTSA-24</w:t>
      </w:r>
      <w:r>
        <w:rPr>
          <w:lang w:val="zh-CN" w:eastAsia="zh-CN"/>
        </w:rPr>
        <w:t>的成果，其中包括关于</w:t>
      </w:r>
      <w:r>
        <w:rPr>
          <w:lang w:val="zh-CN" w:eastAsia="zh-CN"/>
        </w:rPr>
        <w:t>ITU-T</w:t>
      </w:r>
      <w:r>
        <w:rPr>
          <w:lang w:val="zh-CN" w:eastAsia="zh-CN"/>
        </w:rPr>
        <w:t>在可持续数字化转型、数字公共基础设施和社会数字化等关键领域工作的新决议和</w:t>
      </w:r>
      <w:r>
        <w:rPr>
          <w:rFonts w:hint="eastAsia"/>
          <w:lang w:val="zh-CN" w:eastAsia="zh-CN"/>
        </w:rPr>
        <w:t>经</w:t>
      </w:r>
      <w:r>
        <w:rPr>
          <w:lang w:val="zh-CN" w:eastAsia="zh-CN"/>
        </w:rPr>
        <w:t>修订</w:t>
      </w:r>
      <w:r>
        <w:rPr>
          <w:rFonts w:hint="eastAsia"/>
          <w:lang w:val="zh-CN" w:eastAsia="zh-CN"/>
        </w:rPr>
        <w:t>的</w:t>
      </w:r>
      <w:r>
        <w:rPr>
          <w:lang w:val="zh-CN" w:eastAsia="zh-CN"/>
        </w:rPr>
        <w:t>决议，以及将第</w:t>
      </w:r>
      <w:r>
        <w:rPr>
          <w:lang w:val="zh-CN" w:eastAsia="zh-CN"/>
        </w:rPr>
        <w:t>9</w:t>
      </w:r>
      <w:r>
        <w:rPr>
          <w:lang w:val="zh-CN" w:eastAsia="zh-CN"/>
        </w:rPr>
        <w:t>和第</w:t>
      </w:r>
      <w:r>
        <w:rPr>
          <w:lang w:val="zh-CN" w:eastAsia="zh-CN"/>
        </w:rPr>
        <w:t>16</w:t>
      </w:r>
      <w:r>
        <w:rPr>
          <w:lang w:val="zh-CN" w:eastAsia="zh-CN"/>
        </w:rPr>
        <w:t>研究组合并为新成立的</w:t>
      </w:r>
      <w:r>
        <w:rPr>
          <w:lang w:val="zh-CN" w:eastAsia="zh-CN"/>
        </w:rPr>
        <w:t>ITU-T</w:t>
      </w:r>
      <w:r>
        <w:rPr>
          <w:lang w:val="zh-CN" w:eastAsia="zh-CN"/>
        </w:rPr>
        <w:t>第</w:t>
      </w:r>
      <w:r>
        <w:rPr>
          <w:lang w:val="zh-CN" w:eastAsia="zh-CN"/>
        </w:rPr>
        <w:t>21</w:t>
      </w:r>
      <w:r>
        <w:rPr>
          <w:lang w:val="zh-CN" w:eastAsia="zh-CN"/>
        </w:rPr>
        <w:t>研究组。</w:t>
      </w:r>
    </w:p>
    <w:p w14:paraId="0070885C" w14:textId="77777777" w:rsidR="00A85B60" w:rsidRPr="00013F7D" w:rsidRDefault="00A85B60" w:rsidP="00A066BA">
      <w:pPr>
        <w:jc w:val="both"/>
        <w:rPr>
          <w:lang w:eastAsia="zh-CN"/>
        </w:rPr>
      </w:pPr>
      <w:r>
        <w:rPr>
          <w:lang w:val="zh-CN" w:eastAsia="zh-CN"/>
        </w:rPr>
        <w:t>3.4</w:t>
      </w:r>
      <w:r>
        <w:rPr>
          <w:lang w:val="zh-CN" w:eastAsia="zh-CN"/>
        </w:rPr>
        <w:tab/>
      </w:r>
      <w:r>
        <w:rPr>
          <w:lang w:val="zh-CN" w:eastAsia="zh-CN"/>
        </w:rPr>
        <w:t>另一位理事对人工智能（</w:t>
      </w:r>
      <w:r>
        <w:rPr>
          <w:lang w:val="zh-CN" w:eastAsia="zh-CN"/>
        </w:rPr>
        <w:t>AI</w:t>
      </w:r>
      <w:r>
        <w:rPr>
          <w:lang w:val="zh-CN" w:eastAsia="zh-CN"/>
        </w:rPr>
        <w:t>）和</w:t>
      </w:r>
      <w:proofErr w:type="gramStart"/>
      <w:r>
        <w:rPr>
          <w:lang w:val="zh-CN" w:eastAsia="zh-CN"/>
        </w:rPr>
        <w:t>可</w:t>
      </w:r>
      <w:proofErr w:type="gramEnd"/>
      <w:r>
        <w:rPr>
          <w:lang w:val="zh-CN" w:eastAsia="zh-CN"/>
        </w:rPr>
        <w:t>持续性</w:t>
      </w:r>
      <w:r>
        <w:rPr>
          <w:rFonts w:hint="eastAsia"/>
          <w:lang w:val="zh-CN" w:eastAsia="zh-CN"/>
        </w:rPr>
        <w:t>领域</w:t>
      </w:r>
      <w:r w:rsidRPr="00D95F9A">
        <w:rPr>
          <w:rFonts w:hint="eastAsia"/>
          <w:lang w:val="zh-CN" w:eastAsia="zh-CN"/>
        </w:rPr>
        <w:t>日益增强的</w:t>
      </w:r>
      <w:r>
        <w:rPr>
          <w:rFonts w:hint="eastAsia"/>
          <w:lang w:val="zh-CN" w:eastAsia="zh-CN"/>
        </w:rPr>
        <w:t>对</w:t>
      </w:r>
      <w:r>
        <w:rPr>
          <w:lang w:val="zh-CN" w:eastAsia="zh-CN"/>
        </w:rPr>
        <w:t>标准化</w:t>
      </w:r>
      <w:r>
        <w:rPr>
          <w:rFonts w:hint="eastAsia"/>
          <w:lang w:val="zh-CN" w:eastAsia="zh-CN"/>
        </w:rPr>
        <w:t>的关注</w:t>
      </w:r>
      <w:r>
        <w:rPr>
          <w:lang w:val="zh-CN" w:eastAsia="zh-CN"/>
        </w:rPr>
        <w:t>以及</w:t>
      </w:r>
      <w:r>
        <w:rPr>
          <w:lang w:val="zh-CN" w:eastAsia="zh-CN"/>
        </w:rPr>
        <w:t>ITU-T</w:t>
      </w:r>
      <w:r>
        <w:rPr>
          <w:lang w:val="zh-CN" w:eastAsia="zh-CN"/>
        </w:rPr>
        <w:t>妇女联谊会取得的进展表示欢迎。他支持提名女性担任</w:t>
      </w:r>
      <w:r>
        <w:rPr>
          <w:lang w:val="zh-CN" w:eastAsia="zh-CN"/>
        </w:rPr>
        <w:t>ITU-T</w:t>
      </w:r>
      <w:r>
        <w:rPr>
          <w:lang w:val="zh-CN" w:eastAsia="zh-CN"/>
        </w:rPr>
        <w:t>领导职位的</w:t>
      </w:r>
      <w:r w:rsidRPr="00D95F9A">
        <w:rPr>
          <w:rFonts w:hint="eastAsia"/>
          <w:lang w:val="zh-CN" w:eastAsia="zh-CN"/>
        </w:rPr>
        <w:t>倡议。</w:t>
      </w:r>
    </w:p>
    <w:p w14:paraId="782BD90E" w14:textId="77777777" w:rsidR="00A85B60" w:rsidRPr="00013F7D" w:rsidRDefault="00A85B60" w:rsidP="00A066BA">
      <w:pPr>
        <w:jc w:val="both"/>
        <w:rPr>
          <w:lang w:eastAsia="zh-CN"/>
        </w:rPr>
      </w:pPr>
      <w:r>
        <w:rPr>
          <w:lang w:val="zh-CN" w:eastAsia="zh-CN"/>
        </w:rPr>
        <w:t>3.5</w:t>
      </w:r>
      <w:r>
        <w:rPr>
          <w:lang w:val="zh-CN" w:eastAsia="zh-CN"/>
        </w:rPr>
        <w:tab/>
      </w:r>
      <w:r w:rsidRPr="00F02D36">
        <w:rPr>
          <w:rFonts w:hint="eastAsia"/>
          <w:lang w:val="zh-CN" w:eastAsia="zh-CN"/>
        </w:rPr>
        <w:t>秘书长对印度政府</w:t>
      </w:r>
      <w:r>
        <w:rPr>
          <w:rFonts w:hint="eastAsia"/>
          <w:lang w:val="zh-CN" w:eastAsia="zh-CN"/>
        </w:rPr>
        <w:t>的</w:t>
      </w:r>
      <w:r w:rsidRPr="00F02D36">
        <w:rPr>
          <w:rFonts w:hint="eastAsia"/>
          <w:lang w:val="zh-CN" w:eastAsia="zh-CN"/>
        </w:rPr>
        <w:t>热情好客并顺利举办两项活动表示感谢。</w:t>
      </w:r>
      <w:r>
        <w:rPr>
          <w:lang w:val="zh-CN" w:eastAsia="zh-CN"/>
        </w:rPr>
        <w:t>WTSA-24</w:t>
      </w:r>
      <w:r>
        <w:rPr>
          <w:lang w:val="zh-CN" w:eastAsia="zh-CN"/>
        </w:rPr>
        <w:t>的成果反映了</w:t>
      </w:r>
      <w:r w:rsidRPr="00F02D36">
        <w:rPr>
          <w:rFonts w:hint="eastAsia"/>
          <w:lang w:val="zh-CN" w:eastAsia="zh-CN"/>
        </w:rPr>
        <w:t>各方</w:t>
      </w:r>
      <w:r>
        <w:rPr>
          <w:lang w:val="zh-CN" w:eastAsia="zh-CN"/>
        </w:rPr>
        <w:t>对负责任的数字化转型的共同承诺。</w:t>
      </w:r>
    </w:p>
    <w:p w14:paraId="4532F1A9" w14:textId="77777777" w:rsidR="00A85B60" w:rsidRPr="00013F7D" w:rsidRDefault="00A85B60" w:rsidP="00A066BA">
      <w:pPr>
        <w:jc w:val="both"/>
        <w:rPr>
          <w:lang w:eastAsia="zh-CN"/>
        </w:rPr>
      </w:pPr>
      <w:r>
        <w:rPr>
          <w:lang w:val="zh-CN" w:eastAsia="zh-CN"/>
        </w:rPr>
        <w:t>3.6</w:t>
      </w:r>
      <w:r>
        <w:rPr>
          <w:lang w:val="zh-CN" w:eastAsia="zh-CN"/>
        </w:rPr>
        <w:tab/>
      </w:r>
      <w:r>
        <w:rPr>
          <w:lang w:val="zh-CN" w:eastAsia="zh-CN"/>
        </w:rPr>
        <w:t>来自印度的理事表达了印度政府对成员国、国际电联领导层和</w:t>
      </w:r>
      <w:r>
        <w:rPr>
          <w:rFonts w:hint="eastAsia"/>
          <w:lang w:val="zh-CN" w:eastAsia="zh-CN"/>
        </w:rPr>
        <w:t>职员</w:t>
      </w:r>
      <w:r>
        <w:rPr>
          <w:lang w:val="zh-CN" w:eastAsia="zh-CN"/>
        </w:rPr>
        <w:t>为成功举办</w:t>
      </w:r>
      <w:r>
        <w:rPr>
          <w:lang w:val="zh-CN" w:eastAsia="zh-CN"/>
        </w:rPr>
        <w:t>WTSA-24</w:t>
      </w:r>
      <w:r>
        <w:rPr>
          <w:lang w:val="zh-CN" w:eastAsia="zh-CN"/>
        </w:rPr>
        <w:t>给予的支持</w:t>
      </w:r>
      <w:r>
        <w:rPr>
          <w:rFonts w:hint="eastAsia"/>
          <w:lang w:val="zh-CN" w:eastAsia="zh-CN"/>
        </w:rPr>
        <w:t>的</w:t>
      </w:r>
      <w:r>
        <w:rPr>
          <w:lang w:val="zh-CN" w:eastAsia="zh-CN"/>
        </w:rPr>
        <w:t>感谢。</w:t>
      </w:r>
    </w:p>
    <w:p w14:paraId="4E6DC446" w14:textId="77777777" w:rsidR="00A85B60" w:rsidRPr="00013F7D" w:rsidRDefault="00A85B60" w:rsidP="00A85B60">
      <w:pPr>
        <w:rPr>
          <w:lang w:eastAsia="zh-CN"/>
        </w:rPr>
      </w:pPr>
      <w:r>
        <w:rPr>
          <w:lang w:val="zh-CN" w:eastAsia="zh-CN"/>
        </w:rPr>
        <w:t>3.7</w:t>
      </w:r>
      <w:r>
        <w:rPr>
          <w:lang w:val="zh-CN" w:eastAsia="zh-CN"/>
        </w:rPr>
        <w:tab/>
      </w:r>
      <w:r>
        <w:rPr>
          <w:lang w:val="zh-CN" w:eastAsia="zh-CN"/>
        </w:rPr>
        <w:t>理事会将</w:t>
      </w:r>
      <w:r>
        <w:rPr>
          <w:lang w:val="zh-CN" w:eastAsia="zh-CN"/>
        </w:rPr>
        <w:t>C25/24</w:t>
      </w:r>
      <w:r>
        <w:rPr>
          <w:lang w:val="zh-CN" w:eastAsia="zh-CN"/>
        </w:rPr>
        <w:t>号文件包含的报告</w:t>
      </w:r>
      <w:r w:rsidRPr="003E5992">
        <w:rPr>
          <w:b/>
          <w:bCs/>
          <w:lang w:val="zh-CN" w:eastAsia="zh-CN"/>
        </w:rPr>
        <w:t>记录在案</w:t>
      </w:r>
      <w:r>
        <w:rPr>
          <w:lang w:val="zh-CN" w:eastAsia="zh-CN"/>
        </w:rPr>
        <w:t>。</w:t>
      </w:r>
    </w:p>
    <w:p w14:paraId="640F9023" w14:textId="77777777" w:rsidR="00A85B60" w:rsidRPr="00013F7D" w:rsidRDefault="00A85B60" w:rsidP="00A85B60">
      <w:pPr>
        <w:pStyle w:val="Heading1"/>
        <w:rPr>
          <w:lang w:eastAsia="zh-CN"/>
        </w:rPr>
      </w:pPr>
      <w:r>
        <w:rPr>
          <w:bCs/>
          <w:lang w:val="zh-CN" w:eastAsia="zh-CN"/>
        </w:rPr>
        <w:lastRenderedPageBreak/>
        <w:t>4</w:t>
      </w:r>
      <w:r>
        <w:rPr>
          <w:bCs/>
          <w:lang w:val="zh-CN" w:eastAsia="zh-CN"/>
        </w:rPr>
        <w:tab/>
      </w:r>
      <w:r>
        <w:rPr>
          <w:lang w:val="zh-CN" w:eastAsia="zh-CN"/>
        </w:rPr>
        <w:t>理事会国际互联网相关公共政策问题工作组主席的报告（</w:t>
      </w:r>
      <w:hyperlink r:id="rId18" w:history="1">
        <w:r w:rsidRPr="00013F7D">
          <w:rPr>
            <w:rStyle w:val="Hyperlink"/>
            <w:rFonts w:asciiTheme="minorHAnsi" w:eastAsia="SimSun" w:hAnsiTheme="minorHAnsi" w:cstheme="minorHAnsi"/>
            <w:szCs w:val="24"/>
            <w:lang w:eastAsia="zh-CN"/>
          </w:rPr>
          <w:t>C25/51</w:t>
        </w:r>
      </w:hyperlink>
      <w:r>
        <w:rPr>
          <w:lang w:val="zh-CN" w:eastAsia="zh-CN"/>
        </w:rPr>
        <w:t>号文件）</w:t>
      </w:r>
      <w:r>
        <w:fldChar w:fldCharType="begin"/>
      </w:r>
      <w:r>
        <w:rPr>
          <w:lang w:eastAsia="zh-CN"/>
        </w:rPr>
        <w:instrText>HYPERLINK "https://www.itu.int/md/S25-CL-C-0051/en"</w:instrText>
      </w:r>
      <w:r>
        <w:fldChar w:fldCharType="separate"/>
      </w:r>
      <w:r>
        <w:fldChar w:fldCharType="end"/>
      </w:r>
    </w:p>
    <w:p w14:paraId="44197F55" w14:textId="3699BC7F" w:rsidR="00A85B60" w:rsidRPr="00013F7D" w:rsidRDefault="00A85B60" w:rsidP="00A066BA">
      <w:pPr>
        <w:jc w:val="both"/>
        <w:rPr>
          <w:lang w:eastAsia="zh-CN"/>
        </w:rPr>
      </w:pPr>
      <w:r>
        <w:rPr>
          <w:lang w:val="zh-CN" w:eastAsia="zh-CN"/>
        </w:rPr>
        <w:t>4.1</w:t>
      </w:r>
      <w:r>
        <w:rPr>
          <w:lang w:val="zh-CN" w:eastAsia="zh-CN"/>
        </w:rPr>
        <w:tab/>
      </w:r>
      <w:r>
        <w:rPr>
          <w:lang w:val="zh-CN" w:eastAsia="zh-CN"/>
        </w:rPr>
        <w:t>理事会国际互联网相关公共政策问题工作组（</w:t>
      </w:r>
      <w:r>
        <w:rPr>
          <w:lang w:val="zh-CN" w:eastAsia="zh-CN"/>
        </w:rPr>
        <w:t>CWG-Internet</w:t>
      </w:r>
      <w:r>
        <w:rPr>
          <w:lang w:val="zh-CN" w:eastAsia="zh-CN"/>
        </w:rPr>
        <w:t>）主席介绍了</w:t>
      </w:r>
      <w:r>
        <w:rPr>
          <w:lang w:val="zh-CN" w:eastAsia="zh-CN"/>
        </w:rPr>
        <w:t>C25/51</w:t>
      </w:r>
      <w:r>
        <w:rPr>
          <w:lang w:val="zh-CN" w:eastAsia="zh-CN"/>
        </w:rPr>
        <w:t>号文件，总结了该</w:t>
      </w:r>
      <w:r>
        <w:rPr>
          <w:rFonts w:hint="eastAsia"/>
          <w:lang w:val="zh-CN" w:eastAsia="zh-CN"/>
        </w:rPr>
        <w:t>工作</w:t>
      </w:r>
      <w:r>
        <w:rPr>
          <w:lang w:val="zh-CN" w:eastAsia="zh-CN"/>
        </w:rPr>
        <w:t>组分别于</w:t>
      </w:r>
      <w:r>
        <w:rPr>
          <w:lang w:val="zh-CN" w:eastAsia="zh-CN"/>
        </w:rPr>
        <w:t>2024</w:t>
      </w:r>
      <w:r>
        <w:rPr>
          <w:lang w:val="zh-CN" w:eastAsia="zh-CN"/>
        </w:rPr>
        <w:t>年</w:t>
      </w:r>
      <w:r>
        <w:rPr>
          <w:lang w:val="zh-CN" w:eastAsia="zh-CN"/>
        </w:rPr>
        <w:t>10</w:t>
      </w:r>
      <w:r>
        <w:rPr>
          <w:lang w:val="zh-CN" w:eastAsia="zh-CN"/>
        </w:rPr>
        <w:t>月</w:t>
      </w:r>
      <w:r>
        <w:rPr>
          <w:lang w:val="zh-CN" w:eastAsia="zh-CN"/>
        </w:rPr>
        <w:t>4</w:t>
      </w:r>
      <w:r>
        <w:rPr>
          <w:lang w:val="zh-CN" w:eastAsia="zh-CN"/>
        </w:rPr>
        <w:t>日和</w:t>
      </w:r>
      <w:r>
        <w:rPr>
          <w:lang w:val="zh-CN" w:eastAsia="zh-CN"/>
        </w:rPr>
        <w:t>2025</w:t>
      </w:r>
      <w:r>
        <w:rPr>
          <w:lang w:val="zh-CN" w:eastAsia="zh-CN"/>
        </w:rPr>
        <w:t>年</w:t>
      </w:r>
      <w:r>
        <w:rPr>
          <w:lang w:val="zh-CN" w:eastAsia="zh-CN"/>
        </w:rPr>
        <w:t>2</w:t>
      </w:r>
      <w:r>
        <w:rPr>
          <w:lang w:val="zh-CN" w:eastAsia="zh-CN"/>
        </w:rPr>
        <w:t>月</w:t>
      </w:r>
      <w:r>
        <w:rPr>
          <w:lang w:val="zh-CN" w:eastAsia="zh-CN"/>
        </w:rPr>
        <w:t>19</w:t>
      </w:r>
      <w:r>
        <w:rPr>
          <w:lang w:val="zh-CN" w:eastAsia="zh-CN"/>
        </w:rPr>
        <w:t>日</w:t>
      </w:r>
      <w:r w:rsidR="001954B5">
        <w:rPr>
          <w:rFonts w:hint="eastAsia"/>
          <w:lang w:val="zh-CN" w:eastAsia="zh-CN"/>
        </w:rPr>
        <w:t>-</w:t>
      </w:r>
      <w:r>
        <w:rPr>
          <w:lang w:val="zh-CN" w:eastAsia="zh-CN"/>
        </w:rPr>
        <w:t>20</w:t>
      </w:r>
      <w:r>
        <w:rPr>
          <w:lang w:val="zh-CN" w:eastAsia="zh-CN"/>
        </w:rPr>
        <w:t>日举行的第</w:t>
      </w:r>
      <w:r>
        <w:rPr>
          <w:lang w:val="zh-CN" w:eastAsia="zh-CN"/>
        </w:rPr>
        <w:t>20</w:t>
      </w:r>
      <w:r>
        <w:rPr>
          <w:lang w:val="zh-CN" w:eastAsia="zh-CN"/>
        </w:rPr>
        <w:t>次和第</w:t>
      </w:r>
      <w:r>
        <w:rPr>
          <w:lang w:val="zh-CN" w:eastAsia="zh-CN"/>
        </w:rPr>
        <w:t>21</w:t>
      </w:r>
      <w:r>
        <w:rPr>
          <w:lang w:val="zh-CN" w:eastAsia="zh-CN"/>
        </w:rPr>
        <w:t>次会议的成果。</w:t>
      </w:r>
    </w:p>
    <w:p w14:paraId="2136B9F2" w14:textId="77777777" w:rsidR="00A85B60" w:rsidRPr="00013F7D" w:rsidRDefault="00A85B60" w:rsidP="00A066BA">
      <w:pPr>
        <w:jc w:val="both"/>
        <w:rPr>
          <w:lang w:eastAsia="zh-CN"/>
        </w:rPr>
      </w:pPr>
      <w:r>
        <w:rPr>
          <w:lang w:val="zh-CN" w:eastAsia="zh-CN"/>
        </w:rPr>
        <w:t>4.2</w:t>
      </w:r>
      <w:r>
        <w:rPr>
          <w:lang w:val="zh-CN" w:eastAsia="zh-CN"/>
        </w:rPr>
        <w:tab/>
      </w:r>
      <w:r>
        <w:rPr>
          <w:lang w:val="zh-CN" w:eastAsia="zh-CN"/>
        </w:rPr>
        <w:t>几位理事指出，</w:t>
      </w:r>
      <w:r>
        <w:rPr>
          <w:lang w:val="zh-CN" w:eastAsia="zh-CN"/>
        </w:rPr>
        <w:t>CWG-Internet</w:t>
      </w:r>
      <w:r>
        <w:rPr>
          <w:lang w:val="zh-CN" w:eastAsia="zh-CN"/>
        </w:rPr>
        <w:t>成员仅限于成员国，因此建议将其扩大到部门成员，特别是技术界的成员，</w:t>
      </w:r>
      <w:r>
        <w:rPr>
          <w:rFonts w:hint="eastAsia"/>
          <w:lang w:val="zh-CN" w:eastAsia="zh-CN"/>
        </w:rPr>
        <w:t>因其</w:t>
      </w:r>
      <w:r>
        <w:rPr>
          <w:lang w:val="zh-CN" w:eastAsia="zh-CN"/>
        </w:rPr>
        <w:t>专业知识和经验</w:t>
      </w:r>
      <w:r>
        <w:rPr>
          <w:rFonts w:hint="eastAsia"/>
          <w:lang w:val="zh-CN" w:eastAsia="zh-CN"/>
        </w:rPr>
        <w:t>具有高度的相关性</w:t>
      </w:r>
      <w:r>
        <w:rPr>
          <w:lang w:val="zh-CN" w:eastAsia="zh-CN"/>
        </w:rPr>
        <w:t>。一位理事询问是否必须</w:t>
      </w:r>
      <w:r>
        <w:rPr>
          <w:rFonts w:hint="eastAsia"/>
          <w:lang w:val="zh-CN" w:eastAsia="zh-CN"/>
        </w:rPr>
        <w:t>由</w:t>
      </w:r>
      <w:r>
        <w:rPr>
          <w:lang w:val="zh-CN" w:eastAsia="zh-CN"/>
        </w:rPr>
        <w:t>全权代表大会通过修订第</w:t>
      </w:r>
      <w:r>
        <w:rPr>
          <w:lang w:val="zh-CN" w:eastAsia="zh-CN"/>
        </w:rPr>
        <w:t>102</w:t>
      </w:r>
      <w:r>
        <w:rPr>
          <w:lang w:val="zh-CN" w:eastAsia="zh-CN"/>
        </w:rPr>
        <w:t>号决议（</w:t>
      </w:r>
      <w:r>
        <w:rPr>
          <w:lang w:val="zh-CN" w:eastAsia="zh-CN"/>
        </w:rPr>
        <w:t>2022</w:t>
      </w:r>
      <w:r>
        <w:rPr>
          <w:lang w:val="zh-CN" w:eastAsia="zh-CN"/>
        </w:rPr>
        <w:t>年，布加勒斯特，修订版）来修正职责范围。一位观察员回顾说，</w:t>
      </w:r>
      <w:r w:rsidRPr="000E7AE0">
        <w:rPr>
          <w:rFonts w:hint="eastAsia"/>
          <w:lang w:val="zh-CN" w:eastAsia="zh-CN"/>
        </w:rPr>
        <w:t>CWG-Internet</w:t>
      </w:r>
      <w:r w:rsidRPr="000E7AE0">
        <w:rPr>
          <w:rFonts w:hint="eastAsia"/>
          <w:lang w:val="zh-CN" w:eastAsia="zh-CN"/>
        </w:rPr>
        <w:t>的成员资格曾在过去的理事会讨论中存在分歧</w:t>
      </w:r>
      <w:r>
        <w:rPr>
          <w:lang w:val="zh-CN" w:eastAsia="zh-CN"/>
        </w:rPr>
        <w:t>，因此认为应在</w:t>
      </w:r>
      <w:r>
        <w:rPr>
          <w:lang w:val="zh-CN" w:eastAsia="zh-CN"/>
        </w:rPr>
        <w:t>PP-26</w:t>
      </w:r>
      <w:r>
        <w:rPr>
          <w:lang w:val="zh-CN" w:eastAsia="zh-CN"/>
        </w:rPr>
        <w:t>上提出这个问题。全体会议秘书确认，全权代表大会决议中所载的职责范围只能由全权代表大会修正。</w:t>
      </w:r>
    </w:p>
    <w:p w14:paraId="4B883921" w14:textId="77777777" w:rsidR="00A85B60" w:rsidRPr="00013F7D" w:rsidRDefault="00A85B60" w:rsidP="00A066BA">
      <w:pPr>
        <w:jc w:val="both"/>
        <w:rPr>
          <w:lang w:eastAsia="zh-CN"/>
        </w:rPr>
      </w:pPr>
      <w:r>
        <w:rPr>
          <w:lang w:val="zh-CN" w:eastAsia="zh-CN"/>
        </w:rPr>
        <w:t>4.3</w:t>
      </w:r>
      <w:r>
        <w:rPr>
          <w:lang w:val="zh-CN" w:eastAsia="zh-CN"/>
        </w:rPr>
        <w:tab/>
      </w:r>
      <w:r>
        <w:rPr>
          <w:lang w:val="zh-CN" w:eastAsia="zh-CN"/>
        </w:rPr>
        <w:t>几位理事提到正在进行的关于内陆发展中国家（</w:t>
      </w:r>
      <w:r>
        <w:rPr>
          <w:lang w:val="zh-CN" w:eastAsia="zh-CN"/>
        </w:rPr>
        <w:t>LLDC</w:t>
      </w:r>
      <w:r>
        <w:rPr>
          <w:lang w:val="zh-CN" w:eastAsia="zh-CN"/>
        </w:rPr>
        <w:t>）的公开磋商，鼓励秘书处探索针对</w:t>
      </w:r>
      <w:r>
        <w:rPr>
          <w:lang w:val="zh-CN" w:eastAsia="zh-CN"/>
        </w:rPr>
        <w:t>LLDC</w:t>
      </w:r>
      <w:r>
        <w:rPr>
          <w:lang w:val="zh-CN" w:eastAsia="zh-CN"/>
        </w:rPr>
        <w:t>的定向</w:t>
      </w:r>
      <w:r>
        <w:rPr>
          <w:rFonts w:hint="eastAsia"/>
          <w:lang w:val="zh-CN" w:eastAsia="zh-CN"/>
        </w:rPr>
        <w:t>宣传推广</w:t>
      </w:r>
      <w:r>
        <w:rPr>
          <w:lang w:val="zh-CN" w:eastAsia="zh-CN"/>
        </w:rPr>
        <w:t>和能力建设，</w:t>
      </w:r>
      <w:r w:rsidRPr="003459FA">
        <w:rPr>
          <w:rFonts w:hint="eastAsia"/>
          <w:lang w:val="zh-CN" w:eastAsia="zh-CN"/>
        </w:rPr>
        <w:t>因为这些国家依赖过境国实现</w:t>
      </w:r>
      <w:r>
        <w:rPr>
          <w:rFonts w:hint="eastAsia"/>
          <w:lang w:val="zh-CN" w:eastAsia="zh-CN"/>
        </w:rPr>
        <w:t>连接</w:t>
      </w:r>
      <w:r>
        <w:rPr>
          <w:lang w:val="zh-CN" w:eastAsia="zh-CN"/>
        </w:rPr>
        <w:t>。会议敦促成员国积极参与磋商。</w:t>
      </w:r>
    </w:p>
    <w:p w14:paraId="44047404" w14:textId="77777777" w:rsidR="00A85B60" w:rsidRPr="00013F7D" w:rsidRDefault="00A85B60" w:rsidP="00A066BA">
      <w:pPr>
        <w:jc w:val="both"/>
        <w:rPr>
          <w:lang w:eastAsia="zh-CN"/>
        </w:rPr>
      </w:pPr>
      <w:r>
        <w:rPr>
          <w:lang w:val="zh-CN" w:eastAsia="zh-CN"/>
        </w:rPr>
        <w:t>4.4</w:t>
      </w:r>
      <w:r>
        <w:rPr>
          <w:lang w:val="zh-CN" w:eastAsia="zh-CN"/>
        </w:rPr>
        <w:tab/>
      </w:r>
      <w:r>
        <w:rPr>
          <w:lang w:val="zh-CN" w:eastAsia="zh-CN"/>
        </w:rPr>
        <w:t>几位理事建议，未来的</w:t>
      </w:r>
      <w:r>
        <w:rPr>
          <w:lang w:val="zh-CN" w:eastAsia="zh-CN"/>
        </w:rPr>
        <w:t>CWG-Internet</w:t>
      </w:r>
      <w:r>
        <w:rPr>
          <w:lang w:val="zh-CN" w:eastAsia="zh-CN"/>
        </w:rPr>
        <w:t>报告应包括关于以往建议实施情况的总结和最新进展，以便于评估磋商是否</w:t>
      </w:r>
      <w:r w:rsidRPr="00BA6545">
        <w:rPr>
          <w:rFonts w:hint="eastAsia"/>
          <w:lang w:val="zh-CN" w:eastAsia="zh-CN"/>
        </w:rPr>
        <w:t>促成了具体成果，还是主要停留在讨论阶段</w:t>
      </w:r>
      <w:r>
        <w:rPr>
          <w:lang w:val="zh-CN" w:eastAsia="zh-CN"/>
        </w:rPr>
        <w:t>。一位观察员指出，本报告没有向理事会提出任何建议。</w:t>
      </w:r>
    </w:p>
    <w:p w14:paraId="79E38CCD" w14:textId="77777777" w:rsidR="00A85B60" w:rsidRPr="00013F7D" w:rsidRDefault="00A85B60" w:rsidP="00A066BA">
      <w:pPr>
        <w:jc w:val="both"/>
        <w:rPr>
          <w:lang w:eastAsia="zh-CN"/>
        </w:rPr>
      </w:pPr>
      <w:r>
        <w:rPr>
          <w:lang w:val="zh-CN" w:eastAsia="zh-CN"/>
        </w:rPr>
        <w:t>4.5</w:t>
      </w:r>
      <w:r>
        <w:rPr>
          <w:lang w:val="zh-CN" w:eastAsia="zh-CN"/>
        </w:rPr>
        <w:tab/>
      </w:r>
      <w:r>
        <w:rPr>
          <w:lang w:val="zh-CN" w:eastAsia="zh-CN"/>
        </w:rPr>
        <w:t>一位理事要求执行理事会第</w:t>
      </w:r>
      <w:r>
        <w:rPr>
          <w:lang w:val="zh-CN" w:eastAsia="zh-CN"/>
        </w:rPr>
        <w:t>1305</w:t>
      </w:r>
      <w:r>
        <w:rPr>
          <w:lang w:val="zh-CN" w:eastAsia="zh-CN"/>
        </w:rPr>
        <w:t>号决议（</w:t>
      </w:r>
      <w:r>
        <w:rPr>
          <w:lang w:val="zh-CN" w:eastAsia="zh-CN"/>
        </w:rPr>
        <w:t>C09</w:t>
      </w:r>
      <w:r>
        <w:rPr>
          <w:lang w:val="zh-CN" w:eastAsia="zh-CN"/>
        </w:rPr>
        <w:t>，</w:t>
      </w:r>
      <w:r>
        <w:rPr>
          <w:rFonts w:hint="eastAsia"/>
          <w:lang w:val="zh-CN" w:eastAsia="zh-CN"/>
        </w:rPr>
        <w:t>最后</w:t>
      </w:r>
      <w:r>
        <w:rPr>
          <w:lang w:val="zh-CN" w:eastAsia="zh-CN"/>
        </w:rPr>
        <w:t>修正</w:t>
      </w:r>
      <w:r>
        <w:rPr>
          <w:lang w:val="zh-CN" w:eastAsia="zh-CN"/>
        </w:rPr>
        <w:t>C24</w:t>
      </w:r>
      <w:r>
        <w:rPr>
          <w:lang w:val="zh-CN" w:eastAsia="zh-CN"/>
        </w:rPr>
        <w:t>），特别是</w:t>
      </w:r>
      <w:r w:rsidRPr="00464B92">
        <w:rPr>
          <w:rFonts w:ascii="STKaiti" w:eastAsia="STKaiti" w:hAnsi="STKaiti"/>
          <w:lang w:val="zh-CN" w:eastAsia="zh-CN"/>
        </w:rPr>
        <w:t>责成秘书长</w:t>
      </w:r>
      <w:r w:rsidRPr="00531795">
        <w:rPr>
          <w:rFonts w:asciiTheme="minorHAnsi" w:eastAsia="STKaiti" w:hAnsiTheme="minorHAnsi" w:cstheme="minorHAnsi"/>
          <w:lang w:val="zh-CN" w:eastAsia="zh-CN"/>
        </w:rPr>
        <w:t>2</w:t>
      </w:r>
      <w:r>
        <w:rPr>
          <w:lang w:val="zh-CN" w:eastAsia="zh-CN"/>
        </w:rPr>
        <w:t>，以提高</w:t>
      </w:r>
      <w:r>
        <w:rPr>
          <w:lang w:val="zh-CN" w:eastAsia="zh-CN"/>
        </w:rPr>
        <w:t>CWG-Internet</w:t>
      </w:r>
      <w:r>
        <w:rPr>
          <w:lang w:val="zh-CN" w:eastAsia="zh-CN"/>
        </w:rPr>
        <w:t>及其磋商的有效性。另一位理事强调了</w:t>
      </w:r>
      <w:r>
        <w:rPr>
          <w:lang w:val="zh-CN" w:eastAsia="zh-CN"/>
        </w:rPr>
        <w:t>CWG-Internet</w:t>
      </w:r>
      <w:r>
        <w:rPr>
          <w:lang w:val="zh-CN" w:eastAsia="zh-CN"/>
        </w:rPr>
        <w:t>在磋商之外履行其职责领域的重要性。</w:t>
      </w:r>
    </w:p>
    <w:p w14:paraId="299D7C06" w14:textId="77777777" w:rsidR="00A85B60" w:rsidRPr="00013F7D" w:rsidRDefault="00A85B60" w:rsidP="00A066BA">
      <w:pPr>
        <w:jc w:val="both"/>
        <w:rPr>
          <w:lang w:eastAsia="zh-CN"/>
        </w:rPr>
      </w:pPr>
      <w:r>
        <w:rPr>
          <w:lang w:val="zh-CN" w:eastAsia="zh-CN"/>
        </w:rPr>
        <w:t>4.6</w:t>
      </w:r>
      <w:r>
        <w:rPr>
          <w:lang w:val="zh-CN" w:eastAsia="zh-CN"/>
        </w:rPr>
        <w:tab/>
      </w:r>
      <w:r>
        <w:rPr>
          <w:lang w:val="zh-CN" w:eastAsia="zh-CN"/>
        </w:rPr>
        <w:t>另一位理事强调了公共政策在促进互联网多语</w:t>
      </w:r>
      <w:r>
        <w:rPr>
          <w:rFonts w:hint="eastAsia"/>
          <w:lang w:val="zh-CN" w:eastAsia="zh-CN"/>
        </w:rPr>
        <w:t>文</w:t>
      </w:r>
      <w:r>
        <w:rPr>
          <w:lang w:val="zh-CN" w:eastAsia="zh-CN"/>
        </w:rPr>
        <w:t>化和确保</w:t>
      </w:r>
      <w:r>
        <w:rPr>
          <w:lang w:val="zh-CN" w:eastAsia="zh-CN"/>
        </w:rPr>
        <w:t>LLDC</w:t>
      </w:r>
      <w:r>
        <w:rPr>
          <w:lang w:val="zh-CN" w:eastAsia="zh-CN"/>
        </w:rPr>
        <w:t>有意义的连接方面的作用，</w:t>
      </w:r>
      <w:r w:rsidRPr="00464B92">
        <w:rPr>
          <w:rFonts w:hint="eastAsia"/>
          <w:lang w:val="zh-CN" w:eastAsia="zh-CN"/>
        </w:rPr>
        <w:t>并将其列为</w:t>
      </w:r>
      <w:r>
        <w:rPr>
          <w:lang w:val="zh-CN" w:eastAsia="zh-CN"/>
        </w:rPr>
        <w:t>国际电联的优先领域。</w:t>
      </w:r>
    </w:p>
    <w:p w14:paraId="19ABCD38" w14:textId="77777777" w:rsidR="00A85B60" w:rsidRPr="00013F7D" w:rsidRDefault="00A85B60" w:rsidP="00A066BA">
      <w:pPr>
        <w:jc w:val="both"/>
        <w:rPr>
          <w:lang w:eastAsia="zh-CN"/>
        </w:rPr>
      </w:pPr>
      <w:r>
        <w:rPr>
          <w:lang w:val="zh-CN" w:eastAsia="zh-CN"/>
        </w:rPr>
        <w:t>4.7</w:t>
      </w:r>
      <w:r>
        <w:rPr>
          <w:lang w:val="zh-CN" w:eastAsia="zh-CN"/>
        </w:rPr>
        <w:tab/>
        <w:t>CWG-Internet</w:t>
      </w:r>
      <w:r>
        <w:rPr>
          <w:lang w:val="zh-CN" w:eastAsia="zh-CN"/>
        </w:rPr>
        <w:t>主席敦促成员国向下次会议提交提案并邀请广泛参与公开磋商。管理团队已与利益攸关方接触，并将继续</w:t>
      </w:r>
      <w:r w:rsidRPr="00464B92">
        <w:rPr>
          <w:rFonts w:hint="eastAsia"/>
          <w:lang w:val="zh-CN" w:eastAsia="zh-CN"/>
        </w:rPr>
        <w:t>开展此类工作</w:t>
      </w:r>
      <w:r>
        <w:rPr>
          <w:lang w:val="zh-CN" w:eastAsia="zh-CN"/>
        </w:rPr>
        <w:t>，包括即将在挪威举行的互联网治理论坛。</w:t>
      </w:r>
      <w:r w:rsidRPr="00464B92">
        <w:rPr>
          <w:rFonts w:hint="eastAsia"/>
          <w:lang w:val="zh-CN" w:eastAsia="zh-CN"/>
        </w:rPr>
        <w:t>管理团队已与利益相关方进行了沟通，并将继续，包括在即将于挪威举行的互联网治理论坛上</w:t>
      </w:r>
      <w:r>
        <w:rPr>
          <w:rFonts w:hint="eastAsia"/>
          <w:lang w:val="zh-CN" w:eastAsia="zh-CN"/>
        </w:rPr>
        <w:t>开展工作</w:t>
      </w:r>
      <w:r w:rsidRPr="00464B92">
        <w:rPr>
          <w:rFonts w:hint="eastAsia"/>
          <w:lang w:val="zh-CN" w:eastAsia="zh-CN"/>
        </w:rPr>
        <w:t>。</w:t>
      </w:r>
    </w:p>
    <w:p w14:paraId="6EECAB6B" w14:textId="77777777" w:rsidR="00A85B60" w:rsidRPr="00013F7D" w:rsidRDefault="00A85B60" w:rsidP="00A066BA">
      <w:pPr>
        <w:jc w:val="both"/>
        <w:rPr>
          <w:lang w:eastAsia="zh-CN"/>
        </w:rPr>
      </w:pPr>
      <w:r>
        <w:rPr>
          <w:lang w:val="zh-CN" w:eastAsia="zh-CN"/>
        </w:rPr>
        <w:t>4.8</w:t>
      </w:r>
      <w:r>
        <w:rPr>
          <w:lang w:val="zh-CN" w:eastAsia="zh-CN"/>
        </w:rPr>
        <w:tab/>
      </w:r>
      <w:r>
        <w:rPr>
          <w:lang w:val="zh-CN" w:eastAsia="zh-CN"/>
        </w:rPr>
        <w:t>理事会将</w:t>
      </w:r>
      <w:r>
        <w:rPr>
          <w:lang w:val="zh-CN" w:eastAsia="zh-CN"/>
        </w:rPr>
        <w:t>C25/51</w:t>
      </w:r>
      <w:r>
        <w:rPr>
          <w:lang w:val="zh-CN" w:eastAsia="zh-CN"/>
        </w:rPr>
        <w:t>号文件包含的报告</w:t>
      </w:r>
      <w:r w:rsidRPr="00194F42">
        <w:rPr>
          <w:b/>
          <w:bCs/>
          <w:lang w:val="zh-CN" w:eastAsia="zh-CN"/>
        </w:rPr>
        <w:t>记录在案</w:t>
      </w:r>
      <w:r>
        <w:rPr>
          <w:lang w:val="zh-CN" w:eastAsia="zh-CN"/>
        </w:rPr>
        <w:t>。</w:t>
      </w:r>
    </w:p>
    <w:p w14:paraId="08790C0E" w14:textId="77777777" w:rsidR="00A85B60" w:rsidRPr="00531795" w:rsidRDefault="00A85B60" w:rsidP="00531795">
      <w:pPr>
        <w:pStyle w:val="Heading1"/>
        <w:rPr>
          <w:lang w:eastAsia="zh-CN"/>
        </w:rPr>
      </w:pPr>
      <w:bookmarkStart w:id="6" w:name="_Hlk201249041"/>
      <w:r w:rsidRPr="00531795">
        <w:rPr>
          <w:lang w:eastAsia="zh-CN"/>
        </w:rPr>
        <w:t>5</w:t>
      </w:r>
      <w:r w:rsidRPr="00531795">
        <w:rPr>
          <w:lang w:eastAsia="zh-CN"/>
        </w:rPr>
        <w:tab/>
      </w:r>
      <w:r w:rsidRPr="00531795">
        <w:rPr>
          <w:rFonts w:hint="eastAsia"/>
          <w:lang w:eastAsia="zh-CN"/>
        </w:rPr>
        <w:t>国际电联互联网活动：全权代表大会第</w:t>
      </w:r>
      <w:r w:rsidRPr="00531795">
        <w:rPr>
          <w:lang w:eastAsia="zh-CN"/>
        </w:rPr>
        <w:t>101</w:t>
      </w:r>
      <w:r w:rsidRPr="00531795">
        <w:rPr>
          <w:rFonts w:hint="eastAsia"/>
          <w:lang w:eastAsia="zh-CN"/>
        </w:rPr>
        <w:t>、</w:t>
      </w:r>
      <w:r w:rsidRPr="00531795">
        <w:rPr>
          <w:lang w:eastAsia="zh-CN"/>
        </w:rPr>
        <w:t>102</w:t>
      </w:r>
      <w:r w:rsidRPr="00531795">
        <w:rPr>
          <w:rFonts w:hint="eastAsia"/>
          <w:lang w:eastAsia="zh-CN"/>
        </w:rPr>
        <w:t>、</w:t>
      </w:r>
      <w:r w:rsidRPr="00531795">
        <w:rPr>
          <w:lang w:eastAsia="zh-CN"/>
        </w:rPr>
        <w:t>133</w:t>
      </w:r>
      <w:r w:rsidRPr="00531795">
        <w:rPr>
          <w:rFonts w:hint="eastAsia"/>
          <w:lang w:eastAsia="zh-CN"/>
        </w:rPr>
        <w:t>、</w:t>
      </w:r>
      <w:r w:rsidRPr="00531795">
        <w:rPr>
          <w:lang w:eastAsia="zh-CN"/>
        </w:rPr>
        <w:t>180</w:t>
      </w:r>
      <w:r w:rsidRPr="00531795">
        <w:rPr>
          <w:rFonts w:hint="eastAsia"/>
          <w:lang w:eastAsia="zh-CN"/>
        </w:rPr>
        <w:t>和</w:t>
      </w:r>
      <w:r w:rsidRPr="00531795">
        <w:rPr>
          <w:lang w:eastAsia="zh-CN"/>
        </w:rPr>
        <w:t>206</w:t>
      </w:r>
      <w:r w:rsidRPr="00531795">
        <w:rPr>
          <w:rFonts w:hint="eastAsia"/>
          <w:lang w:eastAsia="zh-CN"/>
        </w:rPr>
        <w:t>号决议（</w:t>
      </w:r>
      <w:r>
        <w:fldChar w:fldCharType="begin"/>
      </w:r>
      <w:r>
        <w:rPr>
          <w:lang w:eastAsia="zh-CN"/>
        </w:rPr>
        <w:instrText>HYPERLINK "https://www.itu.int/md/S25-CL-C-0033/en"</w:instrText>
      </w:r>
      <w:r>
        <w:fldChar w:fldCharType="separate"/>
      </w:r>
      <w:r w:rsidRPr="00531795">
        <w:rPr>
          <w:rStyle w:val="Hyperlink"/>
          <w:rFonts w:eastAsia="SimSun"/>
          <w:lang w:eastAsia="zh-CN"/>
        </w:rPr>
        <w:t>C25/33</w:t>
      </w:r>
      <w:r>
        <w:fldChar w:fldCharType="end"/>
      </w:r>
      <w:r w:rsidRPr="00531795">
        <w:rPr>
          <w:rFonts w:hint="eastAsia"/>
          <w:lang w:eastAsia="zh-CN"/>
        </w:rPr>
        <w:t>号文件）</w:t>
      </w:r>
    </w:p>
    <w:p w14:paraId="26D02305" w14:textId="77777777" w:rsidR="00A85B60" w:rsidRPr="00114D65" w:rsidRDefault="00A85B60" w:rsidP="00A066BA">
      <w:pPr>
        <w:jc w:val="both"/>
        <w:rPr>
          <w:lang w:eastAsia="zh-CN"/>
        </w:rPr>
      </w:pPr>
      <w:r w:rsidRPr="00114D65">
        <w:rPr>
          <w:lang w:eastAsia="zh-CN"/>
        </w:rPr>
        <w:t>5.1</w:t>
      </w:r>
      <w:r w:rsidRPr="00114D65">
        <w:rPr>
          <w:lang w:eastAsia="zh-CN"/>
        </w:rPr>
        <w:tab/>
      </w:r>
      <w:r w:rsidRPr="00B1693B">
        <w:rPr>
          <w:rFonts w:hint="eastAsia"/>
          <w:lang w:eastAsia="zh-CN"/>
        </w:rPr>
        <w:t>总秘书处的代表介绍了</w:t>
      </w:r>
      <w:r w:rsidRPr="00114D65">
        <w:rPr>
          <w:lang w:eastAsia="zh-CN"/>
        </w:rPr>
        <w:t>C25/33</w:t>
      </w:r>
      <w:r w:rsidRPr="00B1693B">
        <w:rPr>
          <w:rFonts w:hint="eastAsia"/>
          <w:lang w:eastAsia="zh-CN"/>
        </w:rPr>
        <w:t>号文件</w:t>
      </w:r>
      <w:r>
        <w:rPr>
          <w:rFonts w:hint="eastAsia"/>
          <w:lang w:eastAsia="zh-CN"/>
        </w:rPr>
        <w:t>，该文件</w:t>
      </w:r>
      <w:r w:rsidRPr="00B1693B">
        <w:rPr>
          <w:rFonts w:hint="eastAsia"/>
          <w:lang w:eastAsia="zh-CN"/>
        </w:rPr>
        <w:t>载有</w:t>
      </w:r>
      <w:r>
        <w:rPr>
          <w:rFonts w:hint="eastAsia"/>
          <w:lang w:eastAsia="zh-CN"/>
        </w:rPr>
        <w:t>一份报告，概述了</w:t>
      </w:r>
      <w:r w:rsidRPr="00B1693B">
        <w:rPr>
          <w:rFonts w:hint="eastAsia"/>
          <w:lang w:eastAsia="zh-CN"/>
        </w:rPr>
        <w:t>国际电联</w:t>
      </w:r>
      <w:r>
        <w:rPr>
          <w:rFonts w:hint="eastAsia"/>
          <w:lang w:eastAsia="zh-CN"/>
        </w:rPr>
        <w:t>开展的</w:t>
      </w:r>
      <w:r w:rsidRPr="00B1693B">
        <w:rPr>
          <w:rFonts w:hint="eastAsia"/>
          <w:lang w:eastAsia="zh-CN"/>
        </w:rPr>
        <w:t>与</w:t>
      </w:r>
      <w:r>
        <w:rPr>
          <w:rFonts w:hint="eastAsia"/>
          <w:lang w:eastAsia="zh-CN"/>
        </w:rPr>
        <w:t>以下</w:t>
      </w:r>
      <w:r w:rsidRPr="00B1693B">
        <w:rPr>
          <w:rFonts w:hint="eastAsia"/>
          <w:lang w:eastAsia="zh-CN"/>
        </w:rPr>
        <w:t>全权代表大会</w:t>
      </w:r>
      <w:r>
        <w:rPr>
          <w:rFonts w:hint="eastAsia"/>
          <w:lang w:eastAsia="zh-CN"/>
        </w:rPr>
        <w:t>决议</w:t>
      </w:r>
      <w:r w:rsidRPr="00B1693B">
        <w:rPr>
          <w:rFonts w:hint="eastAsia"/>
          <w:lang w:eastAsia="zh-CN"/>
        </w:rPr>
        <w:t>相关</w:t>
      </w:r>
      <w:r>
        <w:rPr>
          <w:rFonts w:hint="eastAsia"/>
          <w:lang w:eastAsia="zh-CN"/>
        </w:rPr>
        <w:t>的</w:t>
      </w:r>
      <w:r w:rsidRPr="00B1693B">
        <w:rPr>
          <w:rFonts w:hint="eastAsia"/>
          <w:lang w:eastAsia="zh-CN"/>
        </w:rPr>
        <w:t>活动</w:t>
      </w:r>
      <w:r>
        <w:rPr>
          <w:rFonts w:hint="eastAsia"/>
          <w:lang w:eastAsia="zh-CN"/>
        </w:rPr>
        <w:t>：</w:t>
      </w:r>
      <w:r w:rsidRPr="00B1693B">
        <w:rPr>
          <w:rFonts w:hint="eastAsia"/>
          <w:lang w:eastAsia="zh-CN"/>
        </w:rPr>
        <w:t>第</w:t>
      </w:r>
      <w:r w:rsidRPr="00114D65">
        <w:rPr>
          <w:lang w:eastAsia="zh-CN"/>
        </w:rPr>
        <w:t>101</w:t>
      </w:r>
      <w:r w:rsidRPr="00B1693B">
        <w:rPr>
          <w:rFonts w:hint="eastAsia"/>
          <w:lang w:eastAsia="zh-CN"/>
        </w:rPr>
        <w:t>号决议</w:t>
      </w:r>
      <w:r>
        <w:rPr>
          <w:rFonts w:hint="eastAsia"/>
          <w:lang w:eastAsia="zh-CN"/>
        </w:rPr>
        <w:t>（</w:t>
      </w:r>
      <w:r w:rsidRPr="00114D65">
        <w:rPr>
          <w:lang w:eastAsia="zh-CN"/>
        </w:rPr>
        <w:t>2022</w:t>
      </w:r>
      <w:r w:rsidRPr="00B1693B">
        <w:rPr>
          <w:rFonts w:hint="eastAsia"/>
          <w:lang w:eastAsia="zh-CN"/>
        </w:rPr>
        <w:t>年</w:t>
      </w:r>
      <w:r>
        <w:rPr>
          <w:rFonts w:hint="eastAsia"/>
          <w:lang w:eastAsia="zh-CN"/>
        </w:rPr>
        <w:t>，</w:t>
      </w:r>
      <w:r w:rsidRPr="00B1693B">
        <w:rPr>
          <w:rFonts w:hint="eastAsia"/>
          <w:lang w:eastAsia="zh-CN"/>
        </w:rPr>
        <w:t>布加勒斯特</w:t>
      </w:r>
      <w:r>
        <w:rPr>
          <w:rFonts w:hint="eastAsia"/>
          <w:lang w:eastAsia="zh-CN"/>
        </w:rPr>
        <w:t>，</w:t>
      </w:r>
      <w:r w:rsidRPr="00B1693B">
        <w:rPr>
          <w:rFonts w:hint="eastAsia"/>
          <w:lang w:eastAsia="zh-CN"/>
        </w:rPr>
        <w:t>修订版</w:t>
      </w:r>
      <w:r>
        <w:rPr>
          <w:rFonts w:hint="eastAsia"/>
          <w:lang w:eastAsia="zh-CN"/>
        </w:rPr>
        <w:t>），</w:t>
      </w:r>
      <w:r w:rsidRPr="00CE182A">
        <w:rPr>
          <w:rFonts w:hint="eastAsia"/>
          <w:lang w:eastAsia="zh-CN"/>
        </w:rPr>
        <w:t>基于互联网协议的网络</w:t>
      </w:r>
      <w:r>
        <w:rPr>
          <w:rFonts w:hint="eastAsia"/>
          <w:lang w:eastAsia="zh-CN"/>
        </w:rPr>
        <w:t>；</w:t>
      </w:r>
      <w:r w:rsidRPr="00B1693B">
        <w:rPr>
          <w:rFonts w:hint="eastAsia"/>
          <w:lang w:eastAsia="zh-CN"/>
        </w:rPr>
        <w:t>第</w:t>
      </w:r>
      <w:r w:rsidRPr="00114D65">
        <w:rPr>
          <w:lang w:eastAsia="zh-CN"/>
        </w:rPr>
        <w:t>102</w:t>
      </w:r>
      <w:r w:rsidRPr="00B1693B">
        <w:rPr>
          <w:rFonts w:hint="eastAsia"/>
          <w:lang w:eastAsia="zh-CN"/>
        </w:rPr>
        <w:t>号决议（</w:t>
      </w:r>
      <w:r w:rsidRPr="00114D65">
        <w:rPr>
          <w:lang w:eastAsia="zh-CN"/>
        </w:rPr>
        <w:t>2022</w:t>
      </w:r>
      <w:r w:rsidRPr="00B1693B">
        <w:rPr>
          <w:rFonts w:hint="eastAsia"/>
          <w:lang w:eastAsia="zh-CN"/>
        </w:rPr>
        <w:t>年</w:t>
      </w:r>
      <w:r>
        <w:rPr>
          <w:rFonts w:hint="eastAsia"/>
          <w:lang w:eastAsia="zh-CN"/>
        </w:rPr>
        <w:t>，</w:t>
      </w:r>
      <w:r w:rsidRPr="00B1693B">
        <w:rPr>
          <w:rFonts w:hint="eastAsia"/>
          <w:lang w:eastAsia="zh-CN"/>
        </w:rPr>
        <w:t>布加勒斯特</w:t>
      </w:r>
      <w:r>
        <w:rPr>
          <w:rFonts w:hint="eastAsia"/>
          <w:lang w:eastAsia="zh-CN"/>
        </w:rPr>
        <w:t>，</w:t>
      </w:r>
      <w:r w:rsidRPr="00B1693B">
        <w:rPr>
          <w:rFonts w:hint="eastAsia"/>
          <w:lang w:eastAsia="zh-CN"/>
        </w:rPr>
        <w:t>修订版）</w:t>
      </w:r>
      <w:r>
        <w:rPr>
          <w:rFonts w:hint="eastAsia"/>
          <w:lang w:eastAsia="zh-CN"/>
        </w:rPr>
        <w:t>，</w:t>
      </w:r>
      <w:r w:rsidRPr="00857E14">
        <w:rPr>
          <w:rFonts w:hint="eastAsia"/>
          <w:lang w:eastAsia="zh-CN"/>
        </w:rPr>
        <w:t>国际电联在有关互联网和互联网资源（包括域名和地址）管理的国际公共政策问题方面的作用</w:t>
      </w:r>
      <w:r>
        <w:rPr>
          <w:rFonts w:hint="eastAsia"/>
          <w:lang w:eastAsia="zh-CN"/>
        </w:rPr>
        <w:t>；</w:t>
      </w:r>
      <w:r w:rsidRPr="00B1693B">
        <w:rPr>
          <w:rFonts w:hint="eastAsia"/>
          <w:lang w:eastAsia="zh-CN"/>
        </w:rPr>
        <w:t>第</w:t>
      </w:r>
      <w:r w:rsidRPr="00114D65">
        <w:rPr>
          <w:lang w:eastAsia="zh-CN"/>
        </w:rPr>
        <w:t>133</w:t>
      </w:r>
      <w:r w:rsidRPr="00B1693B">
        <w:rPr>
          <w:rFonts w:hint="eastAsia"/>
          <w:lang w:eastAsia="zh-CN"/>
        </w:rPr>
        <w:t>号决议</w:t>
      </w:r>
      <w:r>
        <w:rPr>
          <w:rFonts w:hint="eastAsia"/>
          <w:lang w:eastAsia="zh-CN"/>
        </w:rPr>
        <w:t>（</w:t>
      </w:r>
      <w:r w:rsidRPr="00114D65">
        <w:rPr>
          <w:lang w:eastAsia="zh-CN"/>
        </w:rPr>
        <w:t>2022</w:t>
      </w:r>
      <w:r w:rsidRPr="00B1693B">
        <w:rPr>
          <w:rFonts w:hint="eastAsia"/>
          <w:lang w:eastAsia="zh-CN"/>
        </w:rPr>
        <w:t>年</w:t>
      </w:r>
      <w:r>
        <w:rPr>
          <w:rFonts w:hint="eastAsia"/>
          <w:lang w:eastAsia="zh-CN"/>
        </w:rPr>
        <w:t>，</w:t>
      </w:r>
      <w:r w:rsidRPr="00B1693B">
        <w:rPr>
          <w:rFonts w:hint="eastAsia"/>
          <w:lang w:eastAsia="zh-CN"/>
        </w:rPr>
        <w:t>布加勒斯特</w:t>
      </w:r>
      <w:r>
        <w:rPr>
          <w:rFonts w:hint="eastAsia"/>
          <w:lang w:eastAsia="zh-CN"/>
        </w:rPr>
        <w:t>，</w:t>
      </w:r>
      <w:r w:rsidRPr="00B1693B">
        <w:rPr>
          <w:rFonts w:hint="eastAsia"/>
          <w:lang w:eastAsia="zh-CN"/>
        </w:rPr>
        <w:t>修订版</w:t>
      </w:r>
      <w:r>
        <w:rPr>
          <w:rFonts w:hint="eastAsia"/>
          <w:lang w:eastAsia="zh-CN"/>
        </w:rPr>
        <w:t>），</w:t>
      </w:r>
      <w:r w:rsidRPr="00857E14">
        <w:rPr>
          <w:rFonts w:hint="eastAsia"/>
          <w:lang w:eastAsia="zh-CN"/>
        </w:rPr>
        <w:t>成员国主管部门在国际化（多语文）域名管理中的作用</w:t>
      </w:r>
      <w:r>
        <w:rPr>
          <w:rFonts w:hint="eastAsia"/>
          <w:lang w:eastAsia="zh-CN"/>
        </w:rPr>
        <w:t>；</w:t>
      </w:r>
      <w:r w:rsidRPr="00B1693B">
        <w:rPr>
          <w:rFonts w:hint="eastAsia"/>
          <w:lang w:eastAsia="zh-CN"/>
        </w:rPr>
        <w:t>第</w:t>
      </w:r>
      <w:r w:rsidRPr="00114D65">
        <w:rPr>
          <w:lang w:eastAsia="zh-CN"/>
        </w:rPr>
        <w:t>180</w:t>
      </w:r>
      <w:r w:rsidRPr="00B1693B">
        <w:rPr>
          <w:rFonts w:hint="eastAsia"/>
          <w:lang w:eastAsia="zh-CN"/>
        </w:rPr>
        <w:t>号决议</w:t>
      </w:r>
      <w:r>
        <w:rPr>
          <w:rFonts w:hint="eastAsia"/>
          <w:lang w:eastAsia="zh-CN"/>
        </w:rPr>
        <w:t>（</w:t>
      </w:r>
      <w:r w:rsidRPr="00114D65">
        <w:rPr>
          <w:lang w:eastAsia="zh-CN"/>
        </w:rPr>
        <w:t>2022</w:t>
      </w:r>
      <w:r w:rsidRPr="00B1693B">
        <w:rPr>
          <w:rFonts w:hint="eastAsia"/>
          <w:lang w:eastAsia="zh-CN"/>
        </w:rPr>
        <w:t>年</w:t>
      </w:r>
      <w:r>
        <w:rPr>
          <w:rFonts w:hint="eastAsia"/>
          <w:lang w:eastAsia="zh-CN"/>
        </w:rPr>
        <w:t>，</w:t>
      </w:r>
      <w:r w:rsidRPr="00B1693B">
        <w:rPr>
          <w:rFonts w:hint="eastAsia"/>
          <w:lang w:eastAsia="zh-CN"/>
        </w:rPr>
        <w:t>布加勒斯特</w:t>
      </w:r>
      <w:r>
        <w:rPr>
          <w:rFonts w:hint="eastAsia"/>
          <w:lang w:eastAsia="zh-CN"/>
        </w:rPr>
        <w:t>，</w:t>
      </w:r>
      <w:r w:rsidRPr="00B1693B">
        <w:rPr>
          <w:rFonts w:hint="eastAsia"/>
          <w:lang w:eastAsia="zh-CN"/>
        </w:rPr>
        <w:t>修订版</w:t>
      </w:r>
      <w:r>
        <w:rPr>
          <w:rFonts w:hint="eastAsia"/>
          <w:lang w:eastAsia="zh-CN"/>
        </w:rPr>
        <w:t>），</w:t>
      </w:r>
      <w:r w:rsidRPr="00857E14">
        <w:rPr>
          <w:rFonts w:hint="eastAsia"/>
          <w:lang w:eastAsia="zh-CN"/>
        </w:rPr>
        <w:t>促进互联网协议第</w:t>
      </w:r>
      <w:r w:rsidRPr="00114D65">
        <w:rPr>
          <w:lang w:eastAsia="zh-CN"/>
        </w:rPr>
        <w:t>6</w:t>
      </w:r>
      <w:r w:rsidRPr="00857E14">
        <w:rPr>
          <w:rFonts w:hint="eastAsia"/>
          <w:lang w:eastAsia="zh-CN"/>
        </w:rPr>
        <w:t>版的部署</w:t>
      </w:r>
      <w:r>
        <w:rPr>
          <w:rFonts w:hint="eastAsia"/>
          <w:lang w:eastAsia="zh-CN"/>
        </w:rPr>
        <w:t>；以及</w:t>
      </w:r>
      <w:r w:rsidRPr="00B1693B">
        <w:rPr>
          <w:rFonts w:hint="eastAsia"/>
          <w:lang w:eastAsia="zh-CN"/>
        </w:rPr>
        <w:t>第</w:t>
      </w:r>
      <w:r w:rsidRPr="00114D65">
        <w:rPr>
          <w:lang w:eastAsia="zh-CN"/>
        </w:rPr>
        <w:t>206</w:t>
      </w:r>
      <w:r w:rsidRPr="00B1693B">
        <w:rPr>
          <w:rFonts w:hint="eastAsia"/>
          <w:lang w:eastAsia="zh-CN"/>
        </w:rPr>
        <w:t>号决议</w:t>
      </w:r>
      <w:r>
        <w:rPr>
          <w:rFonts w:hint="eastAsia"/>
          <w:lang w:eastAsia="zh-CN"/>
        </w:rPr>
        <w:t>（</w:t>
      </w:r>
      <w:r w:rsidRPr="00114D65">
        <w:rPr>
          <w:lang w:eastAsia="zh-CN"/>
        </w:rPr>
        <w:t>2018</w:t>
      </w:r>
      <w:r w:rsidRPr="00B1693B">
        <w:rPr>
          <w:rFonts w:hint="eastAsia"/>
          <w:lang w:eastAsia="zh-CN"/>
        </w:rPr>
        <w:t>年</w:t>
      </w:r>
      <w:r>
        <w:rPr>
          <w:rFonts w:hint="eastAsia"/>
          <w:lang w:eastAsia="zh-CN"/>
        </w:rPr>
        <w:t>，</w:t>
      </w:r>
      <w:r w:rsidRPr="00B1693B">
        <w:rPr>
          <w:rFonts w:hint="eastAsia"/>
          <w:lang w:eastAsia="zh-CN"/>
        </w:rPr>
        <w:t>迪拜</w:t>
      </w:r>
      <w:r>
        <w:rPr>
          <w:rFonts w:hint="eastAsia"/>
          <w:lang w:eastAsia="zh-CN"/>
        </w:rPr>
        <w:t>），</w:t>
      </w:r>
      <w:r w:rsidRPr="00034919">
        <w:rPr>
          <w:rFonts w:ascii="Times New Roman" w:hAnsi="Times New Roman" w:hint="eastAsia"/>
          <w:lang w:eastAsia="zh-CN"/>
        </w:rPr>
        <w:t>过顶业务</w:t>
      </w:r>
      <w:r>
        <w:rPr>
          <w:rFonts w:ascii="Times New Roman" w:hAnsi="Times New Roman" w:hint="eastAsia"/>
          <w:lang w:eastAsia="zh-CN"/>
        </w:rPr>
        <w:t>（</w:t>
      </w:r>
      <w:r w:rsidRPr="00114D65">
        <w:rPr>
          <w:lang w:eastAsia="zh-CN"/>
        </w:rPr>
        <w:t>OTT</w:t>
      </w:r>
      <w:r>
        <w:rPr>
          <w:rFonts w:ascii="Times New Roman" w:hAnsi="Times New Roman" w:hint="eastAsia"/>
          <w:lang w:eastAsia="zh-CN"/>
        </w:rPr>
        <w:t>）。</w:t>
      </w:r>
    </w:p>
    <w:p w14:paraId="19DC378F" w14:textId="77777777" w:rsidR="00A85B60" w:rsidRPr="00114D65" w:rsidRDefault="00A85B60" w:rsidP="00A066BA">
      <w:pPr>
        <w:jc w:val="both"/>
        <w:rPr>
          <w:lang w:eastAsia="zh-CN"/>
        </w:rPr>
      </w:pPr>
      <w:r w:rsidRPr="00114D65">
        <w:rPr>
          <w:lang w:eastAsia="zh-CN"/>
        </w:rPr>
        <w:t>5.2</w:t>
      </w:r>
      <w:r w:rsidRPr="00114D65">
        <w:rPr>
          <w:lang w:eastAsia="zh-CN"/>
        </w:rPr>
        <w:tab/>
      </w:r>
      <w:r w:rsidRPr="00B1693B">
        <w:rPr>
          <w:rFonts w:hint="eastAsia"/>
          <w:lang w:eastAsia="zh-CN"/>
        </w:rPr>
        <w:t>巴拉圭理事重申了巴拉圭在</w:t>
      </w:r>
      <w:r w:rsidRPr="00114D65">
        <w:rPr>
          <w:lang w:eastAsia="zh-CN"/>
        </w:rPr>
        <w:t>CWG-Internet</w:t>
      </w:r>
      <w:r w:rsidRPr="00B1693B">
        <w:rPr>
          <w:rFonts w:hint="eastAsia"/>
          <w:lang w:eastAsia="zh-CN"/>
        </w:rPr>
        <w:t>会议上提出的</w:t>
      </w:r>
      <w:r>
        <w:rPr>
          <w:rFonts w:hint="eastAsia"/>
          <w:lang w:eastAsia="zh-CN"/>
        </w:rPr>
        <w:t>要求，即关于</w:t>
      </w:r>
      <w:r w:rsidRPr="00B1693B">
        <w:rPr>
          <w:rFonts w:hint="eastAsia"/>
          <w:lang w:eastAsia="zh-CN"/>
        </w:rPr>
        <w:t>国际电联互联网</w:t>
      </w:r>
      <w:r>
        <w:rPr>
          <w:rFonts w:hint="eastAsia"/>
          <w:lang w:eastAsia="zh-CN"/>
        </w:rPr>
        <w:t>相关</w:t>
      </w:r>
      <w:r w:rsidRPr="00B1693B">
        <w:rPr>
          <w:rFonts w:hint="eastAsia"/>
          <w:lang w:eastAsia="zh-CN"/>
        </w:rPr>
        <w:t>活动</w:t>
      </w:r>
      <w:r>
        <w:rPr>
          <w:rFonts w:hint="eastAsia"/>
          <w:lang w:eastAsia="zh-CN"/>
        </w:rPr>
        <w:t>的</w:t>
      </w:r>
      <w:r w:rsidRPr="00B1693B">
        <w:rPr>
          <w:rFonts w:hint="eastAsia"/>
          <w:lang w:eastAsia="zh-CN"/>
        </w:rPr>
        <w:t>报告</w:t>
      </w:r>
      <w:r>
        <w:rPr>
          <w:rFonts w:hint="eastAsia"/>
          <w:lang w:eastAsia="zh-CN"/>
        </w:rPr>
        <w:t>应</w:t>
      </w:r>
      <w:r w:rsidRPr="00B1693B">
        <w:rPr>
          <w:rFonts w:hint="eastAsia"/>
          <w:lang w:eastAsia="zh-CN"/>
        </w:rPr>
        <w:t>参引</w:t>
      </w:r>
      <w:r w:rsidRPr="00222FE4">
        <w:rPr>
          <w:rFonts w:hint="eastAsia"/>
          <w:lang w:eastAsia="zh-CN"/>
        </w:rPr>
        <w:t>国际电信世界大会</w:t>
      </w:r>
      <w:r w:rsidRPr="00B1693B">
        <w:rPr>
          <w:rFonts w:hint="eastAsia"/>
          <w:lang w:eastAsia="zh-CN"/>
        </w:rPr>
        <w:t>有关</w:t>
      </w:r>
      <w:r>
        <w:rPr>
          <w:rFonts w:hint="eastAsia"/>
          <w:lang w:eastAsia="zh-CN"/>
        </w:rPr>
        <w:t>内陆发展中国家和小岛屿发展中</w:t>
      </w:r>
      <w:r>
        <w:rPr>
          <w:rFonts w:hint="eastAsia"/>
          <w:lang w:eastAsia="zh-CN"/>
        </w:rPr>
        <w:lastRenderedPageBreak/>
        <w:t>国家接入国际光纤网特别措施的</w:t>
      </w:r>
      <w:bookmarkStart w:id="7" w:name="OLE_LINK2"/>
      <w:r w:rsidRPr="00B1693B">
        <w:rPr>
          <w:rFonts w:hint="eastAsia"/>
          <w:lang w:eastAsia="zh-CN"/>
        </w:rPr>
        <w:t>第</w:t>
      </w:r>
      <w:r w:rsidRPr="00114D65">
        <w:rPr>
          <w:lang w:eastAsia="zh-CN"/>
        </w:rPr>
        <w:t>1</w:t>
      </w:r>
      <w:r w:rsidRPr="00B1693B">
        <w:rPr>
          <w:rFonts w:hint="eastAsia"/>
          <w:lang w:eastAsia="zh-CN"/>
        </w:rPr>
        <w:t>号决议</w:t>
      </w:r>
      <w:bookmarkEnd w:id="7"/>
      <w:r>
        <w:rPr>
          <w:rFonts w:hint="eastAsia"/>
          <w:lang w:eastAsia="zh-CN"/>
        </w:rPr>
        <w:t>（</w:t>
      </w:r>
      <w:r w:rsidRPr="00114D65">
        <w:rPr>
          <w:lang w:eastAsia="zh-CN"/>
        </w:rPr>
        <w:t>2012</w:t>
      </w:r>
      <w:r w:rsidRPr="00B1693B">
        <w:rPr>
          <w:rFonts w:hint="eastAsia"/>
          <w:lang w:eastAsia="zh-CN"/>
        </w:rPr>
        <w:t>年</w:t>
      </w:r>
      <w:r>
        <w:rPr>
          <w:rFonts w:hint="eastAsia"/>
          <w:lang w:eastAsia="zh-CN"/>
        </w:rPr>
        <w:t>，</w:t>
      </w:r>
      <w:r w:rsidRPr="00B1693B">
        <w:rPr>
          <w:rFonts w:hint="eastAsia"/>
          <w:lang w:eastAsia="zh-CN"/>
        </w:rPr>
        <w:t>迪拜</w:t>
      </w:r>
      <w:r>
        <w:rPr>
          <w:rFonts w:hint="eastAsia"/>
          <w:lang w:eastAsia="zh-CN"/>
        </w:rPr>
        <w:t>）。</w:t>
      </w:r>
      <w:r w:rsidRPr="00B1693B">
        <w:rPr>
          <w:rFonts w:hint="eastAsia"/>
          <w:lang w:eastAsia="zh-CN"/>
        </w:rPr>
        <w:t>他建议纳入</w:t>
      </w:r>
      <w:r w:rsidRPr="001954B5">
        <w:rPr>
          <w:rFonts w:ascii="STKaiti" w:eastAsia="STKaiti" w:hAnsi="STKaiti" w:hint="eastAsia"/>
          <w:lang w:eastAsia="zh-CN"/>
        </w:rPr>
        <w:t>《事实和数字：聚焦小岛屿发展中国家》</w:t>
      </w:r>
      <w:r>
        <w:rPr>
          <w:rFonts w:hint="eastAsia"/>
          <w:lang w:eastAsia="zh-CN"/>
        </w:rPr>
        <w:t>以及</w:t>
      </w:r>
      <w:r w:rsidRPr="001954B5">
        <w:rPr>
          <w:rFonts w:ascii="STKaiti" w:eastAsia="STKaiti" w:hAnsi="STKaiti" w:hint="eastAsia"/>
          <w:lang w:eastAsia="zh-CN"/>
        </w:rPr>
        <w:t>《事实和数字：聚焦内陆发展中国家》</w:t>
      </w:r>
      <w:r w:rsidRPr="00B1693B">
        <w:rPr>
          <w:rFonts w:hint="eastAsia"/>
          <w:lang w:eastAsia="zh-CN"/>
        </w:rPr>
        <w:t>报告中的数据</w:t>
      </w:r>
      <w:r>
        <w:rPr>
          <w:rFonts w:hint="eastAsia"/>
          <w:lang w:eastAsia="zh-CN"/>
        </w:rPr>
        <w:t>，</w:t>
      </w:r>
      <w:r w:rsidRPr="00B1693B">
        <w:rPr>
          <w:rFonts w:hint="eastAsia"/>
          <w:lang w:eastAsia="zh-CN"/>
        </w:rPr>
        <w:t>因为这些数据将凸显</w:t>
      </w:r>
      <w:r>
        <w:rPr>
          <w:rFonts w:hint="eastAsia"/>
          <w:lang w:eastAsia="zh-CN"/>
        </w:rPr>
        <w:t>存在的</w:t>
      </w:r>
      <w:r w:rsidRPr="00B1693B">
        <w:rPr>
          <w:rFonts w:hint="eastAsia"/>
          <w:lang w:eastAsia="zh-CN"/>
        </w:rPr>
        <w:t>差距并指导国际电联下一个</w:t>
      </w:r>
      <w:r>
        <w:rPr>
          <w:rFonts w:hint="eastAsia"/>
          <w:lang w:eastAsia="zh-CN"/>
        </w:rPr>
        <w:t>《</w:t>
      </w:r>
      <w:r w:rsidRPr="00B1693B">
        <w:rPr>
          <w:rFonts w:hint="eastAsia"/>
          <w:lang w:eastAsia="zh-CN"/>
        </w:rPr>
        <w:t>战略规划</w:t>
      </w:r>
      <w:r>
        <w:rPr>
          <w:rFonts w:hint="eastAsia"/>
          <w:lang w:eastAsia="zh-CN"/>
        </w:rPr>
        <w:t>》</w:t>
      </w:r>
      <w:r w:rsidRPr="00B1693B">
        <w:rPr>
          <w:rFonts w:hint="eastAsia"/>
          <w:lang w:eastAsia="zh-CN"/>
        </w:rPr>
        <w:t>的制定</w:t>
      </w:r>
      <w:r>
        <w:rPr>
          <w:rFonts w:hint="eastAsia"/>
          <w:lang w:eastAsia="zh-CN"/>
        </w:rPr>
        <w:t>。</w:t>
      </w:r>
    </w:p>
    <w:p w14:paraId="304C1A07" w14:textId="77777777" w:rsidR="00A85B60" w:rsidRPr="00114D65" w:rsidRDefault="00A85B60" w:rsidP="00A066BA">
      <w:pPr>
        <w:jc w:val="both"/>
        <w:rPr>
          <w:lang w:eastAsia="zh-CN"/>
        </w:rPr>
      </w:pPr>
      <w:r w:rsidRPr="00114D65">
        <w:rPr>
          <w:lang w:eastAsia="zh-CN"/>
        </w:rPr>
        <w:t>5.3</w:t>
      </w:r>
      <w:r w:rsidRPr="00114D65">
        <w:rPr>
          <w:lang w:eastAsia="zh-CN"/>
        </w:rPr>
        <w:tab/>
      </w:r>
      <w:r w:rsidRPr="00B1693B">
        <w:rPr>
          <w:rFonts w:hint="eastAsia"/>
          <w:lang w:eastAsia="zh-CN"/>
        </w:rPr>
        <w:t>一位理事建议</w:t>
      </w:r>
      <w:r>
        <w:rPr>
          <w:rFonts w:hint="eastAsia"/>
          <w:lang w:eastAsia="zh-CN"/>
        </w:rPr>
        <w:t>，</w:t>
      </w:r>
      <w:r w:rsidRPr="00114D65">
        <w:rPr>
          <w:lang w:eastAsia="zh-CN"/>
        </w:rPr>
        <w:t>CWG-Internet</w:t>
      </w:r>
      <w:r w:rsidRPr="00B1693B">
        <w:rPr>
          <w:rFonts w:hint="eastAsia"/>
          <w:lang w:eastAsia="zh-CN"/>
        </w:rPr>
        <w:t>和相关</w:t>
      </w:r>
      <w:r w:rsidRPr="00114D65">
        <w:rPr>
          <w:lang w:eastAsia="zh-CN"/>
        </w:rPr>
        <w:t>ITU-T</w:t>
      </w:r>
      <w:r w:rsidRPr="00B1693B">
        <w:rPr>
          <w:rFonts w:hint="eastAsia"/>
          <w:lang w:eastAsia="zh-CN"/>
        </w:rPr>
        <w:t>研究组</w:t>
      </w:r>
      <w:r>
        <w:rPr>
          <w:rFonts w:hint="eastAsia"/>
          <w:lang w:eastAsia="zh-CN"/>
        </w:rPr>
        <w:t>应</w:t>
      </w:r>
      <w:r w:rsidRPr="00B1693B">
        <w:rPr>
          <w:rFonts w:hint="eastAsia"/>
          <w:lang w:eastAsia="zh-CN"/>
        </w:rPr>
        <w:t>考虑设立</w:t>
      </w:r>
      <w:r>
        <w:rPr>
          <w:rFonts w:hint="eastAsia"/>
          <w:lang w:eastAsia="zh-CN"/>
        </w:rPr>
        <w:t>单独的</w:t>
      </w:r>
      <w:r w:rsidRPr="00114D65">
        <w:rPr>
          <w:lang w:eastAsia="zh-CN"/>
        </w:rPr>
        <w:t>ITU-T</w:t>
      </w:r>
      <w:r w:rsidRPr="00B1693B">
        <w:rPr>
          <w:rFonts w:hint="eastAsia"/>
          <w:lang w:eastAsia="zh-CN"/>
        </w:rPr>
        <w:t>人工智能</w:t>
      </w:r>
      <w:r>
        <w:rPr>
          <w:rFonts w:hint="eastAsia"/>
          <w:lang w:eastAsia="zh-CN"/>
        </w:rPr>
        <w:t>焦点组和</w:t>
      </w:r>
      <w:r w:rsidRPr="00B1693B">
        <w:rPr>
          <w:rFonts w:hint="eastAsia"/>
          <w:lang w:eastAsia="zh-CN"/>
        </w:rPr>
        <w:t>物联网焦点组</w:t>
      </w:r>
      <w:r>
        <w:rPr>
          <w:rFonts w:hint="eastAsia"/>
          <w:lang w:eastAsia="zh-CN"/>
        </w:rPr>
        <w:t>，</w:t>
      </w:r>
      <w:r w:rsidRPr="00B1693B">
        <w:rPr>
          <w:rFonts w:hint="eastAsia"/>
          <w:lang w:eastAsia="zh-CN"/>
        </w:rPr>
        <w:t>更广泛地关注社会经济领域</w:t>
      </w:r>
      <w:r>
        <w:rPr>
          <w:rFonts w:hint="eastAsia"/>
          <w:lang w:eastAsia="zh-CN"/>
        </w:rPr>
        <w:t>，</w:t>
      </w:r>
      <w:r w:rsidRPr="00B1693B">
        <w:rPr>
          <w:rFonts w:hint="eastAsia"/>
          <w:lang w:eastAsia="zh-CN"/>
        </w:rPr>
        <w:t>而不仅限于数字农业</w:t>
      </w:r>
      <w:r>
        <w:rPr>
          <w:rFonts w:hint="eastAsia"/>
          <w:lang w:eastAsia="zh-CN"/>
        </w:rPr>
        <w:t>。</w:t>
      </w:r>
    </w:p>
    <w:p w14:paraId="728F5768" w14:textId="77777777" w:rsidR="00A85B60" w:rsidRPr="00114D65" w:rsidRDefault="00A85B60" w:rsidP="00A066BA">
      <w:pPr>
        <w:jc w:val="both"/>
        <w:rPr>
          <w:lang w:eastAsia="zh-CN"/>
        </w:rPr>
      </w:pPr>
      <w:r w:rsidRPr="00114D65">
        <w:rPr>
          <w:lang w:eastAsia="zh-CN"/>
        </w:rPr>
        <w:t>5.4</w:t>
      </w:r>
      <w:r w:rsidRPr="00114D65">
        <w:rPr>
          <w:lang w:eastAsia="zh-CN"/>
        </w:rPr>
        <w:tab/>
      </w:r>
      <w:r w:rsidRPr="00B1693B">
        <w:rPr>
          <w:rFonts w:hint="eastAsia"/>
          <w:lang w:eastAsia="zh-CN"/>
        </w:rPr>
        <w:t>古巴</w:t>
      </w:r>
      <w:r>
        <w:rPr>
          <w:rFonts w:hint="eastAsia"/>
          <w:lang w:eastAsia="zh-CN"/>
        </w:rPr>
        <w:t>的</w:t>
      </w:r>
      <w:r w:rsidRPr="00B1693B">
        <w:rPr>
          <w:rFonts w:hint="eastAsia"/>
          <w:lang w:eastAsia="zh-CN"/>
        </w:rPr>
        <w:t>理事要求修订</w:t>
      </w:r>
      <w:r w:rsidRPr="00114D65">
        <w:rPr>
          <w:lang w:eastAsia="zh-CN"/>
        </w:rPr>
        <w:t>C25/33</w:t>
      </w:r>
      <w:r w:rsidRPr="00B1693B">
        <w:rPr>
          <w:rFonts w:hint="eastAsia"/>
          <w:lang w:eastAsia="zh-CN"/>
        </w:rPr>
        <w:t>号文件第</w:t>
      </w:r>
      <w:r w:rsidRPr="00114D65">
        <w:rPr>
          <w:lang w:eastAsia="zh-CN"/>
        </w:rPr>
        <w:t>2.9</w:t>
      </w:r>
      <w:r w:rsidRPr="00B1693B">
        <w:rPr>
          <w:rFonts w:hint="eastAsia"/>
          <w:lang w:eastAsia="zh-CN"/>
        </w:rPr>
        <w:t>段</w:t>
      </w:r>
      <w:r>
        <w:rPr>
          <w:rFonts w:hint="eastAsia"/>
          <w:lang w:eastAsia="zh-CN"/>
        </w:rPr>
        <w:t>，</w:t>
      </w:r>
      <w:r w:rsidRPr="00B1693B">
        <w:rPr>
          <w:rFonts w:hint="eastAsia"/>
          <w:lang w:eastAsia="zh-CN"/>
        </w:rPr>
        <w:t>以便更准确地报告</w:t>
      </w:r>
      <w:r w:rsidRPr="00114D65">
        <w:rPr>
          <w:lang w:eastAsia="zh-CN"/>
        </w:rPr>
        <w:t>WTSA</w:t>
      </w:r>
      <w:r>
        <w:rPr>
          <w:rFonts w:hint="eastAsia"/>
          <w:lang w:eastAsia="zh-CN"/>
        </w:rPr>
        <w:t>关于</w:t>
      </w:r>
      <w:r w:rsidRPr="00B1693B">
        <w:rPr>
          <w:rFonts w:hint="eastAsia"/>
          <w:lang w:eastAsia="zh-CN"/>
        </w:rPr>
        <w:t>互联网资源的非歧视获取和使用</w:t>
      </w:r>
      <w:r>
        <w:rPr>
          <w:rFonts w:hint="eastAsia"/>
          <w:lang w:eastAsia="zh-CN"/>
        </w:rPr>
        <w:t>的</w:t>
      </w:r>
      <w:r w:rsidRPr="00B1693B">
        <w:rPr>
          <w:rFonts w:hint="eastAsia"/>
          <w:lang w:eastAsia="zh-CN"/>
        </w:rPr>
        <w:t>第</w:t>
      </w:r>
      <w:r w:rsidRPr="00114D65">
        <w:rPr>
          <w:lang w:eastAsia="zh-CN"/>
        </w:rPr>
        <w:t>69</w:t>
      </w:r>
      <w:r w:rsidRPr="00B1693B">
        <w:rPr>
          <w:rFonts w:hint="eastAsia"/>
          <w:lang w:eastAsia="zh-CN"/>
        </w:rPr>
        <w:t>号决议</w:t>
      </w:r>
      <w:r>
        <w:rPr>
          <w:rFonts w:hint="eastAsia"/>
          <w:lang w:eastAsia="zh-CN"/>
        </w:rPr>
        <w:t>（</w:t>
      </w:r>
      <w:r w:rsidRPr="00114D65">
        <w:rPr>
          <w:lang w:eastAsia="zh-CN"/>
        </w:rPr>
        <w:t>2016</w:t>
      </w:r>
      <w:r w:rsidRPr="00B1693B">
        <w:rPr>
          <w:rFonts w:hint="eastAsia"/>
          <w:lang w:eastAsia="zh-CN"/>
        </w:rPr>
        <w:t>年</w:t>
      </w:r>
      <w:r>
        <w:rPr>
          <w:rFonts w:hint="eastAsia"/>
          <w:lang w:eastAsia="zh-CN"/>
        </w:rPr>
        <w:t>，</w:t>
      </w:r>
      <w:r w:rsidRPr="00B1693B">
        <w:rPr>
          <w:rFonts w:hint="eastAsia"/>
          <w:lang w:eastAsia="zh-CN"/>
        </w:rPr>
        <w:t>哈马马特</w:t>
      </w:r>
      <w:r>
        <w:rPr>
          <w:rFonts w:hint="eastAsia"/>
          <w:lang w:eastAsia="zh-CN"/>
        </w:rPr>
        <w:t>，</w:t>
      </w:r>
      <w:r w:rsidRPr="00B1693B">
        <w:rPr>
          <w:rFonts w:hint="eastAsia"/>
          <w:lang w:eastAsia="zh-CN"/>
        </w:rPr>
        <w:t>修订版</w:t>
      </w:r>
      <w:r>
        <w:rPr>
          <w:rFonts w:hint="eastAsia"/>
          <w:lang w:eastAsia="zh-CN"/>
        </w:rPr>
        <w:t>）</w:t>
      </w:r>
      <w:r w:rsidRPr="00B1693B">
        <w:rPr>
          <w:rFonts w:hint="eastAsia"/>
          <w:lang w:eastAsia="zh-CN"/>
        </w:rPr>
        <w:t>所</w:t>
      </w:r>
      <w:r>
        <w:rPr>
          <w:rFonts w:hint="eastAsia"/>
          <w:lang w:eastAsia="zh-CN"/>
        </w:rPr>
        <w:t>涉及</w:t>
      </w:r>
      <w:r w:rsidRPr="00B1693B">
        <w:rPr>
          <w:rFonts w:hint="eastAsia"/>
          <w:lang w:eastAsia="zh-CN"/>
        </w:rPr>
        <w:t>的事件</w:t>
      </w:r>
      <w:r>
        <w:rPr>
          <w:rFonts w:hint="eastAsia"/>
          <w:lang w:eastAsia="zh-CN"/>
        </w:rPr>
        <w:t>。</w:t>
      </w:r>
      <w:r w:rsidRPr="00B1693B">
        <w:rPr>
          <w:rFonts w:hint="eastAsia"/>
          <w:lang w:eastAsia="zh-CN"/>
        </w:rPr>
        <w:t>由于</w:t>
      </w:r>
      <w:r>
        <w:rPr>
          <w:rFonts w:hint="eastAsia"/>
          <w:lang w:eastAsia="zh-CN"/>
        </w:rPr>
        <w:t>单方面采取的</w:t>
      </w:r>
      <w:r w:rsidRPr="00B1693B">
        <w:rPr>
          <w:rFonts w:hint="eastAsia"/>
          <w:lang w:eastAsia="zh-CN"/>
        </w:rPr>
        <w:t>行动</w:t>
      </w:r>
      <w:r>
        <w:rPr>
          <w:rFonts w:hint="eastAsia"/>
          <w:lang w:eastAsia="zh-CN"/>
        </w:rPr>
        <w:t>，</w:t>
      </w:r>
      <w:r w:rsidRPr="00B1693B">
        <w:rPr>
          <w:rFonts w:hint="eastAsia"/>
          <w:lang w:eastAsia="zh-CN"/>
        </w:rPr>
        <w:t>许多互联网资源在古巴无法使用</w:t>
      </w:r>
      <w:r>
        <w:rPr>
          <w:rFonts w:hint="eastAsia"/>
          <w:lang w:eastAsia="zh-CN"/>
        </w:rPr>
        <w:t>；</w:t>
      </w:r>
      <w:r w:rsidRPr="00B1693B">
        <w:rPr>
          <w:rFonts w:hint="eastAsia"/>
          <w:lang w:eastAsia="zh-CN"/>
        </w:rPr>
        <w:t>因此</w:t>
      </w:r>
      <w:r>
        <w:rPr>
          <w:rFonts w:hint="eastAsia"/>
          <w:lang w:eastAsia="zh-CN"/>
        </w:rPr>
        <w:t>，所报告的</w:t>
      </w:r>
      <w:r w:rsidRPr="00B1693B">
        <w:rPr>
          <w:rFonts w:hint="eastAsia"/>
          <w:lang w:eastAsia="zh-CN"/>
        </w:rPr>
        <w:t>自</w:t>
      </w:r>
      <w:r w:rsidRPr="00114D65">
        <w:rPr>
          <w:lang w:eastAsia="zh-CN"/>
        </w:rPr>
        <w:t>2009</w:t>
      </w:r>
      <w:r w:rsidRPr="00B1693B">
        <w:rPr>
          <w:rFonts w:hint="eastAsia"/>
          <w:lang w:eastAsia="zh-CN"/>
        </w:rPr>
        <w:t>年以来</w:t>
      </w:r>
      <w:r>
        <w:rPr>
          <w:rFonts w:hint="eastAsia"/>
          <w:lang w:eastAsia="zh-CN"/>
        </w:rPr>
        <w:t>仅有</w:t>
      </w:r>
      <w:r w:rsidRPr="00B1693B">
        <w:rPr>
          <w:rFonts w:hint="eastAsia"/>
          <w:lang w:eastAsia="zh-CN"/>
        </w:rPr>
        <w:t>的</w:t>
      </w:r>
      <w:r w:rsidRPr="00114D65">
        <w:rPr>
          <w:lang w:eastAsia="zh-CN"/>
        </w:rPr>
        <w:t>37</w:t>
      </w:r>
      <w:r w:rsidRPr="00B1693B">
        <w:rPr>
          <w:rFonts w:hint="eastAsia"/>
          <w:lang w:eastAsia="zh-CN"/>
        </w:rPr>
        <w:t>起此类事件并未反映现实</w:t>
      </w:r>
      <w:r>
        <w:rPr>
          <w:rFonts w:hint="eastAsia"/>
          <w:lang w:eastAsia="zh-CN"/>
        </w:rPr>
        <w:t>情况。</w:t>
      </w:r>
      <w:r w:rsidRPr="00B1693B">
        <w:rPr>
          <w:rFonts w:hint="eastAsia"/>
          <w:lang w:eastAsia="zh-CN"/>
        </w:rPr>
        <w:t>美国对古巴实施的制裁违反了国际法</w:t>
      </w:r>
      <w:r>
        <w:rPr>
          <w:rFonts w:hint="eastAsia"/>
          <w:lang w:eastAsia="zh-CN"/>
        </w:rPr>
        <w:t>，</w:t>
      </w:r>
      <w:r w:rsidRPr="00B1693B">
        <w:rPr>
          <w:rFonts w:hint="eastAsia"/>
          <w:lang w:eastAsia="zh-CN"/>
        </w:rPr>
        <w:t>限制</w:t>
      </w:r>
      <w:r>
        <w:rPr>
          <w:rFonts w:hint="eastAsia"/>
          <w:lang w:eastAsia="zh-CN"/>
        </w:rPr>
        <w:t>了</w:t>
      </w:r>
      <w:r w:rsidRPr="00B1693B">
        <w:rPr>
          <w:rFonts w:hint="eastAsia"/>
          <w:lang w:eastAsia="zh-CN"/>
        </w:rPr>
        <w:t>古巴</w:t>
      </w:r>
      <w:r>
        <w:rPr>
          <w:rFonts w:hint="eastAsia"/>
          <w:lang w:eastAsia="zh-CN"/>
        </w:rPr>
        <w:t>获取</w:t>
      </w:r>
      <w:r w:rsidRPr="00B1693B">
        <w:rPr>
          <w:rFonts w:hint="eastAsia"/>
          <w:lang w:eastAsia="zh-CN"/>
        </w:rPr>
        <w:t>经许可生产的</w:t>
      </w:r>
      <w:r>
        <w:rPr>
          <w:rFonts w:hint="eastAsia"/>
          <w:lang w:eastAsia="zh-CN"/>
        </w:rPr>
        <w:t>、</w:t>
      </w:r>
      <w:r w:rsidRPr="00B1693B">
        <w:rPr>
          <w:rFonts w:hint="eastAsia"/>
          <w:lang w:eastAsia="zh-CN"/>
        </w:rPr>
        <w:t>由</w:t>
      </w:r>
      <w:r>
        <w:rPr>
          <w:rFonts w:hint="eastAsia"/>
          <w:lang w:eastAsia="zh-CN"/>
        </w:rPr>
        <w:t>超过</w:t>
      </w:r>
      <w:r w:rsidRPr="00114D65">
        <w:rPr>
          <w:lang w:eastAsia="zh-CN"/>
        </w:rPr>
        <w:t>10</w:t>
      </w:r>
      <w:r>
        <w:rPr>
          <w:rFonts w:hint="eastAsia"/>
          <w:lang w:eastAsia="zh-CN"/>
        </w:rPr>
        <w:t>%</w:t>
      </w:r>
      <w:r>
        <w:rPr>
          <w:rFonts w:hint="eastAsia"/>
          <w:lang w:eastAsia="zh-CN"/>
        </w:rPr>
        <w:t>的</w:t>
      </w:r>
      <w:r w:rsidRPr="00B1693B">
        <w:rPr>
          <w:rFonts w:hint="eastAsia"/>
          <w:lang w:eastAsia="zh-CN"/>
        </w:rPr>
        <w:t>美国原产</w:t>
      </w:r>
      <w:r>
        <w:rPr>
          <w:rFonts w:hint="eastAsia"/>
          <w:lang w:eastAsia="zh-CN"/>
        </w:rPr>
        <w:t>零部件</w:t>
      </w:r>
      <w:r w:rsidRPr="00B1693B">
        <w:rPr>
          <w:rFonts w:hint="eastAsia"/>
          <w:lang w:eastAsia="zh-CN"/>
        </w:rPr>
        <w:t>组成或受美国专利保护的技术和设备</w:t>
      </w:r>
      <w:r>
        <w:rPr>
          <w:rFonts w:hint="eastAsia"/>
          <w:lang w:eastAsia="zh-CN"/>
        </w:rPr>
        <w:t>，</w:t>
      </w:r>
      <w:r w:rsidRPr="00B1693B">
        <w:rPr>
          <w:rFonts w:hint="eastAsia"/>
          <w:lang w:eastAsia="zh-CN"/>
        </w:rPr>
        <w:t>其中包括移动天线和计算机系统</w:t>
      </w:r>
      <w:r>
        <w:rPr>
          <w:rFonts w:hint="eastAsia"/>
          <w:lang w:eastAsia="zh-CN"/>
        </w:rPr>
        <w:t>。</w:t>
      </w:r>
      <w:r w:rsidRPr="00B1693B">
        <w:rPr>
          <w:rFonts w:hint="eastAsia"/>
          <w:lang w:eastAsia="zh-CN"/>
        </w:rPr>
        <w:t>除了教育所需的</w:t>
      </w:r>
      <w:r>
        <w:rPr>
          <w:rFonts w:hint="eastAsia"/>
          <w:lang w:eastAsia="zh-CN"/>
        </w:rPr>
        <w:t>专业资料外，</w:t>
      </w:r>
      <w:r w:rsidRPr="00B1693B">
        <w:rPr>
          <w:rFonts w:hint="eastAsia"/>
          <w:lang w:eastAsia="zh-CN"/>
        </w:rPr>
        <w:t>某些网站和搜索引擎</w:t>
      </w:r>
      <w:r>
        <w:rPr>
          <w:rFonts w:hint="eastAsia"/>
          <w:lang w:eastAsia="zh-CN"/>
        </w:rPr>
        <w:t>也</w:t>
      </w:r>
      <w:r w:rsidRPr="00B1693B">
        <w:rPr>
          <w:rFonts w:hint="eastAsia"/>
          <w:lang w:eastAsia="zh-CN"/>
        </w:rPr>
        <w:t>无法访问</w:t>
      </w:r>
      <w:r>
        <w:rPr>
          <w:rFonts w:hint="eastAsia"/>
          <w:lang w:eastAsia="zh-CN"/>
        </w:rPr>
        <w:t>。</w:t>
      </w:r>
      <w:r w:rsidRPr="00B1693B">
        <w:rPr>
          <w:rFonts w:hint="eastAsia"/>
          <w:lang w:eastAsia="zh-CN"/>
        </w:rPr>
        <w:t>古巴自</w:t>
      </w:r>
      <w:r w:rsidRPr="00114D65">
        <w:rPr>
          <w:lang w:eastAsia="zh-CN"/>
        </w:rPr>
        <w:t>2003</w:t>
      </w:r>
      <w:r w:rsidRPr="00B1693B">
        <w:rPr>
          <w:rFonts w:hint="eastAsia"/>
          <w:lang w:eastAsia="zh-CN"/>
        </w:rPr>
        <w:t>年</w:t>
      </w:r>
      <w:r>
        <w:rPr>
          <w:rFonts w:hint="eastAsia"/>
          <w:lang w:eastAsia="zh-CN"/>
        </w:rPr>
        <w:t>起成为</w:t>
      </w:r>
      <w:r w:rsidRPr="00114D65">
        <w:rPr>
          <w:lang w:eastAsia="zh-CN"/>
        </w:rPr>
        <w:t>GSMA</w:t>
      </w:r>
      <w:r>
        <w:rPr>
          <w:rFonts w:hint="eastAsia"/>
          <w:lang w:eastAsia="zh-CN"/>
        </w:rPr>
        <w:t>的</w:t>
      </w:r>
      <w:r w:rsidRPr="00B1693B">
        <w:rPr>
          <w:rFonts w:hint="eastAsia"/>
          <w:lang w:eastAsia="zh-CN"/>
        </w:rPr>
        <w:t>成员</w:t>
      </w:r>
      <w:r>
        <w:rPr>
          <w:rFonts w:hint="eastAsia"/>
          <w:lang w:eastAsia="zh-CN"/>
        </w:rPr>
        <w:t>，但</w:t>
      </w:r>
      <w:r w:rsidRPr="00B1693B">
        <w:rPr>
          <w:rFonts w:hint="eastAsia"/>
          <w:lang w:eastAsia="zh-CN"/>
        </w:rPr>
        <w:t>由于</w:t>
      </w:r>
      <w:r>
        <w:rPr>
          <w:rFonts w:hint="eastAsia"/>
          <w:lang w:eastAsia="zh-CN"/>
        </w:rPr>
        <w:t>单方面采取的</w:t>
      </w:r>
      <w:r w:rsidRPr="00B1693B">
        <w:rPr>
          <w:rFonts w:hint="eastAsia"/>
          <w:lang w:eastAsia="zh-CN"/>
        </w:rPr>
        <w:t>措施</w:t>
      </w:r>
      <w:r>
        <w:rPr>
          <w:rFonts w:hint="eastAsia"/>
          <w:lang w:eastAsia="zh-CN"/>
        </w:rPr>
        <w:t>，</w:t>
      </w:r>
      <w:r w:rsidRPr="00B1693B">
        <w:rPr>
          <w:rFonts w:hint="eastAsia"/>
          <w:lang w:eastAsia="zh-CN"/>
        </w:rPr>
        <w:t>自</w:t>
      </w:r>
      <w:r w:rsidRPr="00114D65">
        <w:rPr>
          <w:lang w:eastAsia="zh-CN"/>
        </w:rPr>
        <w:t>2020</w:t>
      </w:r>
      <w:r w:rsidRPr="00B1693B">
        <w:rPr>
          <w:rFonts w:hint="eastAsia"/>
          <w:lang w:eastAsia="zh-CN"/>
        </w:rPr>
        <w:t>年</w:t>
      </w:r>
      <w:r>
        <w:rPr>
          <w:rFonts w:hint="eastAsia"/>
          <w:lang w:eastAsia="zh-CN"/>
        </w:rPr>
        <w:t>起</w:t>
      </w:r>
      <w:r w:rsidRPr="00B1693B">
        <w:rPr>
          <w:rFonts w:hint="eastAsia"/>
          <w:lang w:eastAsia="zh-CN"/>
        </w:rPr>
        <w:t>被剥夺</w:t>
      </w:r>
      <w:r>
        <w:rPr>
          <w:rFonts w:hint="eastAsia"/>
          <w:lang w:eastAsia="zh-CN"/>
        </w:rPr>
        <w:t>了</w:t>
      </w:r>
      <w:r w:rsidRPr="00B1693B">
        <w:rPr>
          <w:rFonts w:hint="eastAsia"/>
          <w:lang w:eastAsia="zh-CN"/>
        </w:rPr>
        <w:t>参与权</w:t>
      </w:r>
      <w:r>
        <w:rPr>
          <w:rFonts w:hint="eastAsia"/>
          <w:lang w:eastAsia="zh-CN"/>
        </w:rPr>
        <w:t>。然而，得益于主办国的支持，古巴得以</w:t>
      </w:r>
      <w:r w:rsidRPr="00B1693B">
        <w:rPr>
          <w:rFonts w:hint="eastAsia"/>
          <w:lang w:eastAsia="zh-CN"/>
        </w:rPr>
        <w:t>参加</w:t>
      </w:r>
      <w:r>
        <w:rPr>
          <w:rFonts w:hint="eastAsia"/>
          <w:lang w:eastAsia="zh-CN"/>
        </w:rPr>
        <w:t>在</w:t>
      </w:r>
      <w:r w:rsidRPr="00B1693B">
        <w:rPr>
          <w:rFonts w:hint="eastAsia"/>
          <w:lang w:eastAsia="zh-CN"/>
        </w:rPr>
        <w:t>巴塞罗那</w:t>
      </w:r>
      <w:r w:rsidRPr="00C76B88">
        <w:rPr>
          <w:rFonts w:hint="eastAsia"/>
          <w:lang w:eastAsia="zh-CN"/>
        </w:rPr>
        <w:t>世界移动通信大会</w:t>
      </w:r>
      <w:r w:rsidRPr="00B1693B">
        <w:rPr>
          <w:rFonts w:hint="eastAsia"/>
          <w:lang w:eastAsia="zh-CN"/>
        </w:rPr>
        <w:t>期间举办的活动</w:t>
      </w:r>
      <w:r>
        <w:rPr>
          <w:rFonts w:hint="eastAsia"/>
          <w:lang w:eastAsia="zh-CN"/>
        </w:rPr>
        <w:t>。</w:t>
      </w:r>
      <w:r w:rsidRPr="00B1693B">
        <w:rPr>
          <w:rFonts w:hint="eastAsia"/>
          <w:lang w:eastAsia="zh-CN"/>
        </w:rPr>
        <w:t>只要单</w:t>
      </w:r>
      <w:r>
        <w:rPr>
          <w:rFonts w:hint="eastAsia"/>
          <w:lang w:eastAsia="zh-CN"/>
        </w:rPr>
        <w:t>方面</w:t>
      </w:r>
      <w:r w:rsidRPr="00B1693B">
        <w:rPr>
          <w:rFonts w:hint="eastAsia"/>
          <w:lang w:eastAsia="zh-CN"/>
        </w:rPr>
        <w:t>措施</w:t>
      </w:r>
      <w:r>
        <w:rPr>
          <w:rFonts w:hint="eastAsia"/>
          <w:lang w:eastAsia="zh-CN"/>
        </w:rPr>
        <w:t>继续</w:t>
      </w:r>
      <w:r w:rsidRPr="00B1693B">
        <w:rPr>
          <w:rFonts w:hint="eastAsia"/>
          <w:lang w:eastAsia="zh-CN"/>
        </w:rPr>
        <w:t>存在</w:t>
      </w:r>
      <w:r>
        <w:rPr>
          <w:rFonts w:hint="eastAsia"/>
          <w:lang w:eastAsia="zh-CN"/>
        </w:rPr>
        <w:t>，</w:t>
      </w:r>
      <w:r w:rsidRPr="00B1693B">
        <w:rPr>
          <w:rFonts w:hint="eastAsia"/>
          <w:lang w:eastAsia="zh-CN"/>
        </w:rPr>
        <w:t>古巴就不可能实现普遍连接和可持续数字化转型的战略目标</w:t>
      </w:r>
      <w:r>
        <w:rPr>
          <w:rFonts w:hint="eastAsia"/>
          <w:lang w:eastAsia="zh-CN"/>
        </w:rPr>
        <w:t>。</w:t>
      </w:r>
      <w:r w:rsidRPr="00B1693B">
        <w:rPr>
          <w:rFonts w:hint="eastAsia"/>
          <w:lang w:eastAsia="zh-CN"/>
        </w:rPr>
        <w:t>为了实现普遍连接</w:t>
      </w:r>
      <w:r>
        <w:rPr>
          <w:rFonts w:hint="eastAsia"/>
          <w:lang w:eastAsia="zh-CN"/>
        </w:rPr>
        <w:t>，</w:t>
      </w:r>
      <w:r w:rsidRPr="00B1693B">
        <w:rPr>
          <w:rFonts w:hint="eastAsia"/>
          <w:lang w:eastAsia="zh-CN"/>
        </w:rPr>
        <w:t>她呼吁国际电联确保落实国际电联</w:t>
      </w:r>
      <w:r>
        <w:rPr>
          <w:rFonts w:hint="eastAsia"/>
          <w:lang w:eastAsia="zh-CN"/>
        </w:rPr>
        <w:t>《</w:t>
      </w:r>
      <w:r w:rsidRPr="00B1693B">
        <w:rPr>
          <w:rFonts w:hint="eastAsia"/>
          <w:lang w:eastAsia="zh-CN"/>
        </w:rPr>
        <w:t>组织法</w:t>
      </w:r>
      <w:r>
        <w:rPr>
          <w:rFonts w:hint="eastAsia"/>
          <w:lang w:eastAsia="zh-CN"/>
        </w:rPr>
        <w:t>》</w:t>
      </w:r>
      <w:r w:rsidRPr="00B1693B">
        <w:rPr>
          <w:rFonts w:hint="eastAsia"/>
          <w:lang w:eastAsia="zh-CN"/>
        </w:rPr>
        <w:t>第</w:t>
      </w:r>
      <w:r w:rsidRPr="00114D65">
        <w:rPr>
          <w:lang w:eastAsia="zh-CN"/>
        </w:rPr>
        <w:t>1</w:t>
      </w:r>
      <w:r w:rsidRPr="00B1693B">
        <w:rPr>
          <w:rFonts w:hint="eastAsia"/>
          <w:lang w:eastAsia="zh-CN"/>
        </w:rPr>
        <w:t>条和第</w:t>
      </w:r>
      <w:r w:rsidRPr="00114D65">
        <w:rPr>
          <w:lang w:eastAsia="zh-CN"/>
        </w:rPr>
        <w:t>69</w:t>
      </w:r>
      <w:r w:rsidRPr="00B1693B">
        <w:rPr>
          <w:rFonts w:hint="eastAsia"/>
          <w:lang w:eastAsia="zh-CN"/>
        </w:rPr>
        <w:t>号决议</w:t>
      </w:r>
      <w:r>
        <w:rPr>
          <w:rFonts w:hint="eastAsia"/>
          <w:lang w:eastAsia="zh-CN"/>
        </w:rPr>
        <w:t>（</w:t>
      </w:r>
      <w:r w:rsidRPr="00114D65">
        <w:rPr>
          <w:lang w:eastAsia="zh-CN"/>
        </w:rPr>
        <w:t>2016</w:t>
      </w:r>
      <w:r w:rsidRPr="00B1693B">
        <w:rPr>
          <w:rFonts w:hint="eastAsia"/>
          <w:lang w:eastAsia="zh-CN"/>
        </w:rPr>
        <w:t>年</w:t>
      </w:r>
      <w:r>
        <w:rPr>
          <w:rFonts w:hint="eastAsia"/>
          <w:lang w:eastAsia="zh-CN"/>
        </w:rPr>
        <w:t>，</w:t>
      </w:r>
      <w:r w:rsidRPr="00B1693B">
        <w:rPr>
          <w:rFonts w:hint="eastAsia"/>
          <w:lang w:eastAsia="zh-CN"/>
        </w:rPr>
        <w:t>哈马马特</w:t>
      </w:r>
      <w:r>
        <w:rPr>
          <w:rFonts w:hint="eastAsia"/>
          <w:lang w:eastAsia="zh-CN"/>
        </w:rPr>
        <w:t>，</w:t>
      </w:r>
      <w:r w:rsidRPr="00B1693B">
        <w:rPr>
          <w:rFonts w:hint="eastAsia"/>
          <w:lang w:eastAsia="zh-CN"/>
        </w:rPr>
        <w:t>修订版</w:t>
      </w:r>
      <w:r>
        <w:rPr>
          <w:rFonts w:hint="eastAsia"/>
          <w:lang w:eastAsia="zh-CN"/>
        </w:rPr>
        <w:t>），</w:t>
      </w:r>
      <w:r w:rsidRPr="00B1693B">
        <w:rPr>
          <w:rFonts w:hint="eastAsia"/>
          <w:lang w:eastAsia="zh-CN"/>
        </w:rPr>
        <w:t>并呼吁成员国</w:t>
      </w:r>
      <w:r>
        <w:rPr>
          <w:rFonts w:hint="eastAsia"/>
          <w:lang w:eastAsia="zh-CN"/>
        </w:rPr>
        <w:t>避免</w:t>
      </w:r>
      <w:r w:rsidRPr="00B1693B">
        <w:rPr>
          <w:rFonts w:hint="eastAsia"/>
          <w:lang w:eastAsia="zh-CN"/>
        </w:rPr>
        <w:t>对其他成员国采取</w:t>
      </w:r>
      <w:r>
        <w:rPr>
          <w:rFonts w:hint="eastAsia"/>
          <w:lang w:eastAsia="zh-CN"/>
        </w:rPr>
        <w:t>单方面</w:t>
      </w:r>
      <w:r w:rsidRPr="00B1693B">
        <w:rPr>
          <w:rFonts w:hint="eastAsia"/>
          <w:lang w:eastAsia="zh-CN"/>
        </w:rPr>
        <w:t>措施</w:t>
      </w:r>
      <w:r>
        <w:rPr>
          <w:rFonts w:hint="eastAsia"/>
          <w:lang w:eastAsia="zh-CN"/>
        </w:rPr>
        <w:t>。</w:t>
      </w:r>
    </w:p>
    <w:p w14:paraId="00191AF5" w14:textId="77777777" w:rsidR="00A85B60" w:rsidRPr="00D16158" w:rsidRDefault="00A85B60" w:rsidP="00A066BA">
      <w:pPr>
        <w:jc w:val="both"/>
        <w:rPr>
          <w:rFonts w:cs="Calibri"/>
          <w:lang w:eastAsia="zh-CN"/>
        </w:rPr>
      </w:pPr>
      <w:r w:rsidRPr="00114D65">
        <w:rPr>
          <w:lang w:eastAsia="zh-CN"/>
        </w:rPr>
        <w:t>5.5</w:t>
      </w:r>
      <w:r w:rsidRPr="00114D65">
        <w:rPr>
          <w:lang w:eastAsia="zh-CN"/>
        </w:rPr>
        <w:tab/>
      </w:r>
      <w:r w:rsidRPr="00D16158">
        <w:rPr>
          <w:rFonts w:cs="Calibri" w:hint="eastAsia"/>
          <w:lang w:eastAsia="zh-CN"/>
        </w:rPr>
        <w:t>来自美利坚合众国的理事表示，经济制裁是应对国家安全和稳定威胁的合法、适当和有效工具。制裁并未惩罚性措施，而是为了改变行为，遏制不良行为者利用美国金融体系或者威胁美国或其盟友或伙伴的能力。如果行为发生显著改变，那么制裁措施就有可能被解除。</w:t>
      </w:r>
    </w:p>
    <w:p w14:paraId="5E2BEB50" w14:textId="77777777" w:rsidR="00A85B60" w:rsidRPr="00114D65" w:rsidRDefault="00A85B60" w:rsidP="00A066BA">
      <w:pPr>
        <w:jc w:val="both"/>
        <w:rPr>
          <w:lang w:eastAsia="zh-CN"/>
        </w:rPr>
      </w:pPr>
      <w:r w:rsidRPr="00114D65">
        <w:rPr>
          <w:rFonts w:eastAsia="Times New Roman"/>
          <w:lang w:eastAsia="zh-CN"/>
        </w:rPr>
        <w:t>5.6</w:t>
      </w:r>
      <w:r w:rsidRPr="00114D65">
        <w:rPr>
          <w:rFonts w:eastAsia="Times New Roman"/>
          <w:lang w:eastAsia="zh-CN"/>
        </w:rPr>
        <w:tab/>
      </w:r>
      <w:r w:rsidRPr="00B1693B">
        <w:rPr>
          <w:rFonts w:hint="eastAsia"/>
          <w:lang w:eastAsia="zh-CN"/>
        </w:rPr>
        <w:t>古巴理事重申</w:t>
      </w:r>
      <w:r>
        <w:rPr>
          <w:rFonts w:hint="eastAsia"/>
          <w:lang w:eastAsia="zh-CN"/>
        </w:rPr>
        <w:t>，</w:t>
      </w:r>
      <w:r w:rsidRPr="00B1693B">
        <w:rPr>
          <w:rFonts w:hint="eastAsia"/>
          <w:lang w:eastAsia="zh-CN"/>
        </w:rPr>
        <w:t>实施经济制裁导致古巴人民无法获得技术</w:t>
      </w:r>
      <w:r>
        <w:rPr>
          <w:rFonts w:hint="eastAsia"/>
          <w:lang w:eastAsia="zh-CN"/>
        </w:rPr>
        <w:t>，也无法</w:t>
      </w:r>
      <w:r w:rsidRPr="00B1693B">
        <w:rPr>
          <w:rFonts w:hint="eastAsia"/>
          <w:lang w:eastAsia="zh-CN"/>
        </w:rPr>
        <w:t>在</w:t>
      </w:r>
      <w:r w:rsidRPr="00114D65">
        <w:rPr>
          <w:lang w:eastAsia="zh-CN"/>
        </w:rPr>
        <w:t>ICT</w:t>
      </w:r>
      <w:r w:rsidRPr="00B1693B">
        <w:rPr>
          <w:rFonts w:hint="eastAsia"/>
          <w:lang w:eastAsia="zh-CN"/>
        </w:rPr>
        <w:t>和电信领域</w:t>
      </w:r>
      <w:r>
        <w:rPr>
          <w:rFonts w:hint="eastAsia"/>
          <w:lang w:eastAsia="zh-CN"/>
        </w:rPr>
        <w:t>实现自身</w:t>
      </w:r>
      <w:r w:rsidRPr="00B1693B">
        <w:rPr>
          <w:rFonts w:hint="eastAsia"/>
          <w:lang w:eastAsia="zh-CN"/>
        </w:rPr>
        <w:t>的发展潜力</w:t>
      </w:r>
      <w:r>
        <w:rPr>
          <w:rFonts w:hint="eastAsia"/>
          <w:lang w:eastAsia="zh-CN"/>
        </w:rPr>
        <w:t>。</w:t>
      </w:r>
    </w:p>
    <w:p w14:paraId="55EF52C0" w14:textId="77777777" w:rsidR="00A85B60" w:rsidRPr="00013F7D" w:rsidRDefault="00A85B60" w:rsidP="00A066BA">
      <w:pPr>
        <w:jc w:val="both"/>
        <w:rPr>
          <w:lang w:eastAsia="zh-CN"/>
        </w:rPr>
      </w:pPr>
      <w:r w:rsidRPr="00114D65">
        <w:rPr>
          <w:lang w:eastAsia="zh-CN"/>
        </w:rPr>
        <w:t>5.7</w:t>
      </w:r>
      <w:r w:rsidRPr="00114D65">
        <w:rPr>
          <w:lang w:eastAsia="zh-CN"/>
        </w:rPr>
        <w:tab/>
      </w:r>
      <w:r w:rsidRPr="00B1693B">
        <w:rPr>
          <w:rFonts w:hint="eastAsia"/>
          <w:lang w:eastAsia="zh-CN"/>
        </w:rPr>
        <w:t>理事会将</w:t>
      </w:r>
      <w:r w:rsidRPr="00194F42">
        <w:rPr>
          <w:lang w:eastAsia="zh-CN"/>
        </w:rPr>
        <w:t>C25/33</w:t>
      </w:r>
      <w:r w:rsidRPr="00194F42">
        <w:rPr>
          <w:rFonts w:hint="eastAsia"/>
          <w:lang w:eastAsia="zh-CN"/>
        </w:rPr>
        <w:t>号文件</w:t>
      </w:r>
      <w:r w:rsidRPr="00B1693B">
        <w:rPr>
          <w:rFonts w:hint="eastAsia"/>
          <w:lang w:eastAsia="zh-CN"/>
        </w:rPr>
        <w:t>中的报告</w:t>
      </w:r>
      <w:r w:rsidRPr="000A717D">
        <w:rPr>
          <w:rFonts w:hint="eastAsia"/>
          <w:b/>
          <w:bCs/>
          <w:lang w:eastAsia="zh-CN"/>
        </w:rPr>
        <w:t>记录在案</w:t>
      </w:r>
      <w:r>
        <w:rPr>
          <w:rFonts w:hint="eastAsia"/>
          <w:lang w:eastAsia="zh-CN"/>
        </w:rPr>
        <w:t>，</w:t>
      </w:r>
      <w:r w:rsidRPr="00B1693B">
        <w:rPr>
          <w:rFonts w:hint="eastAsia"/>
          <w:lang w:eastAsia="zh-CN"/>
        </w:rPr>
        <w:t>并</w:t>
      </w:r>
      <w:r w:rsidRPr="000A717D">
        <w:rPr>
          <w:rFonts w:hint="eastAsia"/>
          <w:b/>
          <w:bCs/>
          <w:lang w:eastAsia="zh-CN"/>
        </w:rPr>
        <w:t>请</w:t>
      </w:r>
      <w:r>
        <w:rPr>
          <w:rFonts w:hint="eastAsia"/>
          <w:lang w:eastAsia="zh-CN"/>
        </w:rPr>
        <w:t>各</w:t>
      </w:r>
      <w:r w:rsidRPr="00B1693B">
        <w:rPr>
          <w:rFonts w:hint="eastAsia"/>
          <w:lang w:eastAsia="zh-CN"/>
        </w:rPr>
        <w:t>理事国在</w:t>
      </w:r>
      <w:r w:rsidRPr="00114D65">
        <w:rPr>
          <w:lang w:eastAsia="zh-CN"/>
        </w:rPr>
        <w:t>2025</w:t>
      </w:r>
      <w:r w:rsidRPr="00B1693B">
        <w:rPr>
          <w:rFonts w:hint="eastAsia"/>
          <w:lang w:eastAsia="zh-CN"/>
        </w:rPr>
        <w:t>年</w:t>
      </w:r>
      <w:r w:rsidRPr="00B1693B">
        <w:rPr>
          <w:rFonts w:hint="eastAsia"/>
          <w:lang w:eastAsia="zh-CN"/>
        </w:rPr>
        <w:t>6</w:t>
      </w:r>
      <w:r w:rsidRPr="00B1693B">
        <w:rPr>
          <w:rFonts w:hint="eastAsia"/>
          <w:lang w:eastAsia="zh-CN"/>
        </w:rPr>
        <w:t>月</w:t>
      </w:r>
      <w:r w:rsidRPr="00114D65">
        <w:rPr>
          <w:lang w:eastAsia="zh-CN"/>
        </w:rPr>
        <w:t>20</w:t>
      </w:r>
      <w:r w:rsidRPr="00B1693B">
        <w:rPr>
          <w:rFonts w:hint="eastAsia"/>
          <w:lang w:eastAsia="zh-CN"/>
        </w:rPr>
        <w:t>日</w:t>
      </w:r>
      <w:r>
        <w:rPr>
          <w:rFonts w:hint="eastAsia"/>
          <w:lang w:eastAsia="zh-CN"/>
        </w:rPr>
        <w:t>（</w:t>
      </w:r>
      <w:r w:rsidRPr="00B1693B">
        <w:rPr>
          <w:rFonts w:hint="eastAsia"/>
          <w:lang w:eastAsia="zh-CN"/>
        </w:rPr>
        <w:t>星期五</w:t>
      </w:r>
      <w:r>
        <w:rPr>
          <w:rFonts w:hint="eastAsia"/>
          <w:lang w:eastAsia="zh-CN"/>
        </w:rPr>
        <w:t>）</w:t>
      </w:r>
      <w:r w:rsidRPr="00B1693B">
        <w:rPr>
          <w:rFonts w:hint="eastAsia"/>
          <w:lang w:eastAsia="zh-CN"/>
        </w:rPr>
        <w:t>日内瓦时间中午之前</w:t>
      </w:r>
      <w:r>
        <w:rPr>
          <w:rFonts w:hint="eastAsia"/>
          <w:lang w:eastAsia="zh-CN"/>
        </w:rPr>
        <w:t>以</w:t>
      </w:r>
      <w:r w:rsidRPr="00B1693B">
        <w:rPr>
          <w:rFonts w:hint="eastAsia"/>
          <w:lang w:eastAsia="zh-CN"/>
        </w:rPr>
        <w:t>书面</w:t>
      </w:r>
      <w:r>
        <w:rPr>
          <w:rFonts w:hint="eastAsia"/>
          <w:lang w:eastAsia="zh-CN"/>
        </w:rPr>
        <w:t>形式</w:t>
      </w:r>
      <w:r w:rsidRPr="00B1693B">
        <w:rPr>
          <w:rFonts w:hint="eastAsia"/>
          <w:lang w:eastAsia="zh-CN"/>
        </w:rPr>
        <w:t>提交任何意见</w:t>
      </w:r>
      <w:r>
        <w:rPr>
          <w:rFonts w:hint="eastAsia"/>
          <w:lang w:eastAsia="zh-CN"/>
        </w:rPr>
        <w:t>，</w:t>
      </w:r>
      <w:r w:rsidRPr="00B1693B">
        <w:rPr>
          <w:rFonts w:hint="eastAsia"/>
          <w:lang w:eastAsia="zh-CN"/>
        </w:rPr>
        <w:t>以便将报告连同理事国的意见汇编和相关摘要记录</w:t>
      </w:r>
      <w:r>
        <w:rPr>
          <w:rFonts w:hint="eastAsia"/>
          <w:lang w:eastAsia="zh-CN"/>
        </w:rPr>
        <w:t>以及</w:t>
      </w:r>
      <w:r w:rsidRPr="000A717D">
        <w:rPr>
          <w:rFonts w:hint="eastAsia"/>
          <w:lang w:eastAsia="zh-CN"/>
        </w:rPr>
        <w:t>封页说明</w:t>
      </w:r>
      <w:r w:rsidRPr="00B1693B">
        <w:rPr>
          <w:rFonts w:hint="eastAsia"/>
          <w:lang w:eastAsia="zh-CN"/>
        </w:rPr>
        <w:t>一</w:t>
      </w:r>
      <w:r>
        <w:rPr>
          <w:rFonts w:hint="eastAsia"/>
          <w:lang w:eastAsia="zh-CN"/>
        </w:rPr>
        <w:t>并</w:t>
      </w:r>
      <w:r w:rsidRPr="00B1693B">
        <w:rPr>
          <w:rFonts w:hint="eastAsia"/>
          <w:lang w:eastAsia="zh-CN"/>
        </w:rPr>
        <w:t>转呈联合国秘书长</w:t>
      </w:r>
      <w:r>
        <w:rPr>
          <w:rFonts w:hint="eastAsia"/>
          <w:lang w:eastAsia="zh-CN"/>
        </w:rPr>
        <w:t>。</w:t>
      </w:r>
    </w:p>
    <w:bookmarkEnd w:id="6"/>
    <w:p w14:paraId="59466C6F" w14:textId="77777777" w:rsidR="00A85B60" w:rsidRPr="00A066BA" w:rsidRDefault="00A85B60" w:rsidP="00A066BA">
      <w:pPr>
        <w:pStyle w:val="Heading1"/>
        <w:ind w:right="-170"/>
        <w:rPr>
          <w:spacing w:val="-2"/>
          <w:lang w:eastAsia="zh-CN"/>
        </w:rPr>
      </w:pPr>
      <w:r w:rsidRPr="00A066BA">
        <w:rPr>
          <w:bCs/>
          <w:spacing w:val="-2"/>
          <w:lang w:val="zh-CN" w:eastAsia="zh-CN"/>
        </w:rPr>
        <w:t>6</w:t>
      </w:r>
      <w:r w:rsidRPr="00A066BA">
        <w:rPr>
          <w:bCs/>
          <w:spacing w:val="-2"/>
          <w:lang w:val="zh-CN" w:eastAsia="zh-CN"/>
        </w:rPr>
        <w:tab/>
      </w:r>
      <w:r w:rsidRPr="00A066BA">
        <w:rPr>
          <w:spacing w:val="-2"/>
          <w:lang w:val="zh-CN" w:eastAsia="zh-CN"/>
        </w:rPr>
        <w:t>CWG-WSIS&amp;SDG</w:t>
      </w:r>
      <w:r w:rsidRPr="00A066BA">
        <w:rPr>
          <w:spacing w:val="-2"/>
          <w:lang w:val="zh-CN" w:eastAsia="zh-CN"/>
        </w:rPr>
        <w:t>主席关于第</w:t>
      </w:r>
      <w:r w:rsidRPr="00A066BA">
        <w:rPr>
          <w:spacing w:val="-2"/>
          <w:lang w:val="zh-CN" w:eastAsia="zh-CN"/>
        </w:rPr>
        <w:t>41</w:t>
      </w:r>
      <w:r w:rsidRPr="00A066BA">
        <w:rPr>
          <w:spacing w:val="-2"/>
          <w:lang w:val="zh-CN" w:eastAsia="zh-CN"/>
        </w:rPr>
        <w:t>和</w:t>
      </w:r>
      <w:r w:rsidRPr="00A066BA">
        <w:rPr>
          <w:spacing w:val="-2"/>
          <w:lang w:val="zh-CN" w:eastAsia="zh-CN"/>
        </w:rPr>
        <w:t>42</w:t>
      </w:r>
      <w:r w:rsidRPr="00A066BA">
        <w:rPr>
          <w:spacing w:val="-2"/>
          <w:lang w:val="zh-CN" w:eastAsia="zh-CN"/>
        </w:rPr>
        <w:t>次会议成果的报告（</w:t>
      </w:r>
      <w:hyperlink r:id="rId19" w:history="1">
        <w:r w:rsidRPr="00A066BA">
          <w:rPr>
            <w:rStyle w:val="Hyperlink"/>
            <w:rFonts w:asciiTheme="minorHAnsi" w:eastAsia="SimSun" w:hAnsiTheme="minorHAnsi" w:cstheme="minorHAnsi"/>
            <w:spacing w:val="-2"/>
            <w:szCs w:val="24"/>
            <w:lang w:eastAsia="zh-CN"/>
          </w:rPr>
          <w:t>C25/8</w:t>
        </w:r>
      </w:hyperlink>
      <w:r w:rsidRPr="00A066BA">
        <w:rPr>
          <w:spacing w:val="-2"/>
          <w:lang w:val="zh-CN" w:eastAsia="zh-CN"/>
        </w:rPr>
        <w:t>号文件）</w:t>
      </w:r>
      <w:r w:rsidRPr="00A066BA">
        <w:rPr>
          <w:spacing w:val="-2"/>
        </w:rPr>
        <w:fldChar w:fldCharType="begin"/>
      </w:r>
      <w:r w:rsidRPr="00A066BA">
        <w:rPr>
          <w:spacing w:val="-2"/>
          <w:lang w:eastAsia="zh-CN"/>
        </w:rPr>
        <w:instrText>HYPERLINK "https://www.itu.int/md/S25-CL-C-0008/en"</w:instrText>
      </w:r>
      <w:r w:rsidRPr="00A066BA">
        <w:rPr>
          <w:spacing w:val="-2"/>
        </w:rPr>
      </w:r>
      <w:r w:rsidRPr="00A066BA">
        <w:rPr>
          <w:spacing w:val="-2"/>
        </w:rPr>
        <w:fldChar w:fldCharType="separate"/>
      </w:r>
      <w:r w:rsidRPr="00A066BA">
        <w:rPr>
          <w:spacing w:val="-2"/>
        </w:rPr>
        <w:fldChar w:fldCharType="end"/>
      </w:r>
    </w:p>
    <w:p w14:paraId="7DBAD29C" w14:textId="77777777" w:rsidR="00A85B60" w:rsidRPr="00013F7D" w:rsidRDefault="00A85B60" w:rsidP="00A066BA">
      <w:pPr>
        <w:jc w:val="both"/>
        <w:rPr>
          <w:lang w:eastAsia="zh-CN"/>
        </w:rPr>
      </w:pPr>
      <w:r>
        <w:rPr>
          <w:lang w:val="zh-CN" w:eastAsia="zh-CN"/>
        </w:rPr>
        <w:t>6.1</w:t>
      </w:r>
      <w:r>
        <w:rPr>
          <w:lang w:val="zh-CN" w:eastAsia="zh-CN"/>
        </w:rPr>
        <w:tab/>
      </w:r>
      <w:r>
        <w:rPr>
          <w:lang w:val="zh-CN" w:eastAsia="zh-CN"/>
        </w:rPr>
        <w:t>理事会信息社会世界峰会（</w:t>
      </w:r>
      <w:r>
        <w:rPr>
          <w:lang w:val="zh-CN" w:eastAsia="zh-CN"/>
        </w:rPr>
        <w:t>WSIS</w:t>
      </w:r>
      <w:r>
        <w:rPr>
          <w:lang w:val="zh-CN" w:eastAsia="zh-CN"/>
        </w:rPr>
        <w:t>）和可持续发展目标工作组（</w:t>
      </w:r>
      <w:r>
        <w:rPr>
          <w:lang w:val="zh-CN" w:eastAsia="zh-CN"/>
        </w:rPr>
        <w:t>CWG-WSIS&amp;SDG</w:t>
      </w:r>
      <w:r>
        <w:rPr>
          <w:lang w:val="zh-CN" w:eastAsia="zh-CN"/>
        </w:rPr>
        <w:t>）主席介绍了</w:t>
      </w:r>
      <w:r>
        <w:rPr>
          <w:lang w:val="zh-CN" w:eastAsia="zh-CN"/>
        </w:rPr>
        <w:t>C25/8</w:t>
      </w:r>
      <w:r>
        <w:rPr>
          <w:lang w:val="zh-CN" w:eastAsia="zh-CN"/>
        </w:rPr>
        <w:t>号文件中的报告，总结了工作组第</w:t>
      </w:r>
      <w:r>
        <w:rPr>
          <w:lang w:val="zh-CN" w:eastAsia="zh-CN"/>
        </w:rPr>
        <w:t>41</w:t>
      </w:r>
      <w:r>
        <w:rPr>
          <w:lang w:val="zh-CN" w:eastAsia="zh-CN"/>
        </w:rPr>
        <w:t>和</w:t>
      </w:r>
      <w:r>
        <w:rPr>
          <w:lang w:val="zh-CN" w:eastAsia="zh-CN"/>
        </w:rPr>
        <w:t>42</w:t>
      </w:r>
      <w:r>
        <w:rPr>
          <w:lang w:val="zh-CN" w:eastAsia="zh-CN"/>
        </w:rPr>
        <w:t>次会议的主要成果。</w:t>
      </w:r>
    </w:p>
    <w:p w14:paraId="032EA748" w14:textId="2ED29E69" w:rsidR="00A85B60" w:rsidRPr="00013F7D" w:rsidRDefault="00A85B60" w:rsidP="00A066BA">
      <w:pPr>
        <w:jc w:val="both"/>
        <w:rPr>
          <w:lang w:eastAsia="zh-CN"/>
        </w:rPr>
      </w:pPr>
      <w:r>
        <w:rPr>
          <w:lang w:val="zh-CN" w:eastAsia="zh-CN"/>
        </w:rPr>
        <w:t>6.2</w:t>
      </w:r>
      <w:r>
        <w:rPr>
          <w:lang w:val="zh-CN" w:eastAsia="zh-CN"/>
        </w:rPr>
        <w:tab/>
      </w:r>
      <w:r>
        <w:rPr>
          <w:lang w:val="zh-CN" w:eastAsia="zh-CN"/>
        </w:rPr>
        <w:t>许多理事对报告表示赞赏，并重申他们对</w:t>
      </w:r>
      <w:r>
        <w:rPr>
          <w:lang w:val="zh-CN" w:eastAsia="zh-CN"/>
        </w:rPr>
        <w:t>WSIS</w:t>
      </w:r>
      <w:r>
        <w:rPr>
          <w:lang w:val="zh-CN" w:eastAsia="zh-CN"/>
        </w:rPr>
        <w:t>进程的承诺。会议广泛支持在</w:t>
      </w:r>
      <w:r>
        <w:rPr>
          <w:lang w:val="zh-CN" w:eastAsia="zh-CN"/>
        </w:rPr>
        <w:t>2025</w:t>
      </w:r>
      <w:r>
        <w:rPr>
          <w:lang w:val="zh-CN" w:eastAsia="zh-CN"/>
        </w:rPr>
        <w:t>年之后继续这一活动。</w:t>
      </w:r>
      <w:r w:rsidR="00FB4DD7" w:rsidRPr="00FB4DD7">
        <w:rPr>
          <w:rFonts w:hint="eastAsia"/>
          <w:lang w:val="zh-CN" w:eastAsia="zh-CN"/>
        </w:rPr>
        <w:t>鉴于需要互补性</w:t>
      </w:r>
      <w:r w:rsidR="00FB4DD7">
        <w:rPr>
          <w:rFonts w:hint="eastAsia"/>
          <w:lang w:val="zh-CN" w:eastAsia="zh-CN"/>
        </w:rPr>
        <w:t>并</w:t>
      </w:r>
      <w:r w:rsidR="00FB4DD7" w:rsidRPr="00FB4DD7">
        <w:rPr>
          <w:rFonts w:hint="eastAsia"/>
          <w:lang w:val="zh-CN" w:eastAsia="zh-CN"/>
        </w:rPr>
        <w:t>避免重复，重要的是在</w:t>
      </w:r>
      <w:r w:rsidR="00FB4DD7" w:rsidRPr="00FB4DD7">
        <w:rPr>
          <w:rFonts w:hint="eastAsia"/>
          <w:lang w:val="zh-CN" w:eastAsia="zh-CN"/>
        </w:rPr>
        <w:t>WSIS</w:t>
      </w:r>
      <w:r w:rsidR="00FB4DD7" w:rsidRPr="00FB4DD7">
        <w:rPr>
          <w:rFonts w:hint="eastAsia"/>
          <w:lang w:val="zh-CN" w:eastAsia="zh-CN"/>
        </w:rPr>
        <w:t>进程中统</w:t>
      </w:r>
      <w:proofErr w:type="gramStart"/>
      <w:r w:rsidR="00FB4DD7" w:rsidRPr="00FB4DD7">
        <w:rPr>
          <w:rFonts w:hint="eastAsia"/>
          <w:lang w:val="zh-CN" w:eastAsia="zh-CN"/>
        </w:rPr>
        <w:t>一</w:t>
      </w:r>
      <w:proofErr w:type="gramEnd"/>
      <w:r w:rsidR="00FB4DD7" w:rsidRPr="00FB4DD7">
        <w:rPr>
          <w:rFonts w:hint="eastAsia"/>
          <w:lang w:val="zh-CN" w:eastAsia="zh-CN"/>
        </w:rPr>
        <w:t>和整合《全球数字契约》（</w:t>
      </w:r>
      <w:r w:rsidR="00FB4DD7" w:rsidRPr="00FB4DD7">
        <w:rPr>
          <w:rFonts w:hint="eastAsia"/>
          <w:lang w:val="zh-CN" w:eastAsia="zh-CN"/>
        </w:rPr>
        <w:t>GDC</w:t>
      </w:r>
      <w:r w:rsidR="00FB4DD7" w:rsidRPr="00FB4DD7">
        <w:rPr>
          <w:rFonts w:hint="eastAsia"/>
          <w:lang w:val="zh-CN" w:eastAsia="zh-CN"/>
        </w:rPr>
        <w:t>）和《未来契约》的</w:t>
      </w:r>
      <w:r w:rsidR="00FB4DD7">
        <w:rPr>
          <w:rFonts w:hint="eastAsia"/>
          <w:lang w:val="zh-CN" w:eastAsia="zh-CN"/>
        </w:rPr>
        <w:t>各项</w:t>
      </w:r>
      <w:r w:rsidR="00FB4DD7" w:rsidRPr="00FB4DD7">
        <w:rPr>
          <w:rFonts w:hint="eastAsia"/>
          <w:lang w:val="zh-CN" w:eastAsia="zh-CN"/>
        </w:rPr>
        <w:t>目标，特别是在人工智能和数据治理方面。</w:t>
      </w:r>
      <w:r>
        <w:rPr>
          <w:lang w:val="zh-CN" w:eastAsia="zh-CN"/>
        </w:rPr>
        <w:t>由于之前关于这些议题的讨论一直存在争议，</w:t>
      </w:r>
      <w:r w:rsidRPr="00455EA9">
        <w:rPr>
          <w:rFonts w:hint="eastAsia"/>
          <w:lang w:val="zh-CN" w:eastAsia="zh-CN"/>
        </w:rPr>
        <w:t>重新审议这些问题将徒增负担。</w:t>
      </w:r>
    </w:p>
    <w:p w14:paraId="2FD42B55" w14:textId="77777777" w:rsidR="00A85B60" w:rsidRPr="00013F7D" w:rsidRDefault="00A85B60" w:rsidP="00A066BA">
      <w:pPr>
        <w:jc w:val="both"/>
        <w:rPr>
          <w:lang w:eastAsia="zh-CN"/>
        </w:rPr>
      </w:pPr>
      <w:r>
        <w:rPr>
          <w:lang w:val="zh-CN" w:eastAsia="zh-CN"/>
        </w:rPr>
        <w:t>6.3</w:t>
      </w:r>
      <w:r>
        <w:rPr>
          <w:lang w:val="zh-CN" w:eastAsia="zh-CN"/>
        </w:rPr>
        <w:tab/>
      </w:r>
      <w:r>
        <w:rPr>
          <w:lang w:val="zh-CN" w:eastAsia="zh-CN"/>
        </w:rPr>
        <w:t>一位理事回顾说，</w:t>
      </w:r>
      <w:r>
        <w:rPr>
          <w:rFonts w:hint="eastAsia"/>
          <w:lang w:val="zh-CN" w:eastAsia="zh-CN"/>
        </w:rPr>
        <w:t>其</w:t>
      </w:r>
      <w:r>
        <w:rPr>
          <w:lang w:val="zh-CN" w:eastAsia="zh-CN"/>
        </w:rPr>
        <w:t>国家在《未来</w:t>
      </w:r>
      <w:r>
        <w:rPr>
          <w:rFonts w:hint="eastAsia"/>
          <w:lang w:val="zh-CN" w:eastAsia="zh-CN"/>
        </w:rPr>
        <w:t>契约</w:t>
      </w:r>
      <w:r>
        <w:rPr>
          <w:lang w:val="zh-CN" w:eastAsia="zh-CN"/>
        </w:rPr>
        <w:t>》及其附件通过时</w:t>
      </w:r>
      <w:r w:rsidRPr="00455EA9">
        <w:rPr>
          <w:rFonts w:hint="eastAsia"/>
          <w:lang w:val="zh-CN" w:eastAsia="zh-CN"/>
        </w:rPr>
        <w:t>已宣布与之脱钩</w:t>
      </w:r>
      <w:r>
        <w:rPr>
          <w:lang w:val="zh-CN" w:eastAsia="zh-CN"/>
        </w:rPr>
        <w:t>。</w:t>
      </w:r>
      <w:r w:rsidRPr="00455EA9">
        <w:rPr>
          <w:rFonts w:hint="eastAsia"/>
          <w:lang w:val="zh-CN" w:eastAsia="zh-CN"/>
        </w:rPr>
        <w:t>该国</w:t>
      </w:r>
      <w:r>
        <w:rPr>
          <w:lang w:val="zh-CN" w:eastAsia="zh-CN"/>
        </w:rPr>
        <w:t>将《</w:t>
      </w:r>
      <w:r>
        <w:rPr>
          <w:lang w:val="zh-CN" w:eastAsia="zh-CN"/>
        </w:rPr>
        <w:t>2030</w:t>
      </w:r>
      <w:r>
        <w:rPr>
          <w:lang w:val="zh-CN" w:eastAsia="zh-CN"/>
        </w:rPr>
        <w:t>年可持续发展议程》视为在法律上不具约束力的愿望，应由各国</w:t>
      </w:r>
      <w:r w:rsidRPr="00455EA9">
        <w:rPr>
          <w:rFonts w:hint="eastAsia"/>
          <w:lang w:val="zh-CN" w:eastAsia="zh-CN"/>
        </w:rPr>
        <w:t>自行解释</w:t>
      </w:r>
      <w:r>
        <w:rPr>
          <w:lang w:val="zh-CN" w:eastAsia="zh-CN"/>
        </w:rPr>
        <w:t>。</w:t>
      </w:r>
      <w:r>
        <w:rPr>
          <w:rFonts w:hint="eastAsia"/>
          <w:lang w:val="zh-CN" w:eastAsia="zh-CN"/>
        </w:rPr>
        <w:t>该</w:t>
      </w:r>
      <w:r>
        <w:rPr>
          <w:lang w:val="zh-CN" w:eastAsia="zh-CN"/>
        </w:rPr>
        <w:t>国家对</w:t>
      </w:r>
      <w:r>
        <w:rPr>
          <w:lang w:val="zh-CN" w:eastAsia="zh-CN"/>
        </w:rPr>
        <w:t>2030</w:t>
      </w:r>
      <w:r>
        <w:rPr>
          <w:lang w:val="zh-CN" w:eastAsia="zh-CN"/>
        </w:rPr>
        <w:t>年议程、联合国可持续发展目标（</w:t>
      </w:r>
      <w:r>
        <w:rPr>
          <w:lang w:val="zh-CN" w:eastAsia="zh-CN"/>
        </w:rPr>
        <w:t>SDG</w:t>
      </w:r>
      <w:r>
        <w:rPr>
          <w:lang w:val="zh-CN" w:eastAsia="zh-CN"/>
        </w:rPr>
        <w:t>）、未来契约和</w:t>
      </w:r>
      <w:r>
        <w:rPr>
          <w:lang w:val="zh-CN" w:eastAsia="zh-CN"/>
        </w:rPr>
        <w:t>GDC</w:t>
      </w:r>
      <w:proofErr w:type="gramStart"/>
      <w:r>
        <w:rPr>
          <w:lang w:val="zh-CN" w:eastAsia="zh-CN"/>
        </w:rPr>
        <w:t>的</w:t>
      </w:r>
      <w:r>
        <w:rPr>
          <w:rFonts w:hint="eastAsia"/>
          <w:lang w:val="zh-CN" w:eastAsia="zh-CN"/>
        </w:rPr>
        <w:t>参引</w:t>
      </w:r>
      <w:r>
        <w:rPr>
          <w:lang w:val="zh-CN" w:eastAsia="zh-CN"/>
        </w:rPr>
        <w:t>持</w:t>
      </w:r>
      <w:proofErr w:type="gramEnd"/>
      <w:r>
        <w:rPr>
          <w:lang w:val="zh-CN" w:eastAsia="zh-CN"/>
        </w:rPr>
        <w:t>保留意见。</w:t>
      </w:r>
    </w:p>
    <w:p w14:paraId="798F1BDE" w14:textId="77777777" w:rsidR="00A85B60" w:rsidRPr="00013F7D" w:rsidRDefault="00A85B60" w:rsidP="00A066BA">
      <w:pPr>
        <w:jc w:val="both"/>
        <w:rPr>
          <w:lang w:eastAsia="zh-CN"/>
        </w:rPr>
      </w:pPr>
      <w:r>
        <w:rPr>
          <w:lang w:val="zh-CN" w:eastAsia="zh-CN"/>
        </w:rPr>
        <w:lastRenderedPageBreak/>
        <w:t>6.4</w:t>
      </w:r>
      <w:r>
        <w:rPr>
          <w:lang w:val="zh-CN" w:eastAsia="zh-CN"/>
        </w:rPr>
        <w:tab/>
      </w:r>
      <w:r>
        <w:rPr>
          <w:lang w:val="zh-CN" w:eastAsia="zh-CN"/>
        </w:rPr>
        <w:t>另一位理事说，</w:t>
      </w:r>
      <w:proofErr w:type="gramStart"/>
      <w:r>
        <w:rPr>
          <w:lang w:val="zh-CN" w:eastAsia="zh-CN"/>
        </w:rPr>
        <w:t>所有利益</w:t>
      </w:r>
      <w:proofErr w:type="gramEnd"/>
      <w:r>
        <w:rPr>
          <w:lang w:val="zh-CN" w:eastAsia="zh-CN"/>
        </w:rPr>
        <w:t>攸关方的</w:t>
      </w:r>
      <w:r>
        <w:rPr>
          <w:rFonts w:hint="eastAsia"/>
          <w:lang w:val="zh-CN" w:eastAsia="zh-CN"/>
        </w:rPr>
        <w:t>文稿</w:t>
      </w:r>
      <w:r>
        <w:rPr>
          <w:lang w:val="zh-CN" w:eastAsia="zh-CN"/>
        </w:rPr>
        <w:t>都应为</w:t>
      </w:r>
      <w:r>
        <w:rPr>
          <w:lang w:val="zh-CN" w:eastAsia="zh-CN"/>
        </w:rPr>
        <w:t>WSIS+20</w:t>
      </w:r>
      <w:r>
        <w:rPr>
          <w:lang w:val="zh-CN" w:eastAsia="zh-CN"/>
        </w:rPr>
        <w:t>审查进程提供信息。</w:t>
      </w:r>
      <w:r>
        <w:rPr>
          <w:lang w:val="zh-CN" w:eastAsia="zh-CN"/>
        </w:rPr>
        <w:t>WSIS</w:t>
      </w:r>
      <w:r>
        <w:rPr>
          <w:lang w:val="zh-CN" w:eastAsia="zh-CN"/>
        </w:rPr>
        <w:t>拥有独特的职责和程序，应有别于其它机制。旨在保持技术中立的</w:t>
      </w:r>
      <w:r>
        <w:rPr>
          <w:lang w:val="zh-CN" w:eastAsia="zh-CN"/>
        </w:rPr>
        <w:t>WSIS</w:t>
      </w:r>
      <w:r>
        <w:rPr>
          <w:lang w:val="zh-CN" w:eastAsia="zh-CN"/>
        </w:rPr>
        <w:t>行动方面在新技术和新兴技术面前依然有效，不应重新</w:t>
      </w:r>
      <w:r>
        <w:rPr>
          <w:rFonts w:hint="eastAsia"/>
          <w:lang w:val="zh-CN" w:eastAsia="zh-CN"/>
        </w:rPr>
        <w:t>讨论</w:t>
      </w:r>
      <w:r>
        <w:rPr>
          <w:lang w:val="zh-CN" w:eastAsia="zh-CN"/>
        </w:rPr>
        <w:t>。他的国家支持将互联网</w:t>
      </w:r>
      <w:r>
        <w:rPr>
          <w:rFonts w:hint="eastAsia"/>
          <w:lang w:val="zh-CN" w:eastAsia="zh-CN"/>
        </w:rPr>
        <w:t>治理</w:t>
      </w:r>
      <w:r>
        <w:rPr>
          <w:lang w:val="zh-CN" w:eastAsia="zh-CN"/>
        </w:rPr>
        <w:t>论坛的职责永久化，并实施得到广泛支持的圣保罗利益攸关多方导则。</w:t>
      </w:r>
    </w:p>
    <w:p w14:paraId="022D0924" w14:textId="77777777" w:rsidR="00A85B60" w:rsidRPr="00013F7D" w:rsidRDefault="00A85B60" w:rsidP="00A066BA">
      <w:pPr>
        <w:jc w:val="both"/>
        <w:rPr>
          <w:lang w:eastAsia="zh-CN"/>
        </w:rPr>
      </w:pPr>
      <w:r>
        <w:rPr>
          <w:lang w:val="zh-CN" w:eastAsia="zh-CN"/>
        </w:rPr>
        <w:t>6.5</w:t>
      </w:r>
      <w:r>
        <w:rPr>
          <w:lang w:val="zh-CN" w:eastAsia="zh-CN"/>
        </w:rPr>
        <w:tab/>
      </w:r>
      <w:r>
        <w:rPr>
          <w:lang w:val="zh-CN" w:eastAsia="zh-CN"/>
        </w:rPr>
        <w:t>一位理事呼吁，通过针对不同区域的具体需求</w:t>
      </w:r>
      <w:r>
        <w:rPr>
          <w:rFonts w:hint="eastAsia"/>
          <w:lang w:val="zh-CN" w:eastAsia="zh-CN"/>
        </w:rPr>
        <w:t>而</w:t>
      </w:r>
      <w:r w:rsidRPr="00F43091">
        <w:rPr>
          <w:rFonts w:hint="eastAsia"/>
          <w:lang w:val="zh-CN" w:eastAsia="zh-CN"/>
        </w:rPr>
        <w:t>制定的定制化举措</w:t>
      </w:r>
      <w:r>
        <w:rPr>
          <w:lang w:val="zh-CN" w:eastAsia="zh-CN"/>
        </w:rPr>
        <w:t>，加强各区域对</w:t>
      </w:r>
      <w:r>
        <w:rPr>
          <w:lang w:val="zh-CN" w:eastAsia="zh-CN"/>
        </w:rPr>
        <w:t>WSIS</w:t>
      </w:r>
      <w:r>
        <w:rPr>
          <w:lang w:val="zh-CN" w:eastAsia="zh-CN"/>
        </w:rPr>
        <w:t>行动方面的落实，支持数字化转型和可持续发展。</w:t>
      </w:r>
    </w:p>
    <w:p w14:paraId="14C4565D" w14:textId="77777777" w:rsidR="00A85B60" w:rsidRPr="00013F7D" w:rsidRDefault="00A85B60" w:rsidP="00A066BA">
      <w:pPr>
        <w:jc w:val="both"/>
        <w:rPr>
          <w:lang w:eastAsia="zh-CN"/>
        </w:rPr>
      </w:pPr>
      <w:r>
        <w:rPr>
          <w:lang w:val="zh-CN" w:eastAsia="zh-CN"/>
        </w:rPr>
        <w:t>6.6</w:t>
      </w:r>
      <w:r>
        <w:rPr>
          <w:lang w:val="zh-CN" w:eastAsia="zh-CN"/>
        </w:rPr>
        <w:tab/>
      </w:r>
      <w:r>
        <w:rPr>
          <w:lang w:val="zh-CN" w:eastAsia="zh-CN"/>
        </w:rPr>
        <w:t>理事会将</w:t>
      </w:r>
      <w:r>
        <w:rPr>
          <w:lang w:val="zh-CN" w:eastAsia="zh-CN"/>
        </w:rPr>
        <w:t>C25/8</w:t>
      </w:r>
      <w:r>
        <w:rPr>
          <w:lang w:val="zh-CN" w:eastAsia="zh-CN"/>
        </w:rPr>
        <w:t>号文件包含的报告</w:t>
      </w:r>
      <w:r w:rsidRPr="00DB628D">
        <w:rPr>
          <w:b/>
          <w:bCs/>
          <w:lang w:val="zh-CN" w:eastAsia="zh-CN"/>
        </w:rPr>
        <w:t>记录在案</w:t>
      </w:r>
      <w:r>
        <w:rPr>
          <w:lang w:val="zh-CN" w:eastAsia="zh-CN"/>
        </w:rPr>
        <w:t>。</w:t>
      </w:r>
    </w:p>
    <w:p w14:paraId="4B31EEAD" w14:textId="77777777" w:rsidR="00A85B60" w:rsidRPr="00013F7D" w:rsidRDefault="00A85B60" w:rsidP="00A85B60">
      <w:pPr>
        <w:pStyle w:val="Heading1"/>
        <w:rPr>
          <w:lang w:eastAsia="zh-CN"/>
        </w:rPr>
      </w:pPr>
      <w:r>
        <w:rPr>
          <w:bCs/>
          <w:lang w:val="zh-CN" w:eastAsia="zh-CN"/>
        </w:rPr>
        <w:t>7</w:t>
      </w:r>
      <w:r>
        <w:rPr>
          <w:bCs/>
          <w:lang w:val="zh-CN" w:eastAsia="zh-CN"/>
        </w:rPr>
        <w:tab/>
      </w:r>
      <w:r>
        <w:rPr>
          <w:lang w:val="zh-CN" w:eastAsia="zh-CN"/>
        </w:rPr>
        <w:t>关于国际电联对</w:t>
      </w:r>
      <w:r>
        <w:rPr>
          <w:lang w:val="zh-CN" w:eastAsia="zh-CN"/>
        </w:rPr>
        <w:t>WSIS</w:t>
      </w:r>
      <w:r>
        <w:rPr>
          <w:lang w:val="zh-CN" w:eastAsia="zh-CN"/>
        </w:rPr>
        <w:t>成果落实和后续行动的贡献及其在实现可持续发展目标中的作用的</w:t>
      </w:r>
      <w:r>
        <w:rPr>
          <w:lang w:val="zh-CN" w:eastAsia="zh-CN"/>
        </w:rPr>
        <w:t>WSIS+20</w:t>
      </w:r>
      <w:r>
        <w:rPr>
          <w:lang w:val="zh-CN" w:eastAsia="zh-CN"/>
        </w:rPr>
        <w:t>报告（</w:t>
      </w:r>
      <w:hyperlink r:id="rId20" w:history="1">
        <w:r w:rsidRPr="00013F7D">
          <w:rPr>
            <w:rStyle w:val="Hyperlink"/>
            <w:rFonts w:eastAsia="SimSun"/>
            <w:lang w:eastAsia="zh-CN"/>
          </w:rPr>
          <w:t>C25/61</w:t>
        </w:r>
      </w:hyperlink>
      <w:r>
        <w:rPr>
          <w:rFonts w:hint="eastAsia"/>
          <w:lang w:eastAsia="zh-CN"/>
        </w:rPr>
        <w:t>、</w:t>
      </w:r>
      <w:r>
        <w:fldChar w:fldCharType="begin"/>
      </w:r>
      <w:r>
        <w:rPr>
          <w:lang w:eastAsia="zh-CN"/>
        </w:rPr>
        <w:instrText>HYPERLINK "https://www.itu.int/md/S25-CL-C-0080/en"</w:instrText>
      </w:r>
      <w:r>
        <w:fldChar w:fldCharType="separate"/>
      </w:r>
      <w:r w:rsidRPr="00013F7D">
        <w:rPr>
          <w:rStyle w:val="Hyperlink"/>
          <w:rFonts w:eastAsia="SimSun"/>
          <w:lang w:eastAsia="zh-CN"/>
        </w:rPr>
        <w:t>C25/80</w:t>
      </w:r>
      <w:r>
        <w:fldChar w:fldCharType="end"/>
      </w:r>
      <w:r>
        <w:rPr>
          <w:lang w:val="zh-CN" w:eastAsia="zh-CN"/>
        </w:rPr>
        <w:t>号文件）</w:t>
      </w:r>
      <w:hyperlink r:id="rId21" w:history="1"/>
      <w:hyperlink r:id="rId22" w:history="1"/>
    </w:p>
    <w:p w14:paraId="559E38DD" w14:textId="77777777" w:rsidR="00A85B60" w:rsidRPr="00013F7D" w:rsidRDefault="00A85B60" w:rsidP="00A066BA">
      <w:pPr>
        <w:jc w:val="both"/>
        <w:rPr>
          <w:lang w:eastAsia="zh-CN"/>
        </w:rPr>
      </w:pPr>
      <w:r>
        <w:rPr>
          <w:lang w:val="zh-CN" w:eastAsia="zh-CN"/>
        </w:rPr>
        <w:t>7.1</w:t>
      </w:r>
      <w:r>
        <w:rPr>
          <w:lang w:val="zh-CN" w:eastAsia="zh-CN"/>
        </w:rPr>
        <w:tab/>
      </w:r>
      <w:r>
        <w:rPr>
          <w:lang w:val="zh-CN" w:eastAsia="zh-CN"/>
        </w:rPr>
        <w:t>战略规划和成员部主任介绍了</w:t>
      </w:r>
      <w:r>
        <w:rPr>
          <w:lang w:val="zh-CN" w:eastAsia="zh-CN"/>
        </w:rPr>
        <w:t>C25/61</w:t>
      </w:r>
      <w:r>
        <w:rPr>
          <w:lang w:val="zh-CN" w:eastAsia="zh-CN"/>
        </w:rPr>
        <w:t>号文件中的报告，该报告纳入了理事会</w:t>
      </w:r>
      <w:r>
        <w:rPr>
          <w:lang w:val="zh-CN" w:eastAsia="zh-CN"/>
        </w:rPr>
        <w:t>2024</w:t>
      </w:r>
      <w:r>
        <w:rPr>
          <w:lang w:val="zh-CN" w:eastAsia="zh-CN"/>
        </w:rPr>
        <w:t>年会议和</w:t>
      </w:r>
      <w:r>
        <w:rPr>
          <w:lang w:val="zh-CN" w:eastAsia="zh-CN"/>
        </w:rPr>
        <w:t>CWG-WSIS&amp;SDG</w:t>
      </w:r>
      <w:r>
        <w:rPr>
          <w:lang w:val="zh-CN" w:eastAsia="zh-CN"/>
        </w:rPr>
        <w:t>的指导意见和输入意见。将于</w:t>
      </w:r>
      <w:r>
        <w:rPr>
          <w:lang w:val="zh-CN" w:eastAsia="zh-CN"/>
        </w:rPr>
        <w:t>2025</w:t>
      </w:r>
      <w:r>
        <w:rPr>
          <w:lang w:val="zh-CN" w:eastAsia="zh-CN"/>
        </w:rPr>
        <w:t>年</w:t>
      </w:r>
      <w:r>
        <w:rPr>
          <w:lang w:val="zh-CN" w:eastAsia="zh-CN"/>
        </w:rPr>
        <w:t>7</w:t>
      </w:r>
      <w:r>
        <w:rPr>
          <w:lang w:val="zh-CN" w:eastAsia="zh-CN"/>
        </w:rPr>
        <w:t>月举行的</w:t>
      </w:r>
      <w:r>
        <w:rPr>
          <w:lang w:val="zh-CN" w:eastAsia="zh-CN"/>
        </w:rPr>
        <w:t>WSIS+20</w:t>
      </w:r>
      <w:r>
        <w:rPr>
          <w:lang w:val="zh-CN" w:eastAsia="zh-CN"/>
        </w:rPr>
        <w:t>高级别活动的成果以及国际电联就</w:t>
      </w:r>
      <w:r>
        <w:rPr>
          <w:lang w:val="zh-CN" w:eastAsia="zh-CN"/>
        </w:rPr>
        <w:t>WSIS+20</w:t>
      </w:r>
      <w:r>
        <w:rPr>
          <w:lang w:val="zh-CN" w:eastAsia="zh-CN"/>
        </w:rPr>
        <w:t>审查征求意见的提交资料摘要可纳入报告。联合国大会于</w:t>
      </w:r>
      <w:r>
        <w:rPr>
          <w:lang w:val="zh-CN" w:eastAsia="zh-CN"/>
        </w:rPr>
        <w:t>2025</w:t>
      </w:r>
      <w:r>
        <w:rPr>
          <w:lang w:val="zh-CN" w:eastAsia="zh-CN"/>
        </w:rPr>
        <w:t>年</w:t>
      </w:r>
      <w:r>
        <w:rPr>
          <w:lang w:val="zh-CN" w:eastAsia="zh-CN"/>
        </w:rPr>
        <w:t>12</w:t>
      </w:r>
      <w:r>
        <w:rPr>
          <w:lang w:val="zh-CN" w:eastAsia="zh-CN"/>
        </w:rPr>
        <w:t>月进行的</w:t>
      </w:r>
      <w:r>
        <w:rPr>
          <w:lang w:val="zh-CN" w:eastAsia="zh-CN"/>
        </w:rPr>
        <w:t>WSIS+20</w:t>
      </w:r>
      <w:r>
        <w:rPr>
          <w:lang w:val="zh-CN" w:eastAsia="zh-CN"/>
        </w:rPr>
        <w:t>审查将为评估进展、确定挑战和加强合作提供机会。</w:t>
      </w:r>
    </w:p>
    <w:p w14:paraId="31F86435" w14:textId="77777777" w:rsidR="00A85B60" w:rsidRPr="00013F7D" w:rsidRDefault="00A85B60" w:rsidP="00A066BA">
      <w:pPr>
        <w:jc w:val="both"/>
        <w:rPr>
          <w:lang w:eastAsia="zh-CN"/>
        </w:rPr>
      </w:pPr>
      <w:r>
        <w:rPr>
          <w:lang w:val="zh-CN" w:eastAsia="zh-CN"/>
        </w:rPr>
        <w:t>7.2</w:t>
      </w:r>
      <w:r>
        <w:rPr>
          <w:lang w:val="zh-CN" w:eastAsia="zh-CN"/>
        </w:rPr>
        <w:tab/>
      </w:r>
      <w:r>
        <w:rPr>
          <w:lang w:val="zh-CN" w:eastAsia="zh-CN"/>
        </w:rPr>
        <w:t>俄罗斯联邦观察员介绍了</w:t>
      </w:r>
      <w:r>
        <w:rPr>
          <w:lang w:val="zh-CN" w:eastAsia="zh-CN"/>
        </w:rPr>
        <w:t>C25/80</w:t>
      </w:r>
      <w:r>
        <w:rPr>
          <w:lang w:val="zh-CN" w:eastAsia="zh-CN"/>
        </w:rPr>
        <w:t>号文件，并请理事们审议其中所载的关于</w:t>
      </w:r>
      <w:r>
        <w:rPr>
          <w:lang w:val="zh-CN" w:eastAsia="zh-CN"/>
        </w:rPr>
        <w:t>2025</w:t>
      </w:r>
      <w:r>
        <w:rPr>
          <w:lang w:val="zh-CN" w:eastAsia="zh-CN"/>
        </w:rPr>
        <w:t>年后</w:t>
      </w:r>
      <w:r>
        <w:rPr>
          <w:lang w:val="zh-CN" w:eastAsia="zh-CN"/>
        </w:rPr>
        <w:t>WSIS</w:t>
      </w:r>
      <w:r>
        <w:rPr>
          <w:lang w:val="zh-CN" w:eastAsia="zh-CN"/>
        </w:rPr>
        <w:t>进程的提案。</w:t>
      </w:r>
    </w:p>
    <w:p w14:paraId="21290AA4" w14:textId="77777777" w:rsidR="00A85B60" w:rsidRPr="00013F7D" w:rsidRDefault="00A85B60" w:rsidP="00A066BA">
      <w:pPr>
        <w:jc w:val="both"/>
        <w:rPr>
          <w:lang w:eastAsia="zh-CN"/>
        </w:rPr>
      </w:pPr>
      <w:r>
        <w:rPr>
          <w:lang w:val="zh-CN" w:eastAsia="zh-CN"/>
        </w:rPr>
        <w:t>7.3</w:t>
      </w:r>
      <w:r>
        <w:rPr>
          <w:lang w:val="zh-CN" w:eastAsia="zh-CN"/>
        </w:rPr>
        <w:tab/>
      </w:r>
      <w:r>
        <w:rPr>
          <w:lang w:val="zh-CN" w:eastAsia="zh-CN"/>
        </w:rPr>
        <w:t>许多理事对报告表示欢迎，并表示支持</w:t>
      </w:r>
      <w:r>
        <w:rPr>
          <w:lang w:val="zh-CN" w:eastAsia="zh-CN"/>
        </w:rPr>
        <w:t>WSIS</w:t>
      </w:r>
      <w:r>
        <w:rPr>
          <w:lang w:val="zh-CN" w:eastAsia="zh-CN"/>
        </w:rPr>
        <w:t>进程和国际电联为实现可持续发展目标做出贡献。他们期待着将于</w:t>
      </w:r>
      <w:r>
        <w:rPr>
          <w:lang w:val="zh-CN" w:eastAsia="zh-CN"/>
        </w:rPr>
        <w:t>2025</w:t>
      </w:r>
      <w:r>
        <w:rPr>
          <w:lang w:val="zh-CN" w:eastAsia="zh-CN"/>
        </w:rPr>
        <w:t>年</w:t>
      </w:r>
      <w:r>
        <w:rPr>
          <w:lang w:val="zh-CN" w:eastAsia="zh-CN"/>
        </w:rPr>
        <w:t>7</w:t>
      </w:r>
      <w:r>
        <w:rPr>
          <w:lang w:val="zh-CN" w:eastAsia="zh-CN"/>
        </w:rPr>
        <w:t>月举行的</w:t>
      </w:r>
      <w:r>
        <w:rPr>
          <w:lang w:val="zh-CN" w:eastAsia="zh-CN"/>
        </w:rPr>
        <w:t>WSIS+20</w:t>
      </w:r>
      <w:r>
        <w:rPr>
          <w:lang w:val="zh-CN" w:eastAsia="zh-CN"/>
        </w:rPr>
        <w:t>高级别活动，并鼓励</w:t>
      </w:r>
      <w:proofErr w:type="gramStart"/>
      <w:r>
        <w:rPr>
          <w:lang w:val="zh-CN" w:eastAsia="zh-CN"/>
        </w:rPr>
        <w:t>所有利益</w:t>
      </w:r>
      <w:proofErr w:type="gramEnd"/>
      <w:r>
        <w:rPr>
          <w:lang w:val="zh-CN" w:eastAsia="zh-CN"/>
        </w:rPr>
        <w:t>攸关方参与。</w:t>
      </w:r>
      <w:r>
        <w:rPr>
          <w:lang w:val="zh-CN" w:eastAsia="zh-CN"/>
        </w:rPr>
        <w:t>WSIS</w:t>
      </w:r>
      <w:r>
        <w:rPr>
          <w:lang w:val="zh-CN" w:eastAsia="zh-CN"/>
        </w:rPr>
        <w:t>行动方面为数字治理的讨论提供了强有力的框架，在</w:t>
      </w:r>
      <w:r>
        <w:rPr>
          <w:lang w:val="zh-CN" w:eastAsia="zh-CN"/>
        </w:rPr>
        <w:t>WSIS</w:t>
      </w:r>
      <w:r>
        <w:rPr>
          <w:lang w:val="zh-CN" w:eastAsia="zh-CN"/>
        </w:rPr>
        <w:t>下成功建立的利益攸关多方机制应得到加强。一位理事强调了该框架对发展中国家和全球南方国家的重要性，特别是在促进获得新兴技术方面的重要性。另一位理事呼吁</w:t>
      </w:r>
      <w:r>
        <w:rPr>
          <w:lang w:val="zh-CN" w:eastAsia="zh-CN"/>
        </w:rPr>
        <w:t>WSIS+20</w:t>
      </w:r>
      <w:r>
        <w:rPr>
          <w:lang w:val="zh-CN" w:eastAsia="zh-CN"/>
        </w:rPr>
        <w:t>审查进程重点关注尚未完成的</w:t>
      </w:r>
      <w:r>
        <w:rPr>
          <w:lang w:val="zh-CN" w:eastAsia="zh-CN"/>
        </w:rPr>
        <w:t>WSIS</w:t>
      </w:r>
      <w:r>
        <w:rPr>
          <w:lang w:val="zh-CN" w:eastAsia="zh-CN"/>
        </w:rPr>
        <w:t>交付成果，而另外两位理事则强调需要避免</w:t>
      </w:r>
      <w:r>
        <w:rPr>
          <w:lang w:val="zh-CN" w:eastAsia="zh-CN"/>
        </w:rPr>
        <w:t>WSIS</w:t>
      </w:r>
      <w:r>
        <w:rPr>
          <w:lang w:val="zh-CN" w:eastAsia="zh-CN"/>
        </w:rPr>
        <w:t>进程的重复，特别是在与</w:t>
      </w:r>
      <w:r>
        <w:rPr>
          <w:lang w:val="zh-CN" w:eastAsia="zh-CN"/>
        </w:rPr>
        <w:t>GDC</w:t>
      </w:r>
      <w:r>
        <w:rPr>
          <w:lang w:val="zh-CN" w:eastAsia="zh-CN"/>
        </w:rPr>
        <w:t>有关的进程中，同时确保互补性。</w:t>
      </w:r>
    </w:p>
    <w:p w14:paraId="3E89F0B2" w14:textId="1318D2AC" w:rsidR="00A85B60" w:rsidRPr="00013F7D" w:rsidRDefault="00A85B60" w:rsidP="00A066BA">
      <w:pPr>
        <w:jc w:val="both"/>
        <w:rPr>
          <w:lang w:eastAsia="zh-CN"/>
        </w:rPr>
      </w:pPr>
      <w:r>
        <w:rPr>
          <w:lang w:val="zh-CN" w:eastAsia="zh-CN"/>
        </w:rPr>
        <w:t>7.4</w:t>
      </w:r>
      <w:r>
        <w:rPr>
          <w:lang w:val="zh-CN" w:eastAsia="zh-CN"/>
        </w:rPr>
        <w:tab/>
      </w:r>
      <w:r>
        <w:rPr>
          <w:lang w:val="zh-CN" w:eastAsia="zh-CN"/>
        </w:rPr>
        <w:t>几位理事表示支持</w:t>
      </w:r>
      <w:r>
        <w:rPr>
          <w:lang w:val="zh-CN" w:eastAsia="zh-CN"/>
        </w:rPr>
        <w:t>C25/80</w:t>
      </w:r>
      <w:r>
        <w:rPr>
          <w:lang w:val="zh-CN" w:eastAsia="zh-CN"/>
        </w:rPr>
        <w:t>号文件所载的关于</w:t>
      </w:r>
      <w:r>
        <w:rPr>
          <w:lang w:val="zh-CN" w:eastAsia="zh-CN"/>
        </w:rPr>
        <w:t>2025</w:t>
      </w:r>
      <w:r>
        <w:rPr>
          <w:lang w:val="zh-CN" w:eastAsia="zh-CN"/>
        </w:rPr>
        <w:t>年后</w:t>
      </w:r>
      <w:r>
        <w:rPr>
          <w:lang w:val="zh-CN" w:eastAsia="zh-CN"/>
        </w:rPr>
        <w:t>WSIS</w:t>
      </w:r>
      <w:r>
        <w:rPr>
          <w:lang w:val="zh-CN" w:eastAsia="zh-CN"/>
        </w:rPr>
        <w:t>进程的提案</w:t>
      </w:r>
      <w:r>
        <w:rPr>
          <w:rFonts w:hint="eastAsia"/>
          <w:lang w:val="zh-CN" w:eastAsia="zh-CN"/>
        </w:rPr>
        <w:t>；</w:t>
      </w:r>
      <w:r>
        <w:rPr>
          <w:lang w:val="zh-CN" w:eastAsia="zh-CN"/>
        </w:rPr>
        <w:t>然而，一些理事虽然赞成继续这一进程，但表示理事会应等待定于</w:t>
      </w:r>
      <w:r>
        <w:rPr>
          <w:lang w:val="zh-CN" w:eastAsia="zh-CN"/>
        </w:rPr>
        <w:t>2025</w:t>
      </w:r>
      <w:r>
        <w:rPr>
          <w:lang w:val="zh-CN" w:eastAsia="zh-CN"/>
        </w:rPr>
        <w:t>年</w:t>
      </w:r>
      <w:r>
        <w:rPr>
          <w:lang w:val="zh-CN" w:eastAsia="zh-CN"/>
        </w:rPr>
        <w:t>12</w:t>
      </w:r>
      <w:r>
        <w:rPr>
          <w:lang w:val="zh-CN" w:eastAsia="zh-CN"/>
        </w:rPr>
        <w:t>月</w:t>
      </w:r>
      <w:r>
        <w:rPr>
          <w:lang w:val="zh-CN" w:eastAsia="zh-CN"/>
        </w:rPr>
        <w:t>16</w:t>
      </w:r>
      <w:r w:rsidR="008547DE">
        <w:rPr>
          <w:rFonts w:hint="eastAsia"/>
          <w:lang w:val="zh-CN" w:eastAsia="zh-CN"/>
        </w:rPr>
        <w:t>-</w:t>
      </w:r>
      <w:r>
        <w:rPr>
          <w:lang w:val="zh-CN" w:eastAsia="zh-CN"/>
        </w:rPr>
        <w:t>17</w:t>
      </w:r>
      <w:r>
        <w:rPr>
          <w:lang w:val="zh-CN" w:eastAsia="zh-CN"/>
        </w:rPr>
        <w:t>日举行的联合国大会</w:t>
      </w:r>
      <w:r>
        <w:rPr>
          <w:lang w:val="zh-CN" w:eastAsia="zh-CN"/>
        </w:rPr>
        <w:t>WSIS+20</w:t>
      </w:r>
      <w:r>
        <w:rPr>
          <w:lang w:val="zh-CN" w:eastAsia="zh-CN"/>
        </w:rPr>
        <w:t>审查高级别会议的结果，然后再做出决定。</w:t>
      </w:r>
    </w:p>
    <w:p w14:paraId="4CE3C291" w14:textId="77777777" w:rsidR="00A85B60" w:rsidRPr="00013F7D" w:rsidRDefault="00A85B60" w:rsidP="00A066BA">
      <w:pPr>
        <w:jc w:val="both"/>
        <w:rPr>
          <w:lang w:eastAsia="zh-CN"/>
        </w:rPr>
      </w:pPr>
      <w:r>
        <w:rPr>
          <w:lang w:val="zh-CN" w:eastAsia="zh-CN"/>
        </w:rPr>
        <w:t>7.5</w:t>
      </w:r>
      <w:r>
        <w:rPr>
          <w:lang w:val="zh-CN" w:eastAsia="zh-CN"/>
        </w:rPr>
        <w:tab/>
      </w:r>
      <w:r>
        <w:rPr>
          <w:lang w:val="zh-CN" w:eastAsia="zh-CN"/>
        </w:rPr>
        <w:t>理事会将</w:t>
      </w:r>
      <w:r>
        <w:rPr>
          <w:lang w:val="zh-CN" w:eastAsia="zh-CN"/>
        </w:rPr>
        <w:t>C25/61</w:t>
      </w:r>
      <w:r>
        <w:rPr>
          <w:lang w:val="zh-CN" w:eastAsia="zh-CN"/>
        </w:rPr>
        <w:t>号文件中的报告</w:t>
      </w:r>
      <w:r w:rsidRPr="006C4BA4">
        <w:rPr>
          <w:b/>
          <w:bCs/>
          <w:lang w:val="zh-CN" w:eastAsia="zh-CN"/>
        </w:rPr>
        <w:t>记录在案</w:t>
      </w:r>
      <w:r>
        <w:rPr>
          <w:lang w:val="zh-CN" w:eastAsia="zh-CN"/>
        </w:rPr>
        <w:t>，并</w:t>
      </w:r>
      <w:r w:rsidRPr="006C4BA4">
        <w:rPr>
          <w:b/>
          <w:bCs/>
          <w:lang w:val="zh-CN" w:eastAsia="zh-CN"/>
        </w:rPr>
        <w:t>同意</w:t>
      </w:r>
      <w:r>
        <w:rPr>
          <w:lang w:val="zh-CN" w:eastAsia="zh-CN"/>
        </w:rPr>
        <w:t>将</w:t>
      </w:r>
      <w:r>
        <w:rPr>
          <w:lang w:val="zh-CN" w:eastAsia="zh-CN"/>
        </w:rPr>
        <w:t>C25/80</w:t>
      </w:r>
      <w:r>
        <w:rPr>
          <w:lang w:val="zh-CN" w:eastAsia="zh-CN"/>
        </w:rPr>
        <w:t>号文件中所载提案的审议推迟到联合国大会</w:t>
      </w:r>
      <w:r>
        <w:rPr>
          <w:lang w:val="zh-CN" w:eastAsia="zh-CN"/>
        </w:rPr>
        <w:t>WSIS+20</w:t>
      </w:r>
      <w:r>
        <w:rPr>
          <w:lang w:val="zh-CN" w:eastAsia="zh-CN"/>
        </w:rPr>
        <w:t>审查高级别会议之后。</w:t>
      </w:r>
    </w:p>
    <w:p w14:paraId="58AC0FB6" w14:textId="77777777" w:rsidR="00A85B60" w:rsidRPr="00013F7D" w:rsidRDefault="00A85B60" w:rsidP="00A85B60">
      <w:pPr>
        <w:pStyle w:val="Heading1"/>
      </w:pPr>
      <w:r w:rsidRPr="00B845A4">
        <w:rPr>
          <w:bCs/>
        </w:rPr>
        <w:t>8</w:t>
      </w:r>
      <w:r w:rsidRPr="00B845A4">
        <w:rPr>
          <w:bCs/>
        </w:rPr>
        <w:tab/>
      </w:r>
      <w:r w:rsidRPr="006C4BA4">
        <w:rPr>
          <w:rFonts w:hint="eastAsia"/>
          <w:bCs/>
          <w:lang w:val="zh-CN"/>
        </w:rPr>
        <w:t>对</w:t>
      </w:r>
      <w:r w:rsidRPr="00B845A4">
        <w:rPr>
          <w:rFonts w:hint="eastAsia"/>
          <w:bCs/>
        </w:rPr>
        <w:t>Nigel Hickson</w:t>
      </w:r>
      <w:proofErr w:type="spellStart"/>
      <w:r w:rsidRPr="006C4BA4">
        <w:rPr>
          <w:rFonts w:hint="eastAsia"/>
          <w:bCs/>
          <w:lang w:val="zh-CN"/>
        </w:rPr>
        <w:t>去世表示哀悼</w:t>
      </w:r>
      <w:proofErr w:type="spellEnd"/>
    </w:p>
    <w:p w14:paraId="5BE3AD8E" w14:textId="77777777" w:rsidR="00A85B60" w:rsidRPr="00013F7D" w:rsidRDefault="00A85B60" w:rsidP="00A066BA">
      <w:pPr>
        <w:jc w:val="both"/>
      </w:pPr>
      <w:r w:rsidRPr="00BC0E8B">
        <w:t>8.1</w:t>
      </w:r>
      <w:r w:rsidRPr="00BC0E8B">
        <w:tab/>
        <w:t>CWG-Internet</w:t>
      </w:r>
      <w:proofErr w:type="spellStart"/>
      <w:r>
        <w:rPr>
          <w:lang w:val="zh-CN"/>
        </w:rPr>
        <w:t>主席表示</w:t>
      </w:r>
      <w:r w:rsidRPr="00BC0E8B">
        <w:t>，</w:t>
      </w:r>
      <w:r>
        <w:rPr>
          <w:lang w:val="zh-CN"/>
        </w:rPr>
        <w:t>来自欧洲区域的副主席</w:t>
      </w:r>
      <w:proofErr w:type="spellEnd"/>
      <w:r w:rsidRPr="00BC0E8B">
        <w:t>Nigel Hickson</w:t>
      </w:r>
      <w:proofErr w:type="spellStart"/>
      <w:r>
        <w:rPr>
          <w:lang w:val="zh-CN"/>
        </w:rPr>
        <w:t>先生的离世使工作组遭受了巨大的损失</w:t>
      </w:r>
      <w:proofErr w:type="spellEnd"/>
      <w:r>
        <w:rPr>
          <w:rFonts w:hint="eastAsia"/>
        </w:rPr>
        <w:t>。</w:t>
      </w:r>
      <w:r w:rsidRPr="00BC0E8B">
        <w:t>Nigel Hickson</w:t>
      </w:r>
      <w:proofErr w:type="spellStart"/>
      <w:r>
        <w:rPr>
          <w:lang w:val="zh-CN"/>
        </w:rPr>
        <w:t>先生是一位致力于全球互联网</w:t>
      </w:r>
      <w:r>
        <w:rPr>
          <w:rFonts w:hint="eastAsia"/>
          <w:lang w:val="zh-CN"/>
        </w:rPr>
        <w:t>治理</w:t>
      </w:r>
      <w:r>
        <w:rPr>
          <w:lang w:val="zh-CN"/>
        </w:rPr>
        <w:t>的专业人士</w:t>
      </w:r>
      <w:r w:rsidRPr="00BC0E8B">
        <w:t>，</w:t>
      </w:r>
      <w:r>
        <w:rPr>
          <w:lang w:val="zh-CN"/>
        </w:rPr>
        <w:t>我们将</w:t>
      </w:r>
      <w:r>
        <w:rPr>
          <w:rFonts w:hint="eastAsia"/>
          <w:lang w:val="zh-CN"/>
        </w:rPr>
        <w:t>深切缅怀</w:t>
      </w:r>
      <w:r>
        <w:rPr>
          <w:lang w:val="zh-CN"/>
        </w:rPr>
        <w:t>他在互联网界的</w:t>
      </w:r>
      <w:r>
        <w:rPr>
          <w:rFonts w:hint="eastAsia"/>
          <w:lang w:val="zh-CN"/>
        </w:rPr>
        <w:t>影响</w:t>
      </w:r>
      <w:r>
        <w:rPr>
          <w:lang w:val="zh-CN"/>
        </w:rPr>
        <w:t>和声音</w:t>
      </w:r>
      <w:proofErr w:type="spellEnd"/>
      <w:r>
        <w:rPr>
          <w:lang w:val="zh-CN"/>
        </w:rPr>
        <w:t>。</w:t>
      </w:r>
    </w:p>
    <w:p w14:paraId="488604C4" w14:textId="77777777" w:rsidR="00A85B60" w:rsidRPr="00013F7D" w:rsidRDefault="00A85B60" w:rsidP="00A066BA">
      <w:pPr>
        <w:jc w:val="both"/>
        <w:rPr>
          <w:lang w:eastAsia="zh-CN"/>
        </w:rPr>
      </w:pPr>
      <w:r w:rsidRPr="00A85B60">
        <w:rPr>
          <w:lang w:eastAsia="zh-CN"/>
        </w:rPr>
        <w:t>8.2</w:t>
      </w:r>
      <w:r w:rsidRPr="00A85B60">
        <w:rPr>
          <w:lang w:eastAsia="zh-CN"/>
        </w:rPr>
        <w:tab/>
      </w:r>
      <w:r w:rsidRPr="006C4BA4">
        <w:rPr>
          <w:rFonts w:hint="eastAsia"/>
          <w:lang w:val="zh-CN" w:eastAsia="zh-CN"/>
        </w:rPr>
        <w:t>理事会主席与多位理事及一名观察员共同向英国</w:t>
      </w:r>
      <w:r>
        <w:rPr>
          <w:rFonts w:hint="eastAsia"/>
          <w:lang w:val="zh-CN" w:eastAsia="zh-CN"/>
        </w:rPr>
        <w:t>主管部门</w:t>
      </w:r>
      <w:r w:rsidRPr="006C4BA4">
        <w:rPr>
          <w:rFonts w:hint="eastAsia"/>
          <w:lang w:val="zh-CN" w:eastAsia="zh-CN"/>
        </w:rPr>
        <w:t>表示慰问。</w:t>
      </w:r>
    </w:p>
    <w:p w14:paraId="5871A76C" w14:textId="77777777" w:rsidR="00A85B60" w:rsidRPr="00013F7D" w:rsidRDefault="00A85B60" w:rsidP="00A066BA">
      <w:pPr>
        <w:jc w:val="both"/>
        <w:rPr>
          <w:lang w:eastAsia="zh-CN"/>
        </w:rPr>
      </w:pPr>
      <w:r>
        <w:rPr>
          <w:lang w:val="zh-CN" w:eastAsia="zh-CN"/>
        </w:rPr>
        <w:t>8.3</w:t>
      </w:r>
      <w:r>
        <w:rPr>
          <w:lang w:val="zh-CN" w:eastAsia="zh-CN"/>
        </w:rPr>
        <w:tab/>
      </w:r>
      <w:r w:rsidRPr="006C4BA4">
        <w:rPr>
          <w:rFonts w:hint="eastAsia"/>
          <w:lang w:val="zh-CN" w:eastAsia="zh-CN"/>
        </w:rPr>
        <w:t>秘书长</w:t>
      </w:r>
      <w:r>
        <w:rPr>
          <w:rFonts w:hint="eastAsia"/>
          <w:lang w:val="zh-CN" w:eastAsia="zh-CN"/>
        </w:rPr>
        <w:t>亦</w:t>
      </w:r>
      <w:r w:rsidRPr="006C4BA4">
        <w:rPr>
          <w:rFonts w:hint="eastAsia"/>
          <w:lang w:val="zh-CN" w:eastAsia="zh-CN"/>
        </w:rPr>
        <w:t>向</w:t>
      </w:r>
      <w:r w:rsidRPr="00BC0E8B">
        <w:rPr>
          <w:lang w:eastAsia="zh-CN"/>
        </w:rPr>
        <w:t>Nigel Hickson</w:t>
      </w:r>
      <w:r w:rsidRPr="006C4BA4">
        <w:rPr>
          <w:rFonts w:hint="eastAsia"/>
          <w:lang w:val="zh-CN" w:eastAsia="zh-CN"/>
        </w:rPr>
        <w:t>的家人和朋友表示了深切的慰问。她很荣幸能与他共事多年，</w:t>
      </w:r>
      <w:r>
        <w:rPr>
          <w:rFonts w:hint="eastAsia"/>
          <w:lang w:val="zh-CN" w:eastAsia="zh-CN"/>
        </w:rPr>
        <w:t>相信</w:t>
      </w:r>
      <w:r w:rsidRPr="006C4BA4">
        <w:rPr>
          <w:rFonts w:hint="eastAsia"/>
          <w:lang w:val="zh-CN" w:eastAsia="zh-CN"/>
        </w:rPr>
        <w:t>人们</w:t>
      </w:r>
      <w:r>
        <w:rPr>
          <w:rFonts w:hint="eastAsia"/>
          <w:lang w:val="zh-CN" w:eastAsia="zh-CN"/>
        </w:rPr>
        <w:t>将</w:t>
      </w:r>
      <w:r w:rsidRPr="006C4BA4">
        <w:rPr>
          <w:rFonts w:hint="eastAsia"/>
          <w:lang w:val="zh-CN" w:eastAsia="zh-CN"/>
        </w:rPr>
        <w:t>怀着深深的敬意和感激之情永远铭记</w:t>
      </w:r>
      <w:r>
        <w:rPr>
          <w:rFonts w:hint="eastAsia"/>
          <w:lang w:val="zh-CN" w:eastAsia="zh-CN"/>
        </w:rPr>
        <w:t>于他</w:t>
      </w:r>
      <w:r w:rsidRPr="006C4BA4">
        <w:rPr>
          <w:rFonts w:hint="eastAsia"/>
          <w:lang w:val="zh-CN" w:eastAsia="zh-CN"/>
        </w:rPr>
        <w:t>。</w:t>
      </w:r>
    </w:p>
    <w:p w14:paraId="1B30BA5F" w14:textId="77777777" w:rsidR="00A85B60" w:rsidRPr="00013F7D" w:rsidRDefault="00A85B60" w:rsidP="00A066BA">
      <w:pPr>
        <w:jc w:val="both"/>
        <w:rPr>
          <w:lang w:eastAsia="zh-CN"/>
        </w:rPr>
      </w:pPr>
      <w:r w:rsidRPr="00BC0E8B">
        <w:rPr>
          <w:lang w:eastAsia="zh-CN"/>
        </w:rPr>
        <w:t>8.4</w:t>
      </w:r>
      <w:r w:rsidRPr="00BC0E8B">
        <w:rPr>
          <w:lang w:eastAsia="zh-CN"/>
        </w:rPr>
        <w:tab/>
      </w:r>
      <w:r>
        <w:rPr>
          <w:lang w:val="zh-CN" w:eastAsia="zh-CN"/>
        </w:rPr>
        <w:t>来自英国的理事感谢各位理事对</w:t>
      </w:r>
      <w:r w:rsidRPr="00BC0E8B">
        <w:rPr>
          <w:lang w:eastAsia="zh-CN"/>
        </w:rPr>
        <w:t>Nigel Hickson</w:t>
      </w:r>
      <w:r>
        <w:rPr>
          <w:rFonts w:hint="eastAsia"/>
          <w:lang w:val="zh-CN" w:eastAsia="zh-CN"/>
        </w:rPr>
        <w:t>离世</w:t>
      </w:r>
      <w:r>
        <w:rPr>
          <w:lang w:val="zh-CN" w:eastAsia="zh-CN"/>
        </w:rPr>
        <w:t>的哀悼</w:t>
      </w:r>
      <w:r w:rsidRPr="00BC0E8B">
        <w:rPr>
          <w:lang w:eastAsia="zh-CN"/>
        </w:rPr>
        <w:t>，</w:t>
      </w:r>
      <w:r>
        <w:rPr>
          <w:lang w:val="zh-CN" w:eastAsia="zh-CN"/>
        </w:rPr>
        <w:t>世界各地的同事和朋友都将深切</w:t>
      </w:r>
      <w:r>
        <w:rPr>
          <w:rFonts w:hint="eastAsia"/>
          <w:lang w:val="zh-CN" w:eastAsia="zh-CN"/>
        </w:rPr>
        <w:t>缅怀于</w:t>
      </w:r>
      <w:r>
        <w:rPr>
          <w:lang w:val="zh-CN" w:eastAsia="zh-CN"/>
        </w:rPr>
        <w:t>他。</w:t>
      </w:r>
    </w:p>
    <w:p w14:paraId="376A83B6" w14:textId="77777777" w:rsidR="00A85B60" w:rsidRPr="00013F7D" w:rsidRDefault="00A85B60" w:rsidP="00AC2500">
      <w:pPr>
        <w:pStyle w:val="Heading1"/>
        <w:rPr>
          <w:lang w:eastAsia="zh-CN"/>
        </w:rPr>
      </w:pPr>
      <w:r>
        <w:rPr>
          <w:lang w:val="zh-CN" w:eastAsia="zh-CN"/>
        </w:rPr>
        <w:lastRenderedPageBreak/>
        <w:t>9</w:t>
      </w:r>
      <w:r>
        <w:rPr>
          <w:lang w:val="zh-CN" w:eastAsia="zh-CN"/>
        </w:rPr>
        <w:tab/>
      </w:r>
      <w:r>
        <w:rPr>
          <w:lang w:val="zh-CN" w:eastAsia="zh-CN"/>
        </w:rPr>
        <w:t>理事的</w:t>
      </w:r>
      <w:r>
        <w:rPr>
          <w:rFonts w:hint="eastAsia"/>
          <w:lang w:val="zh-CN" w:eastAsia="zh-CN"/>
        </w:rPr>
        <w:t>声明</w:t>
      </w:r>
    </w:p>
    <w:p w14:paraId="4F82E901" w14:textId="55526E94" w:rsidR="00A85B60" w:rsidRDefault="00A85B60" w:rsidP="00A85B60">
      <w:pPr>
        <w:rPr>
          <w:lang w:val="zh-CN" w:eastAsia="zh-CN"/>
        </w:rPr>
      </w:pPr>
      <w:r>
        <w:rPr>
          <w:lang w:val="zh-CN" w:eastAsia="zh-CN"/>
        </w:rPr>
        <w:t>9.1</w:t>
      </w:r>
      <w:r>
        <w:rPr>
          <w:lang w:val="zh-CN" w:eastAsia="zh-CN"/>
        </w:rPr>
        <w:tab/>
      </w:r>
      <w:r w:rsidRPr="00FD7E3F">
        <w:rPr>
          <w:rFonts w:hint="eastAsia"/>
          <w:lang w:val="zh-CN" w:eastAsia="zh-CN"/>
        </w:rPr>
        <w:t>澳大利亚和巴西的理事宣布</w:t>
      </w:r>
      <w:proofErr w:type="gramStart"/>
      <w:r>
        <w:rPr>
          <w:rFonts w:hint="eastAsia"/>
          <w:lang w:val="zh-CN" w:eastAsia="zh-CN"/>
        </w:rPr>
        <w:t>本</w:t>
      </w:r>
      <w:r w:rsidRPr="00FD7E3F">
        <w:rPr>
          <w:rFonts w:hint="eastAsia"/>
          <w:lang w:val="zh-CN" w:eastAsia="zh-CN"/>
        </w:rPr>
        <w:t>国</w:t>
      </w:r>
      <w:r>
        <w:rPr>
          <w:rFonts w:hint="eastAsia"/>
          <w:lang w:val="zh-CN" w:eastAsia="zh-CN"/>
        </w:rPr>
        <w:t>将</w:t>
      </w:r>
      <w:proofErr w:type="gramEnd"/>
      <w:r w:rsidRPr="00FD7E3F">
        <w:rPr>
          <w:rFonts w:hint="eastAsia"/>
          <w:lang w:val="zh-CN" w:eastAsia="zh-CN"/>
        </w:rPr>
        <w:t>竞选连任理事国。</w:t>
      </w:r>
    </w:p>
    <w:p w14:paraId="6C31A234" w14:textId="05BF4C97" w:rsidR="00A85B60" w:rsidRDefault="00A85B60" w:rsidP="00531795">
      <w:pPr>
        <w:tabs>
          <w:tab w:val="clear" w:pos="794"/>
          <w:tab w:val="clear" w:pos="1191"/>
          <w:tab w:val="clear" w:pos="1588"/>
          <w:tab w:val="clear" w:pos="1985"/>
          <w:tab w:val="left" w:pos="6237"/>
        </w:tabs>
        <w:spacing w:before="840"/>
        <w:rPr>
          <w:lang w:eastAsia="zh-CN"/>
        </w:rPr>
      </w:pPr>
      <w:r>
        <w:rPr>
          <w:rFonts w:hint="eastAsia"/>
          <w:lang w:eastAsia="zh-CN"/>
        </w:rPr>
        <w:t>秘书长</w:t>
      </w:r>
      <w:r w:rsidR="00531795">
        <w:rPr>
          <w:lang w:eastAsia="zh-CN"/>
        </w:rPr>
        <w:tab/>
      </w:r>
      <w:r>
        <w:rPr>
          <w:rFonts w:hint="eastAsia"/>
          <w:lang w:eastAsia="zh-CN"/>
        </w:rPr>
        <w:t>主席</w:t>
      </w:r>
    </w:p>
    <w:p w14:paraId="566CF275" w14:textId="1A6A802E" w:rsidR="00531795" w:rsidRDefault="00A85B60" w:rsidP="008547DE">
      <w:pPr>
        <w:tabs>
          <w:tab w:val="clear" w:pos="794"/>
          <w:tab w:val="clear" w:pos="1191"/>
          <w:tab w:val="clear" w:pos="1588"/>
          <w:tab w:val="clear" w:pos="1985"/>
          <w:tab w:val="left" w:pos="6237"/>
        </w:tabs>
        <w:spacing w:before="0"/>
        <w:rPr>
          <w:lang w:eastAsia="zh-CN"/>
        </w:rPr>
      </w:pPr>
      <w:r w:rsidRPr="00E53DB0">
        <w:rPr>
          <w:rFonts w:hint="eastAsia"/>
          <w:lang w:eastAsia="zh-CN"/>
        </w:rPr>
        <w:t>多琳</w:t>
      </w:r>
      <w:r w:rsidRPr="00AC2500">
        <w:rPr>
          <w:rFonts w:asciiTheme="minorHAnsi" w:hAnsiTheme="minorHAnsi" w:cstheme="minorHAnsi"/>
          <w:lang w:eastAsia="zh-CN"/>
        </w:rPr>
        <w:t>·</w:t>
      </w:r>
      <w:r w:rsidRPr="00E53DB0">
        <w:rPr>
          <w:rFonts w:hint="eastAsia"/>
          <w:lang w:eastAsia="zh-CN"/>
        </w:rPr>
        <w:t>伯格丹</w:t>
      </w:r>
      <w:r w:rsidRPr="00E53DB0">
        <w:rPr>
          <w:rFonts w:hint="eastAsia"/>
          <w:lang w:eastAsia="zh-CN"/>
        </w:rPr>
        <w:t>-</w:t>
      </w:r>
      <w:r w:rsidRPr="00E53DB0">
        <w:rPr>
          <w:rFonts w:hint="eastAsia"/>
          <w:lang w:eastAsia="zh-CN"/>
        </w:rPr>
        <w:t>马丁</w:t>
      </w:r>
      <w:r w:rsidR="00531795">
        <w:rPr>
          <w:lang w:eastAsia="zh-CN"/>
        </w:rPr>
        <w:tab/>
      </w:r>
      <w:r w:rsidRPr="00013F7D">
        <w:rPr>
          <w:szCs w:val="24"/>
          <w:lang w:eastAsia="zh-CN"/>
        </w:rPr>
        <w:t>C. FLUTUR</w:t>
      </w:r>
    </w:p>
    <w:p w14:paraId="7C7F8E6D" w14:textId="02C42AEC" w:rsidR="00E323D0" w:rsidRPr="00E323D0" w:rsidRDefault="00531795" w:rsidP="00531795">
      <w:pPr>
        <w:spacing w:before="840"/>
        <w:jc w:val="center"/>
        <w:rPr>
          <w:lang w:eastAsia="zh-CN"/>
        </w:rPr>
      </w:pPr>
      <w:r>
        <w:t>______________</w:t>
      </w:r>
    </w:p>
    <w:sectPr w:rsidR="00E323D0" w:rsidRPr="00E323D0" w:rsidSect="00E24D59">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0C82" w14:textId="77777777" w:rsidR="004C38D0" w:rsidRDefault="004C38D0">
      <w:r>
        <w:separator/>
      </w:r>
    </w:p>
  </w:endnote>
  <w:endnote w:type="continuationSeparator" w:id="0">
    <w:p w14:paraId="207A93FA" w14:textId="77777777" w:rsidR="004C38D0" w:rsidRDefault="004C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F6360E7" w14:textId="77777777">
      <w:trPr>
        <w:jc w:val="center"/>
      </w:trPr>
      <w:tc>
        <w:tcPr>
          <w:tcW w:w="1803" w:type="dxa"/>
          <w:vAlign w:val="center"/>
        </w:tcPr>
        <w:p w14:paraId="522E0DEA" w14:textId="1C8F26F6" w:rsidR="00365D14" w:rsidRPr="00A85B60" w:rsidRDefault="00365D14"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2501747</w:t>
          </w:r>
        </w:p>
      </w:tc>
      <w:tc>
        <w:tcPr>
          <w:tcW w:w="8261" w:type="dxa"/>
        </w:tcPr>
        <w:p w14:paraId="4BD8989B" w14:textId="5DDD770B"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72138B" w:rsidRPr="00A13406">
            <w:rPr>
              <w:bCs/>
              <w:color w:val="808080" w:themeColor="background1" w:themeShade="80"/>
            </w:rPr>
            <w:t>5</w:t>
          </w:r>
          <w:proofErr w:type="spellEnd"/>
          <w:r w:rsidRPr="00A13406">
            <w:rPr>
              <w:bCs/>
              <w:color w:val="808080" w:themeColor="background1" w:themeShade="80"/>
            </w:rPr>
            <w:t>/</w:t>
          </w:r>
          <w:r w:rsidR="00A85B60">
            <w:rPr>
              <w:rFonts w:eastAsiaTheme="minorEastAsia" w:hint="eastAsia"/>
              <w:bCs/>
              <w:color w:val="808080" w:themeColor="background1" w:themeShade="80"/>
              <w:lang w:eastAsia="zh-CN"/>
            </w:rPr>
            <w:t>108</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2895BA8"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7414CF7" w14:textId="77777777">
      <w:trPr>
        <w:jc w:val="center"/>
      </w:trPr>
      <w:tc>
        <w:tcPr>
          <w:tcW w:w="1803" w:type="dxa"/>
          <w:vAlign w:val="center"/>
        </w:tcPr>
        <w:p w14:paraId="78C4E71F"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34E383BA" w14:textId="0013E830"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72138B" w:rsidRPr="003F086E">
            <w:rPr>
              <w:bCs/>
              <w:color w:val="808080" w:themeColor="background1" w:themeShade="80"/>
            </w:rPr>
            <w:t>5</w:t>
          </w:r>
          <w:proofErr w:type="spellEnd"/>
          <w:r w:rsidRPr="003F086E">
            <w:rPr>
              <w:bCs/>
              <w:color w:val="808080" w:themeColor="background1" w:themeShade="80"/>
            </w:rPr>
            <w:t>/</w:t>
          </w:r>
          <w:r w:rsidR="00A85B60">
            <w:rPr>
              <w:rFonts w:eastAsiaTheme="minorEastAsia" w:hint="eastAsia"/>
              <w:bCs/>
              <w:color w:val="808080" w:themeColor="background1" w:themeShade="80"/>
              <w:lang w:eastAsia="zh-CN"/>
            </w:rPr>
            <w:t>108</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3F3263C4"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7708" w14:textId="77777777" w:rsidR="004C38D0" w:rsidRDefault="004C38D0">
      <w:r>
        <w:t>____________________</w:t>
      </w:r>
    </w:p>
  </w:footnote>
  <w:footnote w:type="continuationSeparator" w:id="0">
    <w:p w14:paraId="58149949" w14:textId="77777777" w:rsidR="004C38D0" w:rsidRDefault="004C3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28B4239" w14:textId="77777777">
      <w:trPr>
        <w:trHeight w:val="1104"/>
        <w:jc w:val="center"/>
      </w:trPr>
      <w:tc>
        <w:tcPr>
          <w:tcW w:w="4390" w:type="dxa"/>
          <w:vAlign w:val="center"/>
        </w:tcPr>
        <w:p w14:paraId="13803083" w14:textId="77777777" w:rsidR="00E24D59" w:rsidRPr="009621F8" w:rsidRDefault="00A13406" w:rsidP="00E24D59">
          <w:pPr>
            <w:pStyle w:val="Header"/>
            <w:jc w:val="left"/>
            <w:rPr>
              <w:rFonts w:ascii="Arial" w:hAnsi="Arial" w:cs="Arial"/>
              <w:b/>
              <w:bCs/>
              <w:color w:val="009CD6"/>
              <w:sz w:val="36"/>
              <w:szCs w:val="36"/>
            </w:rPr>
          </w:pPr>
          <w:bookmarkStart w:id="8" w:name="_Hlk133422111"/>
          <w:r>
            <w:rPr>
              <w:rFonts w:ascii="Arial" w:hAnsi="Arial" w:cs="Arial"/>
              <w:b/>
              <w:bCs/>
              <w:noProof/>
              <w:color w:val="009CD6"/>
              <w:sz w:val="36"/>
              <w:szCs w:val="36"/>
            </w:rPr>
            <w:drawing>
              <wp:inline distT="0" distB="0" distL="0" distR="0" wp14:anchorId="4CBA8072" wp14:editId="29DE7C98">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37D1CCEF" w14:textId="77777777" w:rsidR="00E24D59" w:rsidRDefault="00E24D59" w:rsidP="00E24D59">
          <w:pPr>
            <w:pStyle w:val="Header"/>
            <w:jc w:val="right"/>
            <w:rPr>
              <w:rFonts w:ascii="Arial" w:hAnsi="Arial" w:cs="Arial"/>
              <w:b/>
              <w:bCs/>
              <w:color w:val="009CD6"/>
              <w:szCs w:val="18"/>
            </w:rPr>
          </w:pPr>
        </w:p>
        <w:p w14:paraId="06AFC146" w14:textId="77777777" w:rsidR="00E24D59" w:rsidRDefault="00E24D59" w:rsidP="00E24D59">
          <w:pPr>
            <w:pStyle w:val="Header"/>
            <w:jc w:val="right"/>
            <w:rPr>
              <w:rFonts w:ascii="Arial" w:hAnsi="Arial" w:cs="Arial"/>
              <w:b/>
              <w:bCs/>
              <w:color w:val="009CD6"/>
              <w:szCs w:val="18"/>
            </w:rPr>
          </w:pPr>
        </w:p>
        <w:p w14:paraId="1F9642BE"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8"/>
  <w:p w14:paraId="13785E5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75E8B44" wp14:editId="61118472">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0AA3"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9"/>
    <w:rsid w:val="00001B77"/>
    <w:rsid w:val="0000517A"/>
    <w:rsid w:val="00031E72"/>
    <w:rsid w:val="000404D2"/>
    <w:rsid w:val="00055EFA"/>
    <w:rsid w:val="000646BD"/>
    <w:rsid w:val="000853C0"/>
    <w:rsid w:val="00093DD9"/>
    <w:rsid w:val="0009409E"/>
    <w:rsid w:val="000A1C21"/>
    <w:rsid w:val="000C0BC5"/>
    <w:rsid w:val="000D15EA"/>
    <w:rsid w:val="000D7012"/>
    <w:rsid w:val="00100D84"/>
    <w:rsid w:val="001113B9"/>
    <w:rsid w:val="00124C9D"/>
    <w:rsid w:val="001305DE"/>
    <w:rsid w:val="0014062D"/>
    <w:rsid w:val="001466B5"/>
    <w:rsid w:val="0015333E"/>
    <w:rsid w:val="00157773"/>
    <w:rsid w:val="0016351A"/>
    <w:rsid w:val="0018251A"/>
    <w:rsid w:val="00190272"/>
    <w:rsid w:val="00193244"/>
    <w:rsid w:val="001954B5"/>
    <w:rsid w:val="00195C6C"/>
    <w:rsid w:val="00195FED"/>
    <w:rsid w:val="001A4BD6"/>
    <w:rsid w:val="001B6E2B"/>
    <w:rsid w:val="001D3D4E"/>
    <w:rsid w:val="001D5A18"/>
    <w:rsid w:val="00215132"/>
    <w:rsid w:val="00224449"/>
    <w:rsid w:val="00280EB8"/>
    <w:rsid w:val="002A6670"/>
    <w:rsid w:val="002C3F32"/>
    <w:rsid w:val="00303502"/>
    <w:rsid w:val="00325C25"/>
    <w:rsid w:val="00326DEF"/>
    <w:rsid w:val="00365D14"/>
    <w:rsid w:val="00372C8F"/>
    <w:rsid w:val="00380ECE"/>
    <w:rsid w:val="00393DDF"/>
    <w:rsid w:val="00397F55"/>
    <w:rsid w:val="003B4454"/>
    <w:rsid w:val="003C2E37"/>
    <w:rsid w:val="003D6F72"/>
    <w:rsid w:val="003F086E"/>
    <w:rsid w:val="003F1415"/>
    <w:rsid w:val="0040144C"/>
    <w:rsid w:val="00403EB7"/>
    <w:rsid w:val="004178E6"/>
    <w:rsid w:val="00430BF0"/>
    <w:rsid w:val="00432F1B"/>
    <w:rsid w:val="004421AD"/>
    <w:rsid w:val="00444912"/>
    <w:rsid w:val="00453B1F"/>
    <w:rsid w:val="00457BC3"/>
    <w:rsid w:val="004672E6"/>
    <w:rsid w:val="00474ED1"/>
    <w:rsid w:val="00477D57"/>
    <w:rsid w:val="00491BA9"/>
    <w:rsid w:val="00493085"/>
    <w:rsid w:val="004A36EC"/>
    <w:rsid w:val="004C38D0"/>
    <w:rsid w:val="004D163F"/>
    <w:rsid w:val="004E4BFF"/>
    <w:rsid w:val="004F2598"/>
    <w:rsid w:val="005111B4"/>
    <w:rsid w:val="00531795"/>
    <w:rsid w:val="005403F7"/>
    <w:rsid w:val="00540632"/>
    <w:rsid w:val="00541CF4"/>
    <w:rsid w:val="005451E8"/>
    <w:rsid w:val="005507F2"/>
    <w:rsid w:val="005759CC"/>
    <w:rsid w:val="005A3C6F"/>
    <w:rsid w:val="005A72E1"/>
    <w:rsid w:val="005C6632"/>
    <w:rsid w:val="005D1C9E"/>
    <w:rsid w:val="00630DD5"/>
    <w:rsid w:val="00637584"/>
    <w:rsid w:val="00654257"/>
    <w:rsid w:val="0065435A"/>
    <w:rsid w:val="00670D8A"/>
    <w:rsid w:val="006A2DD3"/>
    <w:rsid w:val="006A5113"/>
    <w:rsid w:val="006A5AF8"/>
    <w:rsid w:val="006C36CD"/>
    <w:rsid w:val="00700D1F"/>
    <w:rsid w:val="007157CF"/>
    <w:rsid w:val="007205CB"/>
    <w:rsid w:val="0072138B"/>
    <w:rsid w:val="00726073"/>
    <w:rsid w:val="00734FE8"/>
    <w:rsid w:val="007360CE"/>
    <w:rsid w:val="0077110E"/>
    <w:rsid w:val="00772315"/>
    <w:rsid w:val="00775157"/>
    <w:rsid w:val="007813AE"/>
    <w:rsid w:val="007854C3"/>
    <w:rsid w:val="007A37DB"/>
    <w:rsid w:val="007D512E"/>
    <w:rsid w:val="007E189D"/>
    <w:rsid w:val="007F0210"/>
    <w:rsid w:val="00806E3F"/>
    <w:rsid w:val="00811259"/>
    <w:rsid w:val="00813AA2"/>
    <w:rsid w:val="008173A3"/>
    <w:rsid w:val="008418F5"/>
    <w:rsid w:val="008547DE"/>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56144"/>
    <w:rsid w:val="009625D8"/>
    <w:rsid w:val="009660BF"/>
    <w:rsid w:val="00983878"/>
    <w:rsid w:val="0098459B"/>
    <w:rsid w:val="00997185"/>
    <w:rsid w:val="009C2458"/>
    <w:rsid w:val="009C4A7B"/>
    <w:rsid w:val="009C6123"/>
    <w:rsid w:val="009F1E3E"/>
    <w:rsid w:val="00A066BA"/>
    <w:rsid w:val="00A1213C"/>
    <w:rsid w:val="00A13406"/>
    <w:rsid w:val="00A272FF"/>
    <w:rsid w:val="00A27F55"/>
    <w:rsid w:val="00A5354B"/>
    <w:rsid w:val="00A71B57"/>
    <w:rsid w:val="00A85B60"/>
    <w:rsid w:val="00AA3AF7"/>
    <w:rsid w:val="00AB42C1"/>
    <w:rsid w:val="00AC2500"/>
    <w:rsid w:val="00AC516F"/>
    <w:rsid w:val="00AE195F"/>
    <w:rsid w:val="00AE2926"/>
    <w:rsid w:val="00B0184B"/>
    <w:rsid w:val="00B035CD"/>
    <w:rsid w:val="00B0769D"/>
    <w:rsid w:val="00B135AF"/>
    <w:rsid w:val="00B217F8"/>
    <w:rsid w:val="00B218E9"/>
    <w:rsid w:val="00B332EA"/>
    <w:rsid w:val="00B40A53"/>
    <w:rsid w:val="00B45365"/>
    <w:rsid w:val="00B46A65"/>
    <w:rsid w:val="00B60184"/>
    <w:rsid w:val="00B62D20"/>
    <w:rsid w:val="00B81E75"/>
    <w:rsid w:val="00B93453"/>
    <w:rsid w:val="00B9445B"/>
    <w:rsid w:val="00BD0954"/>
    <w:rsid w:val="00BD1A5A"/>
    <w:rsid w:val="00BD7A9B"/>
    <w:rsid w:val="00BD7BE1"/>
    <w:rsid w:val="00BF416B"/>
    <w:rsid w:val="00C45EB2"/>
    <w:rsid w:val="00C64E4E"/>
    <w:rsid w:val="00C66E64"/>
    <w:rsid w:val="00C761A0"/>
    <w:rsid w:val="00C85F7E"/>
    <w:rsid w:val="00C90D53"/>
    <w:rsid w:val="00CA0B2E"/>
    <w:rsid w:val="00CA6EF7"/>
    <w:rsid w:val="00CD47F0"/>
    <w:rsid w:val="00CD5566"/>
    <w:rsid w:val="00CD64D7"/>
    <w:rsid w:val="00CE299D"/>
    <w:rsid w:val="00CE6F22"/>
    <w:rsid w:val="00CF41F6"/>
    <w:rsid w:val="00CF7D3E"/>
    <w:rsid w:val="00D023B3"/>
    <w:rsid w:val="00D02B4E"/>
    <w:rsid w:val="00D053AA"/>
    <w:rsid w:val="00D21F11"/>
    <w:rsid w:val="00D36817"/>
    <w:rsid w:val="00D453EE"/>
    <w:rsid w:val="00D5666C"/>
    <w:rsid w:val="00D62844"/>
    <w:rsid w:val="00D666BC"/>
    <w:rsid w:val="00D83542"/>
    <w:rsid w:val="00D92F45"/>
    <w:rsid w:val="00D94637"/>
    <w:rsid w:val="00D9725C"/>
    <w:rsid w:val="00DA0E66"/>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45C97"/>
    <w:rsid w:val="00E67C67"/>
    <w:rsid w:val="00E77476"/>
    <w:rsid w:val="00E8228B"/>
    <w:rsid w:val="00E97582"/>
    <w:rsid w:val="00EE5706"/>
    <w:rsid w:val="00EF373D"/>
    <w:rsid w:val="00F11595"/>
    <w:rsid w:val="00F13BC9"/>
    <w:rsid w:val="00F357B2"/>
    <w:rsid w:val="00F36556"/>
    <w:rsid w:val="00F447B4"/>
    <w:rsid w:val="00F6736A"/>
    <w:rsid w:val="00F705DF"/>
    <w:rsid w:val="00F70622"/>
    <w:rsid w:val="00F85624"/>
    <w:rsid w:val="00F87C05"/>
    <w:rsid w:val="00F93191"/>
    <w:rsid w:val="00F93A17"/>
    <w:rsid w:val="00FA2AF6"/>
    <w:rsid w:val="00FB073D"/>
    <w:rsid w:val="00FB4DD7"/>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973"/>
  <w15:docId w15:val="{2D645A98-B9B0-488A-953E-C0F6040A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97582"/>
    <w:rPr>
      <w:rFonts w:eastAsia="Times New Roman"/>
      <w:noProof/>
      <w:color w:val="4F81BD" w:themeColor="accent1"/>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B218E9"/>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B218E9"/>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04/en" TargetMode="External"/><Relationship Id="rId13" Type="http://schemas.openxmlformats.org/officeDocument/2006/relationships/hyperlink" Target="https://www.itu.int/md/S25-CL-C-0061/en" TargetMode="External"/><Relationship Id="rId18" Type="http://schemas.openxmlformats.org/officeDocument/2006/relationships/hyperlink" Target="https://www.itu.int/md/S25-CL-C-0051/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md/S25-CL-C-0061/en" TargetMode="External"/><Relationship Id="rId7" Type="http://schemas.openxmlformats.org/officeDocument/2006/relationships/endnotes" Target="endnotes.xml"/><Relationship Id="rId12" Type="http://schemas.openxmlformats.org/officeDocument/2006/relationships/hyperlink" Target="https://www.itu.int/md/S25-CL-C-0008/en" TargetMode="External"/><Relationship Id="rId17" Type="http://schemas.openxmlformats.org/officeDocument/2006/relationships/hyperlink" Target="https://www.itu.int/md/S25-CL-INF-0014/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md/S25-CL-C-0024/en" TargetMode="External"/><Relationship Id="rId20" Type="http://schemas.openxmlformats.org/officeDocument/2006/relationships/hyperlink" Target="https://www.itu.int/md/S25-CL-C-006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33/e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S25-CL-C-0024/en" TargetMode="External"/><Relationship Id="rId23" Type="http://schemas.openxmlformats.org/officeDocument/2006/relationships/footer" Target="footer1.xml"/><Relationship Id="rId10" Type="http://schemas.openxmlformats.org/officeDocument/2006/relationships/hyperlink" Target="https://www.itu.int/md/S25-CL-C-0051/en" TargetMode="External"/><Relationship Id="rId19" Type="http://schemas.openxmlformats.org/officeDocument/2006/relationships/hyperlink" Target="https://www.itu.int/md/S25-CL-C-0008/en" TargetMode="External"/><Relationship Id="rId4" Type="http://schemas.openxmlformats.org/officeDocument/2006/relationships/settings" Target="settings.xml"/><Relationship Id="rId9" Type="http://schemas.openxmlformats.org/officeDocument/2006/relationships/hyperlink" Target="https://www.itu.int/md/S25-CL-C-0024/en" TargetMode="External"/><Relationship Id="rId14" Type="http://schemas.openxmlformats.org/officeDocument/2006/relationships/hyperlink" Target="https://www.itu.int/md/S25-CL-C-0004/en" TargetMode="External"/><Relationship Id="rId22" Type="http://schemas.openxmlformats.org/officeDocument/2006/relationships/hyperlink" Target="https://www.itu.int/md/S25-CL-C-0080/e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5791</Words>
  <Characters>2504</Characters>
  <Application>Microsoft Office Word</Application>
  <DocSecurity>0</DocSecurity>
  <Lines>20</Lines>
  <Paragraphs>16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8279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second Plenary meeting</dc:title>
  <dc:subject>ITU Council 2025</dc:subject>
  <cp:keywords>C2025, C25, Council-25</cp:keywords>
  <dc:description/>
  <cp:lastPrinted>2015-02-24T13:23:00Z</cp:lastPrinted>
  <dcterms:created xsi:type="dcterms:W3CDTF">2025-08-15T14:26:00Z</dcterms:created>
  <dcterms:modified xsi:type="dcterms:W3CDTF">2025-08-15T14:26:00Z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