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5507"/>
        <w:gridCol w:w="708"/>
        <w:gridCol w:w="2264"/>
      </w:tblGrid>
      <w:tr w:rsidR="007B0AA0" w14:paraId="439B5F42" w14:textId="77777777" w:rsidTr="00935824">
        <w:tc>
          <w:tcPr>
            <w:tcW w:w="6099" w:type="dxa"/>
            <w:gridSpan w:val="2"/>
          </w:tcPr>
          <w:p w14:paraId="1ACEE0CA" w14:textId="36422810" w:rsidR="007B0AA0" w:rsidRPr="007B0AA0" w:rsidRDefault="007B0AA0" w:rsidP="00F363FE">
            <w:pPr>
              <w:spacing w:before="60" w:after="60" w:line="260" w:lineRule="exact"/>
              <w:rPr>
                <w:b/>
                <w:bCs/>
                <w:rtl/>
                <w:lang w:bidi="ar-EG"/>
              </w:rPr>
            </w:pPr>
          </w:p>
        </w:tc>
        <w:tc>
          <w:tcPr>
            <w:tcW w:w="2972" w:type="dxa"/>
            <w:gridSpan w:val="2"/>
          </w:tcPr>
          <w:p w14:paraId="0D9260E1" w14:textId="1742E27B"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4E6092">
              <w:rPr>
                <w:b/>
                <w:bCs/>
                <w:lang w:bidi="ar-EG"/>
              </w:rPr>
              <w:t>108</w:t>
            </w:r>
            <w:r w:rsidRPr="007B0AA0">
              <w:rPr>
                <w:b/>
                <w:bCs/>
                <w:lang w:bidi="ar-EG"/>
              </w:rPr>
              <w:t>-A</w:t>
            </w:r>
          </w:p>
        </w:tc>
      </w:tr>
      <w:tr w:rsidR="007B0AA0" w14:paraId="3F8A09FB" w14:textId="77777777" w:rsidTr="00935824">
        <w:tc>
          <w:tcPr>
            <w:tcW w:w="6099" w:type="dxa"/>
            <w:gridSpan w:val="2"/>
          </w:tcPr>
          <w:p w14:paraId="3AA23C0F" w14:textId="77777777" w:rsidR="007B0AA0" w:rsidRPr="007B0AA0" w:rsidRDefault="007B0AA0" w:rsidP="00F363FE">
            <w:pPr>
              <w:spacing w:before="60" w:after="60" w:line="260" w:lineRule="exact"/>
              <w:rPr>
                <w:b/>
                <w:bCs/>
                <w:rtl/>
                <w:lang w:bidi="ar-EG"/>
              </w:rPr>
            </w:pPr>
          </w:p>
        </w:tc>
        <w:tc>
          <w:tcPr>
            <w:tcW w:w="2972" w:type="dxa"/>
            <w:gridSpan w:val="2"/>
          </w:tcPr>
          <w:p w14:paraId="7CE6DBC5" w14:textId="247B95F7" w:rsidR="007B0AA0" w:rsidRPr="00EA708E" w:rsidRDefault="00EA708E" w:rsidP="00F363FE">
            <w:pPr>
              <w:spacing w:before="60" w:after="60" w:line="260" w:lineRule="exact"/>
              <w:rPr>
                <w:b/>
                <w:bCs/>
                <w:rtl/>
                <w:lang w:bidi="ar-EG"/>
              </w:rPr>
            </w:pPr>
            <w:r w:rsidRPr="00EA708E">
              <w:rPr>
                <w:b/>
                <w:bCs/>
                <w:lang w:bidi="ar-EG"/>
              </w:rPr>
              <w:t>15</w:t>
            </w:r>
            <w:r w:rsidR="00935824" w:rsidRPr="00EA708E">
              <w:rPr>
                <w:b/>
                <w:bCs/>
                <w:rtl/>
                <w:lang w:bidi="ar-EG"/>
              </w:rPr>
              <w:t xml:space="preserve"> </w:t>
            </w:r>
            <w:r w:rsidRPr="00EA708E">
              <w:rPr>
                <w:rFonts w:hint="cs"/>
                <w:b/>
                <w:bCs/>
                <w:rtl/>
                <w:lang w:bidi="ar-EG"/>
              </w:rPr>
              <w:t>أغسطس</w:t>
            </w:r>
            <w:r w:rsidR="00935824" w:rsidRPr="00EA708E">
              <w:rPr>
                <w:b/>
                <w:bCs/>
                <w:rtl/>
                <w:lang w:bidi="ar-EG"/>
              </w:rPr>
              <w:t xml:space="preserve"> 2025</w:t>
            </w:r>
          </w:p>
        </w:tc>
      </w:tr>
      <w:tr w:rsidR="007B0AA0" w14:paraId="61D1D823" w14:textId="77777777" w:rsidTr="00935824">
        <w:tc>
          <w:tcPr>
            <w:tcW w:w="6099" w:type="dxa"/>
            <w:gridSpan w:val="2"/>
          </w:tcPr>
          <w:p w14:paraId="2DADADF0" w14:textId="77777777" w:rsidR="007B0AA0" w:rsidRPr="007B0AA0" w:rsidRDefault="007B0AA0" w:rsidP="00F363FE">
            <w:pPr>
              <w:spacing w:before="60" w:after="60" w:line="260" w:lineRule="exact"/>
              <w:rPr>
                <w:b/>
                <w:bCs/>
                <w:rtl/>
                <w:lang w:bidi="ar-EG"/>
              </w:rPr>
            </w:pPr>
          </w:p>
        </w:tc>
        <w:tc>
          <w:tcPr>
            <w:tcW w:w="2972" w:type="dxa"/>
            <w:gridSpan w:val="2"/>
          </w:tcPr>
          <w:p w14:paraId="7AF69C29"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288B60A" w14:textId="77777777" w:rsidTr="00935824">
        <w:tc>
          <w:tcPr>
            <w:tcW w:w="6099" w:type="dxa"/>
            <w:gridSpan w:val="2"/>
          </w:tcPr>
          <w:p w14:paraId="4A5DB1AC" w14:textId="77777777" w:rsidR="007B0AA0" w:rsidRDefault="007B0AA0" w:rsidP="00F363FE">
            <w:pPr>
              <w:spacing w:before="60" w:after="60" w:line="260" w:lineRule="exact"/>
              <w:rPr>
                <w:lang w:bidi="ar-EG"/>
              </w:rPr>
            </w:pPr>
          </w:p>
        </w:tc>
        <w:tc>
          <w:tcPr>
            <w:tcW w:w="2972" w:type="dxa"/>
            <w:gridSpan w:val="2"/>
          </w:tcPr>
          <w:p w14:paraId="0775F019" w14:textId="77777777" w:rsidR="007B0AA0" w:rsidRDefault="007B0AA0" w:rsidP="00F363FE">
            <w:pPr>
              <w:spacing w:before="60" w:after="60" w:line="260" w:lineRule="exact"/>
              <w:rPr>
                <w:rtl/>
                <w:lang w:bidi="ar-EG"/>
              </w:rPr>
            </w:pPr>
          </w:p>
        </w:tc>
      </w:tr>
      <w:tr w:rsidR="007B0AA0" w14:paraId="16544DBA" w14:textId="77777777" w:rsidTr="0002510E">
        <w:trPr>
          <w:trHeight w:val="1049"/>
        </w:trPr>
        <w:tc>
          <w:tcPr>
            <w:tcW w:w="9071" w:type="dxa"/>
            <w:gridSpan w:val="4"/>
          </w:tcPr>
          <w:p w14:paraId="61BC77FF" w14:textId="025561EA" w:rsidR="007B0AA0" w:rsidRDefault="00935824" w:rsidP="007E2052">
            <w:pPr>
              <w:pStyle w:val="Source"/>
              <w:rPr>
                <w:lang w:bidi="ar-EG"/>
              </w:rPr>
            </w:pPr>
            <w:r w:rsidRPr="00935824">
              <w:rPr>
                <w:rtl/>
              </w:rPr>
              <w:t>محضر موجز</w:t>
            </w:r>
            <w:r>
              <w:br/>
            </w:r>
            <w:r w:rsidR="0002510E" w:rsidRPr="0002510E">
              <w:rPr>
                <w:rtl/>
              </w:rPr>
              <w:t>للجلسة العامة</w:t>
            </w:r>
            <w:r w:rsidR="0002510E" w:rsidRPr="0002510E">
              <w:t xml:space="preserve"> </w:t>
            </w:r>
            <w:r w:rsidR="006A0B6E" w:rsidRPr="006A0B6E">
              <w:rPr>
                <w:rtl/>
              </w:rPr>
              <w:t>الثانية</w:t>
            </w:r>
          </w:p>
        </w:tc>
      </w:tr>
      <w:tr w:rsidR="007B0AA0" w14:paraId="38034A62" w14:textId="77777777" w:rsidTr="00935824">
        <w:tc>
          <w:tcPr>
            <w:tcW w:w="9071" w:type="dxa"/>
            <w:gridSpan w:val="4"/>
          </w:tcPr>
          <w:p w14:paraId="266952B9" w14:textId="515D1F67" w:rsidR="007B0AA0" w:rsidRDefault="006A0B6E" w:rsidP="006A0B6E">
            <w:pPr>
              <w:jc w:val="center"/>
            </w:pPr>
            <w:r w:rsidRPr="006A0B6E">
              <w:rPr>
                <w:rtl/>
              </w:rPr>
              <w:t xml:space="preserve">الأربعاء، 18 </w:t>
            </w:r>
            <w:r w:rsidR="007E2052">
              <w:rPr>
                <w:rFonts w:hint="cs"/>
                <w:rtl/>
              </w:rPr>
              <w:t>يونيو</w:t>
            </w:r>
            <w:r w:rsidRPr="006A0B6E">
              <w:rPr>
                <w:rtl/>
              </w:rPr>
              <w:t xml:space="preserve"> 2025، من الساعة 14:35 إلى 17:45</w:t>
            </w:r>
          </w:p>
          <w:p w14:paraId="3B36951D" w14:textId="01B78B64" w:rsidR="00935824" w:rsidRPr="0002510E" w:rsidRDefault="006A0B6E" w:rsidP="006A0B6E">
            <w:pPr>
              <w:jc w:val="center"/>
            </w:pPr>
            <w:r w:rsidRPr="00DB4347">
              <w:rPr>
                <w:b/>
                <w:bCs/>
                <w:rtl/>
              </w:rPr>
              <w:t>الرئيس</w:t>
            </w:r>
            <w:r w:rsidR="00DB4347">
              <w:rPr>
                <w:rFonts w:hint="cs"/>
                <w:b/>
                <w:bCs/>
                <w:rtl/>
              </w:rPr>
              <w:t>ة</w:t>
            </w:r>
            <w:r w:rsidRPr="006A0B6E">
              <w:rPr>
                <w:rtl/>
              </w:rPr>
              <w:t xml:space="preserve">: السيدة ك. </w:t>
            </w:r>
            <w:proofErr w:type="spellStart"/>
            <w:r w:rsidRPr="006A0B6E">
              <w:rPr>
                <w:rtl/>
              </w:rPr>
              <w:t>فلوتور</w:t>
            </w:r>
            <w:proofErr w:type="spellEnd"/>
            <w:r w:rsidRPr="006A0B6E">
              <w:rPr>
                <w:rtl/>
              </w:rPr>
              <w:t xml:space="preserve"> (رومانيا)</w:t>
            </w:r>
          </w:p>
        </w:tc>
      </w:tr>
      <w:tr w:rsidR="00935824" w14:paraId="415FBF8D" w14:textId="77777777" w:rsidTr="00935824">
        <w:tc>
          <w:tcPr>
            <w:tcW w:w="592" w:type="dxa"/>
          </w:tcPr>
          <w:p w14:paraId="6281A77B" w14:textId="77777777" w:rsidR="00935824" w:rsidRPr="00935824" w:rsidRDefault="00935824" w:rsidP="00987455">
            <w:pPr>
              <w:spacing w:before="480"/>
              <w:jc w:val="center"/>
              <w:rPr>
                <w:b/>
                <w:bCs/>
                <w:rtl/>
              </w:rPr>
            </w:pPr>
          </w:p>
        </w:tc>
        <w:tc>
          <w:tcPr>
            <w:tcW w:w="6215" w:type="dxa"/>
            <w:gridSpan w:val="2"/>
          </w:tcPr>
          <w:p w14:paraId="2302FAA5" w14:textId="0123556B" w:rsidR="00935824" w:rsidRPr="00935824" w:rsidRDefault="00935824" w:rsidP="00987455">
            <w:pPr>
              <w:spacing w:before="480"/>
              <w:jc w:val="left"/>
              <w:rPr>
                <w:b/>
                <w:bCs/>
                <w:rtl/>
              </w:rPr>
            </w:pPr>
            <w:r>
              <w:rPr>
                <w:b/>
                <w:bCs/>
                <w:color w:val="000000"/>
                <w:rtl/>
              </w:rPr>
              <w:t>المواضيع التي نوقشت</w:t>
            </w:r>
          </w:p>
        </w:tc>
        <w:tc>
          <w:tcPr>
            <w:tcW w:w="2264" w:type="dxa"/>
          </w:tcPr>
          <w:p w14:paraId="4AA89B6F" w14:textId="51E6E657" w:rsidR="00935824" w:rsidRPr="00935824" w:rsidRDefault="00935824" w:rsidP="00987455">
            <w:pPr>
              <w:spacing w:before="480"/>
              <w:jc w:val="center"/>
              <w:rPr>
                <w:b/>
                <w:bCs/>
                <w:rtl/>
              </w:rPr>
            </w:pPr>
            <w:r w:rsidRPr="00935824">
              <w:rPr>
                <w:b/>
                <w:bCs/>
                <w:rtl/>
              </w:rPr>
              <w:t>الوثائق</w:t>
            </w:r>
          </w:p>
        </w:tc>
      </w:tr>
      <w:tr w:rsidR="00987455" w14:paraId="0B585812" w14:textId="77777777" w:rsidTr="00935824">
        <w:tc>
          <w:tcPr>
            <w:tcW w:w="592" w:type="dxa"/>
          </w:tcPr>
          <w:p w14:paraId="504FE816" w14:textId="7E7BF1DD" w:rsidR="00987455" w:rsidRPr="001857D3" w:rsidRDefault="00987455" w:rsidP="00987455">
            <w:pPr>
              <w:jc w:val="center"/>
              <w:rPr>
                <w:rtl/>
              </w:rPr>
            </w:pPr>
            <w:r w:rsidRPr="001857D3">
              <w:t>1</w:t>
            </w:r>
          </w:p>
        </w:tc>
        <w:tc>
          <w:tcPr>
            <w:tcW w:w="6215" w:type="dxa"/>
            <w:gridSpan w:val="2"/>
          </w:tcPr>
          <w:p w14:paraId="2487709B" w14:textId="31D3F729" w:rsidR="00987455" w:rsidRPr="001857D3" w:rsidRDefault="004E6092" w:rsidP="004E6092">
            <w:pPr>
              <w:rPr>
                <w:rtl/>
              </w:rPr>
            </w:pPr>
            <w:bookmarkStart w:id="0" w:name="_Hlk201218544"/>
            <w:r w:rsidRPr="001857D3">
              <w:rPr>
                <w:rtl/>
              </w:rPr>
              <w:t>عرض بشأن مؤتمر المندوبين المفوضين عام 2026</w:t>
            </w:r>
            <w:bookmarkEnd w:id="0"/>
          </w:p>
        </w:tc>
        <w:tc>
          <w:tcPr>
            <w:tcW w:w="2264" w:type="dxa"/>
          </w:tcPr>
          <w:p w14:paraId="7AF7B143" w14:textId="63815E20" w:rsidR="00987455" w:rsidRPr="001857D3" w:rsidRDefault="00987455" w:rsidP="00987455">
            <w:pPr>
              <w:jc w:val="center"/>
              <w:rPr>
                <w:rtl/>
              </w:rPr>
            </w:pPr>
            <w:r w:rsidRPr="001857D3">
              <w:rPr>
                <w:lang w:bidi="ar-EG"/>
              </w:rPr>
              <w:t>-</w:t>
            </w:r>
          </w:p>
        </w:tc>
      </w:tr>
      <w:tr w:rsidR="00987455" w14:paraId="55BB7803" w14:textId="77777777" w:rsidTr="00935824">
        <w:tc>
          <w:tcPr>
            <w:tcW w:w="592" w:type="dxa"/>
          </w:tcPr>
          <w:p w14:paraId="628B382B" w14:textId="5DBB8295" w:rsidR="00987455" w:rsidRPr="001857D3" w:rsidRDefault="00987455" w:rsidP="00987455">
            <w:pPr>
              <w:jc w:val="center"/>
              <w:rPr>
                <w:rtl/>
              </w:rPr>
            </w:pPr>
            <w:r w:rsidRPr="001857D3">
              <w:t>2</w:t>
            </w:r>
          </w:p>
        </w:tc>
        <w:tc>
          <w:tcPr>
            <w:tcW w:w="6215" w:type="dxa"/>
            <w:gridSpan w:val="2"/>
          </w:tcPr>
          <w:p w14:paraId="11F6AEC7" w14:textId="5FD1BC5D" w:rsidR="00987455" w:rsidRPr="001857D3" w:rsidRDefault="004E6092" w:rsidP="004E6092">
            <w:pPr>
              <w:rPr>
                <w:rtl/>
              </w:rPr>
            </w:pPr>
            <w:r w:rsidRPr="001857D3">
              <w:rPr>
                <w:color w:val="000000"/>
                <w:rtl/>
              </w:rPr>
              <w:t>الأعمال التحضيرية لمؤتمر المندوبين المفوضين عام 2026</w:t>
            </w:r>
          </w:p>
        </w:tc>
        <w:tc>
          <w:tcPr>
            <w:tcW w:w="2264" w:type="dxa"/>
          </w:tcPr>
          <w:p w14:paraId="3F9BC403" w14:textId="3C294E14" w:rsidR="00987455" w:rsidRPr="001857D3" w:rsidRDefault="007C7CDA" w:rsidP="00D9369B">
            <w:pPr>
              <w:tabs>
                <w:tab w:val="left" w:pos="486"/>
                <w:tab w:val="center" w:pos="1024"/>
              </w:tabs>
              <w:jc w:val="center"/>
              <w:rPr>
                <w:color w:val="0563C1"/>
                <w:u w:val="single"/>
                <w:rtl/>
              </w:rPr>
            </w:pPr>
            <w:hyperlink r:id="rId8" w:history="1">
              <w:r w:rsidRPr="001857D3">
                <w:rPr>
                  <w:rStyle w:val="Hyperlink"/>
                  <w:rFonts w:ascii="Dubai" w:eastAsiaTheme="minorEastAsia" w:hAnsi="Dubai" w:cs="Dubai"/>
                  <w:noProof w:val="0"/>
                  <w:color w:val="0563C1"/>
                  <w:sz w:val="22"/>
                  <w:u w:val="single"/>
                  <w:lang w:val="en-US" w:eastAsia="zh-CN"/>
                </w:rPr>
                <w:t>C25/4</w:t>
              </w:r>
            </w:hyperlink>
          </w:p>
        </w:tc>
      </w:tr>
      <w:tr w:rsidR="00987455" w14:paraId="6FD1D114" w14:textId="77777777" w:rsidTr="00935824">
        <w:tc>
          <w:tcPr>
            <w:tcW w:w="592" w:type="dxa"/>
          </w:tcPr>
          <w:p w14:paraId="5F443617" w14:textId="7D8D742E" w:rsidR="00987455" w:rsidRPr="001857D3" w:rsidRDefault="00987455" w:rsidP="00987455">
            <w:pPr>
              <w:jc w:val="center"/>
              <w:rPr>
                <w:rtl/>
              </w:rPr>
            </w:pPr>
            <w:r w:rsidRPr="001857D3">
              <w:t>3</w:t>
            </w:r>
          </w:p>
        </w:tc>
        <w:tc>
          <w:tcPr>
            <w:tcW w:w="6215" w:type="dxa"/>
            <w:gridSpan w:val="2"/>
          </w:tcPr>
          <w:p w14:paraId="56DBFF79" w14:textId="66C41EF6" w:rsidR="00987455" w:rsidRPr="001857D3" w:rsidRDefault="004E6092" w:rsidP="004E6092">
            <w:pPr>
              <w:rPr>
                <w:rtl/>
              </w:rPr>
            </w:pPr>
            <w:r w:rsidRPr="001857D3">
              <w:rPr>
                <w:color w:val="000000"/>
                <w:rtl/>
              </w:rPr>
              <w:t>تقرير عن الندوة العالمية للمعايير عام 2024 والجمعية العالمية لتقييس الاتصالات عام 2024</w:t>
            </w:r>
          </w:p>
        </w:tc>
        <w:tc>
          <w:tcPr>
            <w:tcW w:w="2264" w:type="dxa"/>
          </w:tcPr>
          <w:p w14:paraId="50E4AD1B" w14:textId="4E636575" w:rsidR="00987455" w:rsidRPr="001857D3" w:rsidRDefault="007C7CDA" w:rsidP="007C7CDA">
            <w:pPr>
              <w:jc w:val="center"/>
              <w:rPr>
                <w:color w:val="0563C1"/>
                <w:u w:val="single"/>
                <w:rtl/>
              </w:rPr>
            </w:pPr>
            <w:hyperlink r:id="rId9" w:history="1">
              <w:r w:rsidRPr="001857D3">
                <w:rPr>
                  <w:rStyle w:val="Hyperlink"/>
                  <w:rFonts w:ascii="Dubai" w:eastAsiaTheme="minorEastAsia" w:hAnsi="Dubai" w:cs="Dubai"/>
                  <w:noProof w:val="0"/>
                  <w:color w:val="0563C1"/>
                  <w:sz w:val="22"/>
                  <w:u w:val="single"/>
                  <w:lang w:eastAsia="zh-CN"/>
                </w:rPr>
                <w:t>C25/24</w:t>
              </w:r>
            </w:hyperlink>
            <w:r w:rsidRPr="001857D3">
              <w:rPr>
                <w:rFonts w:hint="cs"/>
                <w:color w:val="000000"/>
                <w:rtl/>
                <w:lang w:val="en-GB"/>
              </w:rPr>
              <w:t xml:space="preserve">، </w:t>
            </w:r>
            <w:hyperlink r:id="rId10" w:history="1">
              <w:r w:rsidRPr="001857D3">
                <w:rPr>
                  <w:rStyle w:val="Hyperlink"/>
                  <w:rFonts w:ascii="Dubai" w:eastAsiaTheme="minorEastAsia" w:hAnsi="Dubai" w:cs="Dubai"/>
                  <w:noProof w:val="0"/>
                  <w:color w:val="0563C1"/>
                  <w:sz w:val="22"/>
                  <w:u w:val="single"/>
                  <w:lang w:eastAsia="zh-CN"/>
                </w:rPr>
                <w:t>C25/INF/14</w:t>
              </w:r>
            </w:hyperlink>
          </w:p>
        </w:tc>
      </w:tr>
      <w:tr w:rsidR="00987455" w14:paraId="3EE94067" w14:textId="77777777" w:rsidTr="00935824">
        <w:tc>
          <w:tcPr>
            <w:tcW w:w="592" w:type="dxa"/>
          </w:tcPr>
          <w:p w14:paraId="6494B324" w14:textId="36AEF1B0" w:rsidR="00987455" w:rsidRPr="001857D3" w:rsidRDefault="00987455" w:rsidP="00987455">
            <w:pPr>
              <w:jc w:val="center"/>
              <w:rPr>
                <w:rtl/>
              </w:rPr>
            </w:pPr>
            <w:r w:rsidRPr="001857D3">
              <w:t>4</w:t>
            </w:r>
          </w:p>
        </w:tc>
        <w:tc>
          <w:tcPr>
            <w:tcW w:w="6215" w:type="dxa"/>
            <w:gridSpan w:val="2"/>
          </w:tcPr>
          <w:p w14:paraId="37A9677C" w14:textId="7C8A88BB" w:rsidR="00987455" w:rsidRPr="001857D3" w:rsidRDefault="004E6092" w:rsidP="004E6092">
            <w:pPr>
              <w:rPr>
                <w:rtl/>
              </w:rPr>
            </w:pPr>
            <w:r w:rsidRPr="001857D3">
              <w:rPr>
                <w:color w:val="000000"/>
                <w:rtl/>
              </w:rPr>
              <w:t xml:space="preserve">تقرير رئيس فريق العمل التابع للمجلس </w:t>
            </w:r>
            <w:r w:rsidR="007E2052" w:rsidRPr="001857D3">
              <w:rPr>
                <w:rFonts w:hint="cs"/>
                <w:color w:val="000000"/>
                <w:rtl/>
              </w:rPr>
              <w:t>و</w:t>
            </w:r>
            <w:r w:rsidRPr="001857D3">
              <w:rPr>
                <w:color w:val="000000"/>
                <w:rtl/>
              </w:rPr>
              <w:t>المعني بقضايا السياسات العامة الدولية المتعلقة بالإنترنت</w:t>
            </w:r>
          </w:p>
        </w:tc>
        <w:tc>
          <w:tcPr>
            <w:tcW w:w="2264" w:type="dxa"/>
          </w:tcPr>
          <w:p w14:paraId="78F3E01A" w14:textId="57C5E9C7" w:rsidR="00987455" w:rsidRPr="001857D3" w:rsidRDefault="007C7CDA" w:rsidP="007C7CDA">
            <w:pPr>
              <w:jc w:val="center"/>
              <w:rPr>
                <w:color w:val="0563C1"/>
                <w:u w:val="single"/>
                <w:rtl/>
              </w:rPr>
            </w:pPr>
            <w:hyperlink r:id="rId11" w:history="1">
              <w:r w:rsidRPr="001857D3">
                <w:rPr>
                  <w:rStyle w:val="Hyperlink"/>
                  <w:rFonts w:ascii="Dubai" w:eastAsiaTheme="minorEastAsia" w:hAnsi="Dubai" w:cs="Dubai"/>
                  <w:noProof w:val="0"/>
                  <w:color w:val="0563C1"/>
                  <w:sz w:val="22"/>
                  <w:u w:val="single"/>
                  <w:lang w:eastAsia="zh-CN"/>
                </w:rPr>
                <w:t>C25/51</w:t>
              </w:r>
            </w:hyperlink>
          </w:p>
        </w:tc>
      </w:tr>
      <w:tr w:rsidR="00987455" w14:paraId="75B0232E" w14:textId="77777777" w:rsidTr="00935824">
        <w:tc>
          <w:tcPr>
            <w:tcW w:w="592" w:type="dxa"/>
          </w:tcPr>
          <w:p w14:paraId="22DD6199" w14:textId="707AB2D8" w:rsidR="00987455" w:rsidRPr="001857D3" w:rsidRDefault="00987455" w:rsidP="00987455">
            <w:pPr>
              <w:jc w:val="center"/>
              <w:rPr>
                <w:rtl/>
              </w:rPr>
            </w:pPr>
            <w:r w:rsidRPr="001857D3">
              <w:t>5</w:t>
            </w:r>
          </w:p>
        </w:tc>
        <w:tc>
          <w:tcPr>
            <w:tcW w:w="6215" w:type="dxa"/>
            <w:gridSpan w:val="2"/>
          </w:tcPr>
          <w:p w14:paraId="21F5EF1A" w14:textId="14327111" w:rsidR="00987455" w:rsidRPr="001857D3" w:rsidRDefault="004E6092" w:rsidP="004E6092">
            <w:pPr>
              <w:rPr>
                <w:rtl/>
              </w:rPr>
            </w:pPr>
            <w:r w:rsidRPr="001857D3">
              <w:rPr>
                <w:color w:val="000000"/>
                <w:rtl/>
              </w:rPr>
              <w:t>أنشطة الاتحاد المتصلة بالإنترنت: القرارات 101 و102 و133 و180 و206 الصادرة عن مؤتمر المندوبين المفوضين</w:t>
            </w:r>
          </w:p>
        </w:tc>
        <w:tc>
          <w:tcPr>
            <w:tcW w:w="2264" w:type="dxa"/>
          </w:tcPr>
          <w:p w14:paraId="72E27BB1" w14:textId="03BF92BB" w:rsidR="00987455" w:rsidRPr="001857D3" w:rsidRDefault="007C7CDA" w:rsidP="007C7CDA">
            <w:pPr>
              <w:jc w:val="center"/>
              <w:rPr>
                <w:color w:val="0563C1"/>
                <w:u w:val="single"/>
                <w:rtl/>
              </w:rPr>
            </w:pPr>
            <w:hyperlink r:id="rId12" w:history="1">
              <w:r w:rsidRPr="001857D3">
                <w:rPr>
                  <w:rStyle w:val="Hyperlink"/>
                  <w:rFonts w:ascii="Dubai" w:eastAsiaTheme="minorEastAsia" w:hAnsi="Dubai" w:cs="Dubai"/>
                  <w:noProof w:val="0"/>
                  <w:color w:val="0563C1"/>
                  <w:sz w:val="22"/>
                  <w:u w:val="single"/>
                  <w:lang w:eastAsia="zh-CN"/>
                </w:rPr>
                <w:t>C25/33</w:t>
              </w:r>
            </w:hyperlink>
          </w:p>
        </w:tc>
      </w:tr>
      <w:tr w:rsidR="00935824" w14:paraId="57DC71A8" w14:textId="77777777" w:rsidTr="00935824">
        <w:tc>
          <w:tcPr>
            <w:tcW w:w="592" w:type="dxa"/>
          </w:tcPr>
          <w:p w14:paraId="01F22008" w14:textId="2E2BF45E" w:rsidR="00935824" w:rsidRPr="001857D3" w:rsidRDefault="00935824" w:rsidP="00935824">
            <w:pPr>
              <w:jc w:val="center"/>
              <w:rPr>
                <w:rtl/>
              </w:rPr>
            </w:pPr>
            <w:r w:rsidRPr="001857D3">
              <w:t>6</w:t>
            </w:r>
          </w:p>
        </w:tc>
        <w:tc>
          <w:tcPr>
            <w:tcW w:w="6215" w:type="dxa"/>
            <w:gridSpan w:val="2"/>
          </w:tcPr>
          <w:p w14:paraId="40C39225" w14:textId="7B7CA682" w:rsidR="00935824" w:rsidRPr="001857D3" w:rsidRDefault="004E6092" w:rsidP="004E6092">
            <w:pPr>
              <w:rPr>
                <w:rtl/>
              </w:rPr>
            </w:pPr>
            <w:r w:rsidRPr="001857D3">
              <w:rPr>
                <w:rtl/>
              </w:rPr>
              <w:t xml:space="preserve">تقرير رئيس فريق العمل التابع للمجلس والمعني بالقمة العالمية لمجتمع المعلومات وأهداف التنمية المستدامة </w:t>
            </w:r>
            <w:r w:rsidRPr="001857D3">
              <w:t>(CWG-WSIS&amp;SDG</w:t>
            </w:r>
            <w:r w:rsidR="00142DD9" w:rsidRPr="001857D3">
              <w:t>)</w:t>
            </w:r>
            <w:r w:rsidRPr="001857D3">
              <w:rPr>
                <w:rtl/>
              </w:rPr>
              <w:t xml:space="preserve"> بشأن نتائج الاجتماعين الحادي والأربعين والثاني والأربعين</w:t>
            </w:r>
          </w:p>
        </w:tc>
        <w:tc>
          <w:tcPr>
            <w:tcW w:w="2264" w:type="dxa"/>
          </w:tcPr>
          <w:p w14:paraId="29CA7AF9" w14:textId="22156A0D" w:rsidR="00935824" w:rsidRPr="001857D3" w:rsidRDefault="007C7CDA" w:rsidP="007C7CDA">
            <w:pPr>
              <w:jc w:val="center"/>
              <w:rPr>
                <w:color w:val="0563C1"/>
                <w:u w:val="single"/>
                <w:rtl/>
              </w:rPr>
            </w:pPr>
            <w:hyperlink r:id="rId13" w:history="1">
              <w:r w:rsidRPr="001857D3">
                <w:rPr>
                  <w:rStyle w:val="Hyperlink"/>
                  <w:rFonts w:ascii="Dubai" w:eastAsiaTheme="minorEastAsia" w:hAnsi="Dubai" w:cs="Dubai"/>
                  <w:noProof w:val="0"/>
                  <w:color w:val="0563C1"/>
                  <w:sz w:val="22"/>
                  <w:u w:val="single"/>
                  <w:lang w:eastAsia="zh-CN"/>
                </w:rPr>
                <w:t>C25/8</w:t>
              </w:r>
            </w:hyperlink>
          </w:p>
        </w:tc>
      </w:tr>
      <w:tr w:rsidR="004E6092" w14:paraId="12E8D7BF" w14:textId="77777777" w:rsidTr="00935824">
        <w:tc>
          <w:tcPr>
            <w:tcW w:w="592" w:type="dxa"/>
          </w:tcPr>
          <w:p w14:paraId="2110D9B2" w14:textId="26FBA368" w:rsidR="004E6092" w:rsidRPr="001857D3" w:rsidRDefault="004E6092" w:rsidP="00935824">
            <w:pPr>
              <w:jc w:val="center"/>
            </w:pPr>
            <w:r w:rsidRPr="001857D3">
              <w:t>7</w:t>
            </w:r>
          </w:p>
        </w:tc>
        <w:tc>
          <w:tcPr>
            <w:tcW w:w="6215" w:type="dxa"/>
            <w:gridSpan w:val="2"/>
          </w:tcPr>
          <w:p w14:paraId="1E7C49F9" w14:textId="6117237B" w:rsidR="004E6092" w:rsidRPr="001857D3" w:rsidRDefault="004E6092" w:rsidP="00142DD9">
            <w:pPr>
              <w:rPr>
                <w:rtl/>
              </w:rPr>
            </w:pPr>
            <w:r w:rsidRPr="001857D3">
              <w:rPr>
                <w:rtl/>
              </w:rPr>
              <w:t xml:space="preserve">تقرير القمة العالمية لمجتمع المعلومات بعد مرور عشرين عاماً على </w:t>
            </w:r>
            <w:r w:rsidR="007E2052" w:rsidRPr="001857D3">
              <w:rPr>
                <w:rFonts w:hint="cs"/>
                <w:rtl/>
              </w:rPr>
              <w:t>انعقادها</w:t>
            </w:r>
            <w:r w:rsidR="00142DD9" w:rsidRPr="001857D3">
              <w:rPr>
                <w:rFonts w:hint="cs"/>
                <w:rtl/>
              </w:rPr>
              <w:t> </w:t>
            </w:r>
            <w:r w:rsidRPr="001857D3">
              <w:rPr>
                <w:rtl/>
              </w:rPr>
              <w:t>(WSIS+20) بشأن مساهمة الاتحاد في تنفيذ ومتابعة نتائج القمة العالمية لمجتمع المعلومات ودوره في تحقيق أهداف التنمية المستدامة</w:t>
            </w:r>
          </w:p>
        </w:tc>
        <w:tc>
          <w:tcPr>
            <w:tcW w:w="2264" w:type="dxa"/>
          </w:tcPr>
          <w:p w14:paraId="212E93CD" w14:textId="3DD8FF77" w:rsidR="007C7CDA" w:rsidRPr="001857D3" w:rsidRDefault="007C7CDA" w:rsidP="007C7CDA">
            <w:pPr>
              <w:jc w:val="center"/>
              <w:rPr>
                <w:rStyle w:val="Hyperlink"/>
                <w:rFonts w:ascii="Dubai" w:eastAsiaTheme="minorEastAsia" w:hAnsi="Dubai" w:cs="Dubai"/>
                <w:noProof w:val="0"/>
                <w:color w:val="0563C1"/>
                <w:sz w:val="22"/>
                <w:u w:val="single"/>
                <w:rtl/>
                <w:lang w:eastAsia="zh-CN"/>
              </w:rPr>
            </w:pPr>
            <w:hyperlink r:id="rId14" w:history="1">
              <w:r w:rsidRPr="001857D3">
                <w:rPr>
                  <w:rStyle w:val="Hyperlink"/>
                  <w:rFonts w:ascii="Dubai" w:eastAsiaTheme="minorEastAsia" w:hAnsi="Dubai" w:cs="Dubai"/>
                  <w:noProof w:val="0"/>
                  <w:color w:val="0563C1"/>
                  <w:sz w:val="22"/>
                  <w:u w:val="single"/>
                  <w:lang w:eastAsia="zh-CN"/>
                </w:rPr>
                <w:t>C25/61</w:t>
              </w:r>
            </w:hyperlink>
            <w:r w:rsidRPr="001857D3">
              <w:rPr>
                <w:rFonts w:hint="cs"/>
                <w:color w:val="000000"/>
                <w:rtl/>
                <w:lang w:val="en-GB"/>
              </w:rPr>
              <w:t xml:space="preserve">، </w:t>
            </w:r>
            <w:hyperlink r:id="rId15" w:history="1">
              <w:r w:rsidRPr="001857D3">
                <w:rPr>
                  <w:rStyle w:val="Hyperlink"/>
                  <w:rFonts w:ascii="Dubai" w:eastAsiaTheme="minorEastAsia" w:hAnsi="Dubai" w:cs="Dubai"/>
                  <w:noProof w:val="0"/>
                  <w:color w:val="0563C1"/>
                  <w:sz w:val="22"/>
                  <w:u w:val="single"/>
                  <w:lang w:eastAsia="zh-CN"/>
                </w:rPr>
                <w:t>C25/80</w:t>
              </w:r>
            </w:hyperlink>
          </w:p>
        </w:tc>
      </w:tr>
      <w:tr w:rsidR="007C7CDA" w14:paraId="688DB36A" w14:textId="77777777" w:rsidTr="00935824">
        <w:tc>
          <w:tcPr>
            <w:tcW w:w="592" w:type="dxa"/>
          </w:tcPr>
          <w:p w14:paraId="055E23B4" w14:textId="5E5D5CBC" w:rsidR="007C7CDA" w:rsidRPr="001857D3" w:rsidRDefault="007C7CDA" w:rsidP="007C7CDA">
            <w:pPr>
              <w:jc w:val="center"/>
            </w:pPr>
            <w:r w:rsidRPr="001857D3">
              <w:t>8</w:t>
            </w:r>
          </w:p>
        </w:tc>
        <w:tc>
          <w:tcPr>
            <w:tcW w:w="6215" w:type="dxa"/>
            <w:gridSpan w:val="2"/>
          </w:tcPr>
          <w:p w14:paraId="078C6DFC" w14:textId="510197AA" w:rsidR="007C7CDA" w:rsidRPr="001857D3" w:rsidRDefault="007C7CDA" w:rsidP="007C7CDA">
            <w:pPr>
              <w:rPr>
                <w:rtl/>
              </w:rPr>
            </w:pPr>
            <w:r w:rsidRPr="001857D3">
              <w:rPr>
                <w:rtl/>
              </w:rPr>
              <w:t xml:space="preserve">التعازي بوفاة </w:t>
            </w:r>
            <w:proofErr w:type="spellStart"/>
            <w:r w:rsidRPr="001857D3">
              <w:rPr>
                <w:rtl/>
              </w:rPr>
              <w:t>نايجل</w:t>
            </w:r>
            <w:proofErr w:type="spellEnd"/>
            <w:r w:rsidRPr="001857D3">
              <w:rPr>
                <w:rtl/>
              </w:rPr>
              <w:t xml:space="preserve"> </w:t>
            </w:r>
            <w:proofErr w:type="spellStart"/>
            <w:r w:rsidRPr="001857D3">
              <w:rPr>
                <w:rtl/>
              </w:rPr>
              <w:t>هيكسون</w:t>
            </w:r>
            <w:proofErr w:type="spellEnd"/>
          </w:p>
        </w:tc>
        <w:tc>
          <w:tcPr>
            <w:tcW w:w="2264" w:type="dxa"/>
          </w:tcPr>
          <w:p w14:paraId="31641BDD" w14:textId="18E5EAF4" w:rsidR="007C7CDA" w:rsidRPr="001857D3" w:rsidRDefault="007C7CDA" w:rsidP="007C7CDA">
            <w:pPr>
              <w:jc w:val="center"/>
              <w:rPr>
                <w:color w:val="000000" w:themeColor="text1"/>
                <w:u w:val="single"/>
                <w:rtl/>
              </w:rPr>
            </w:pPr>
            <w:r w:rsidRPr="001857D3">
              <w:rPr>
                <w:lang w:bidi="ar-EG"/>
              </w:rPr>
              <w:t>-</w:t>
            </w:r>
          </w:p>
        </w:tc>
      </w:tr>
      <w:tr w:rsidR="007C7CDA" w14:paraId="44360C75" w14:textId="77777777" w:rsidTr="00935824">
        <w:tc>
          <w:tcPr>
            <w:tcW w:w="592" w:type="dxa"/>
          </w:tcPr>
          <w:p w14:paraId="2BF47DDA" w14:textId="3EBB913B" w:rsidR="007C7CDA" w:rsidRPr="001857D3" w:rsidRDefault="007C7CDA" w:rsidP="007C7CDA">
            <w:pPr>
              <w:jc w:val="center"/>
            </w:pPr>
            <w:r w:rsidRPr="001857D3">
              <w:t>9</w:t>
            </w:r>
          </w:p>
        </w:tc>
        <w:tc>
          <w:tcPr>
            <w:tcW w:w="6215" w:type="dxa"/>
            <w:gridSpan w:val="2"/>
          </w:tcPr>
          <w:p w14:paraId="5D8CF11B" w14:textId="4C1793AE" w:rsidR="007C7CDA" w:rsidRPr="001857D3" w:rsidRDefault="007C7CDA" w:rsidP="007C7CDA">
            <w:pPr>
              <w:rPr>
                <w:rtl/>
              </w:rPr>
            </w:pPr>
            <w:r w:rsidRPr="001857D3">
              <w:rPr>
                <w:rtl/>
              </w:rPr>
              <w:t>بيانات أدلى بها أعضاء المجلس</w:t>
            </w:r>
          </w:p>
        </w:tc>
        <w:tc>
          <w:tcPr>
            <w:tcW w:w="2264" w:type="dxa"/>
          </w:tcPr>
          <w:p w14:paraId="030A7BA5" w14:textId="47735D1F" w:rsidR="007C7CDA" w:rsidRPr="001857D3" w:rsidRDefault="007C7CDA" w:rsidP="007C7CDA">
            <w:pPr>
              <w:jc w:val="center"/>
              <w:rPr>
                <w:color w:val="000000" w:themeColor="text1"/>
                <w:u w:val="single"/>
                <w:rtl/>
              </w:rPr>
            </w:pPr>
            <w:r w:rsidRPr="001857D3">
              <w:rPr>
                <w:lang w:bidi="ar-EG"/>
              </w:rPr>
              <w:t>-</w:t>
            </w:r>
          </w:p>
        </w:tc>
      </w:tr>
    </w:tbl>
    <w:p w14:paraId="20567163" w14:textId="77777777" w:rsidR="00F50E3F" w:rsidRDefault="00F50E3F" w:rsidP="0043260A">
      <w:pPr>
        <w:rPr>
          <w:rtl/>
          <w:lang w:bidi="ar-EG"/>
        </w:rPr>
      </w:pPr>
      <w:r>
        <w:rPr>
          <w:rtl/>
          <w:lang w:bidi="ar-EG"/>
        </w:rPr>
        <w:br w:type="page"/>
      </w:r>
    </w:p>
    <w:p w14:paraId="5D8B8BF6" w14:textId="04ABF30A" w:rsidR="00955044" w:rsidRPr="00955044" w:rsidRDefault="00955044" w:rsidP="00955044">
      <w:pPr>
        <w:pStyle w:val="Heading1"/>
      </w:pPr>
      <w:r>
        <w:lastRenderedPageBreak/>
        <w:t>1</w:t>
      </w:r>
      <w:r w:rsidRPr="00955044">
        <w:rPr>
          <w:rtl/>
        </w:rPr>
        <w:tab/>
        <w:t>عرض بشأن مؤتمر المندوبين المفوضين عام 2026</w:t>
      </w:r>
    </w:p>
    <w:p w14:paraId="4D853A41" w14:textId="582239F4" w:rsidR="00955044" w:rsidRPr="00955044" w:rsidRDefault="00960A58" w:rsidP="00955044">
      <w:r>
        <w:t>1.1</w:t>
      </w:r>
      <w:r w:rsidR="00955044" w:rsidRPr="00955044">
        <w:rPr>
          <w:rtl/>
        </w:rPr>
        <w:tab/>
        <w:t xml:space="preserve">أوجز المراقب من قطر الأعمال التحضيرية لمؤتمر المندوبين المفوضين عام 2026 </w:t>
      </w:r>
      <w:r w:rsidR="00F579A2">
        <w:rPr>
          <w:rFonts w:hint="cs"/>
          <w:rtl/>
        </w:rPr>
        <w:t>(</w:t>
      </w:r>
      <w:r w:rsidR="00F579A2">
        <w:t>PP-26</w:t>
      </w:r>
      <w:r w:rsidR="00F579A2">
        <w:rPr>
          <w:rFonts w:hint="cs"/>
          <w:rtl/>
        </w:rPr>
        <w:t>)،</w:t>
      </w:r>
      <w:r w:rsidR="00955044" w:rsidRPr="00955044">
        <w:rPr>
          <w:rtl/>
        </w:rPr>
        <w:t xml:space="preserve"> المقرر عقده في</w:t>
      </w:r>
      <w:r w:rsidR="00F579A2">
        <w:rPr>
          <w:rFonts w:hint="cs"/>
          <w:rtl/>
        </w:rPr>
        <w:t> </w:t>
      </w:r>
      <w:r w:rsidR="00955044" w:rsidRPr="00955044">
        <w:rPr>
          <w:rtl/>
        </w:rPr>
        <w:t>مركز الدوحة للمعارض والمؤتمرات. وبعد إعلان الرئيس المُعيّن في أوائل عام 2024، زار وفد من الاتحاد الدولي للاتصالات قطر وأكد أن المكان يفي بمتطلبات المساحة والتكنولوجيا والأمن والموقع وسهولة النفاذ. وحُدّدت أدوار ومسؤوليات المؤتمر: حيث تتولى هيئة تنظيم الاتصالات القطرية مسؤولية المحتوى، وتتولى اللجنة الدائمة لتنظيم المؤتمرات في قطر مسؤولية الخدمات اللوجستية.</w:t>
      </w:r>
    </w:p>
    <w:p w14:paraId="0B18A569" w14:textId="0A7A8A59" w:rsidR="00955044" w:rsidRPr="00955044" w:rsidRDefault="00960A58" w:rsidP="00955044">
      <w:r>
        <w:t>2.1</w:t>
      </w:r>
      <w:r w:rsidR="00955044" w:rsidRPr="00955044">
        <w:rPr>
          <w:rtl/>
        </w:rPr>
        <w:tab/>
        <w:t>ويجري وضع الصيغة النهائية لاتفاق البلد المضيف وخطة الموقع، وستُطلق قريبا</w:t>
      </w:r>
      <w:r w:rsidR="007E2052">
        <w:rPr>
          <w:rFonts w:hint="cs"/>
          <w:rtl/>
        </w:rPr>
        <w:t>ً</w:t>
      </w:r>
      <w:r w:rsidR="00955044" w:rsidRPr="00955044">
        <w:rPr>
          <w:rtl/>
        </w:rPr>
        <w:t xml:space="preserve"> منصة فندق الوفود. وسيعود فريق الاتحاد إلى قطر في نوفمبر 2025 لمراقبة تنظيم القمة العالمية الثانية للتنمية الاجتماعية.</w:t>
      </w:r>
    </w:p>
    <w:p w14:paraId="4B8E5FCC" w14:textId="1A1A2CEF" w:rsidR="00955044" w:rsidRPr="00955044" w:rsidRDefault="00960A58" w:rsidP="00955044">
      <w:r>
        <w:t>3.1</w:t>
      </w:r>
      <w:r w:rsidR="00955044" w:rsidRPr="00955044">
        <w:rPr>
          <w:rtl/>
        </w:rPr>
        <w:tab/>
        <w:t>ووعدت قطر بمؤتمر عالمي المستوى في بيئة تجمع بين الأصالة والحداثة. وبالتعاون مع الاتحاد الدولي للاتصالات، تعمل قطر على وضع اللمسات الأخيرة على منصة رقمية للاتصالات والتسجيل والظهور المرئي للبرامج. وستصدر المبادئ التوجيهية بشأن العلامة المميزة بدءا</w:t>
      </w:r>
      <w:r w:rsidR="007E2052">
        <w:rPr>
          <w:rFonts w:hint="cs"/>
          <w:rtl/>
        </w:rPr>
        <w:t>ً</w:t>
      </w:r>
      <w:r w:rsidR="00955044" w:rsidRPr="00955044">
        <w:rPr>
          <w:rtl/>
        </w:rPr>
        <w:t xml:space="preserve"> من الشعار.</w:t>
      </w:r>
    </w:p>
    <w:p w14:paraId="2FFDE6DC" w14:textId="62B9AFFF" w:rsidR="00955044" w:rsidRPr="00955044" w:rsidRDefault="00960A58" w:rsidP="00955044">
      <w:r>
        <w:t>4.1</w:t>
      </w:r>
      <w:r w:rsidR="00955044" w:rsidRPr="00955044">
        <w:rPr>
          <w:rtl/>
        </w:rPr>
        <w:tab/>
        <w:t>وشاهد أعضاء المجلس تسجيلا</w:t>
      </w:r>
      <w:r w:rsidR="00F579A2">
        <w:rPr>
          <w:rFonts w:hint="cs"/>
          <w:rtl/>
        </w:rPr>
        <w:t>ً</w:t>
      </w:r>
      <w:r w:rsidR="00955044" w:rsidRPr="00955044">
        <w:rPr>
          <w:rtl/>
        </w:rPr>
        <w:t xml:space="preserve"> </w:t>
      </w:r>
      <w:proofErr w:type="spellStart"/>
      <w:r w:rsidR="00955044" w:rsidRPr="00955044">
        <w:rPr>
          <w:rtl/>
        </w:rPr>
        <w:t>فيديويا</w:t>
      </w:r>
      <w:r w:rsidR="00F579A2">
        <w:rPr>
          <w:rFonts w:hint="cs"/>
          <w:rtl/>
        </w:rPr>
        <w:t>ً</w:t>
      </w:r>
      <w:proofErr w:type="spellEnd"/>
      <w:r w:rsidR="00955044" w:rsidRPr="00955044">
        <w:rPr>
          <w:rtl/>
        </w:rPr>
        <w:t xml:space="preserve"> موجزا</w:t>
      </w:r>
      <w:r w:rsidR="00F579A2">
        <w:rPr>
          <w:rFonts w:hint="cs"/>
          <w:rtl/>
        </w:rPr>
        <w:t>ً</w:t>
      </w:r>
      <w:r w:rsidR="00955044" w:rsidRPr="00955044">
        <w:rPr>
          <w:rtl/>
        </w:rPr>
        <w:t xml:space="preserve"> عن مصدر إلهام شعار مؤتمر المندوبين المفوضين عام 2026.</w:t>
      </w:r>
    </w:p>
    <w:p w14:paraId="3A8E3FEB" w14:textId="7D822AF4" w:rsidR="00955044" w:rsidRPr="00955044" w:rsidRDefault="00960A58" w:rsidP="00955044">
      <w:r>
        <w:t>5.1</w:t>
      </w:r>
      <w:r w:rsidR="00955044" w:rsidRPr="00955044">
        <w:rPr>
          <w:rtl/>
        </w:rPr>
        <w:tab/>
        <w:t>وشكرت الأمينة العامة قطر على تعاونها القوي والتزامها بنجاح مؤتمر المندوبين المفوضين عام 2026.</w:t>
      </w:r>
    </w:p>
    <w:p w14:paraId="7E36E479" w14:textId="793A93EE" w:rsidR="00955044" w:rsidRPr="00955044" w:rsidRDefault="00955044" w:rsidP="00955044">
      <w:pPr>
        <w:pStyle w:val="Heading1"/>
      </w:pPr>
      <w:r>
        <w:t>2</w:t>
      </w:r>
      <w:r w:rsidRPr="00955044">
        <w:rPr>
          <w:rtl/>
        </w:rPr>
        <w:tab/>
        <w:t xml:space="preserve">الأعمال التحضيرية لمؤتمر المندوبين المفوضين عام 2026 (الوثيقة </w:t>
      </w:r>
      <w:hyperlink r:id="rId16" w:history="1">
        <w:r w:rsidRPr="00955044">
          <w:rPr>
            <w:rStyle w:val="Hyperlink"/>
            <w:rFonts w:ascii="Dubai" w:eastAsiaTheme="majorEastAsia" w:hAnsi="Dubai" w:cs="Dubai"/>
            <w:noProof w:val="0"/>
            <w:color w:val="0563C1"/>
            <w:sz w:val="26"/>
            <w:u w:val="single"/>
            <w:rtl/>
            <w:lang w:val="en-US" w:eastAsia="zh-CN"/>
          </w:rPr>
          <w:t>C25/4</w:t>
        </w:r>
      </w:hyperlink>
      <w:r w:rsidRPr="00955044">
        <w:rPr>
          <w:rtl/>
        </w:rPr>
        <w:t>)</w:t>
      </w:r>
      <w:hyperlink r:id="rId17" w:history="1"/>
    </w:p>
    <w:p w14:paraId="1AE7E873" w14:textId="08A1BBFB" w:rsidR="00955044" w:rsidRPr="00955044" w:rsidRDefault="00960A58" w:rsidP="00955044">
      <w:r>
        <w:t>1.2</w:t>
      </w:r>
      <w:r w:rsidR="00955044" w:rsidRPr="00955044">
        <w:rPr>
          <w:rtl/>
        </w:rPr>
        <w:tab/>
        <w:t>قدمت أمينة الجلسة العامة الوثيقة C25/4 التي تورد معلومات محدثة عن الأعمال التحضيرية لمؤتمر المندوبين المفوضين عام 2026 والتحسينات المخطط لها. وتجتمع الأمانة والبلد المضيف شهريا</w:t>
      </w:r>
      <w:r w:rsidR="00F579A2">
        <w:rPr>
          <w:rFonts w:hint="cs"/>
          <w:rtl/>
        </w:rPr>
        <w:t>ً</w:t>
      </w:r>
      <w:r w:rsidR="00955044" w:rsidRPr="00955044">
        <w:rPr>
          <w:rtl/>
        </w:rPr>
        <w:t xml:space="preserve"> عبر الإنترنت لتبادل المعلومات ومناقشة العناصر التحضيرية واستكمال اتفاق البلد المضيف وبدأ التحضير للرئيس المُعيّن.</w:t>
      </w:r>
    </w:p>
    <w:p w14:paraId="4DCD4C3C" w14:textId="2F825032" w:rsidR="00955044" w:rsidRPr="00955044" w:rsidRDefault="00960A58" w:rsidP="00955044">
      <w:r>
        <w:t>2.2</w:t>
      </w:r>
      <w:r w:rsidR="00955044" w:rsidRPr="00955044">
        <w:rPr>
          <w:rtl/>
        </w:rPr>
        <w:tab/>
        <w:t>وتضمنت الوثيقة، في الملحق، المبادئ التوجيهية بشأن الجوانب الأخلاقية لبعض أنشطة الحملات الانتخابية قبل مؤتمر المندوبين المفوضين، والتي طُلب من المجلس إعادة اعتمادها.</w:t>
      </w:r>
    </w:p>
    <w:p w14:paraId="57F26613" w14:textId="0CD963E6" w:rsidR="00955044" w:rsidRPr="00955044" w:rsidRDefault="00960A58" w:rsidP="00955044">
      <w:r>
        <w:t>3.2</w:t>
      </w:r>
      <w:r w:rsidR="00955044" w:rsidRPr="00955044">
        <w:rPr>
          <w:rtl/>
        </w:rPr>
        <w:tab/>
        <w:t>وشكر عددٌ من أعضاء المجلس ومراقبٌ حكومةَ قطر على استضافة مؤتمر المندوبين المفوضين عام 2026 وعلى جهودها. وذكر أحد أعضاء المجلس بأن لمنطقة الدول العربية سجلاً حافلاً في استضافة أحداث الاتحاد بنجاح.</w:t>
      </w:r>
    </w:p>
    <w:p w14:paraId="0942BD4C" w14:textId="5749F9C3" w:rsidR="00955044" w:rsidRPr="00955044" w:rsidRDefault="00960A58" w:rsidP="00955044">
      <w:r>
        <w:t>4.2</w:t>
      </w:r>
      <w:r w:rsidR="00955044" w:rsidRPr="00955044">
        <w:rPr>
          <w:rtl/>
        </w:rPr>
        <w:tab/>
        <w:t xml:space="preserve">وأثنى عدد من أعضاء المجلس على العملية التحضيرية الإقليمية </w:t>
      </w:r>
      <w:proofErr w:type="spellStart"/>
      <w:r w:rsidR="00955044" w:rsidRPr="00955044">
        <w:rPr>
          <w:rtl/>
        </w:rPr>
        <w:t>والأقاليمية</w:t>
      </w:r>
      <w:proofErr w:type="spellEnd"/>
      <w:r w:rsidR="00955044" w:rsidRPr="00955044">
        <w:rPr>
          <w:rtl/>
        </w:rPr>
        <w:t xml:space="preserve">. واقتُرح عقد </w:t>
      </w:r>
      <w:proofErr w:type="gramStart"/>
      <w:r w:rsidR="00955044" w:rsidRPr="00955044">
        <w:rPr>
          <w:rtl/>
        </w:rPr>
        <w:t>ثلاثة</w:t>
      </w:r>
      <w:proofErr w:type="gramEnd"/>
      <w:r w:rsidR="00955044" w:rsidRPr="00955044">
        <w:rPr>
          <w:rtl/>
        </w:rPr>
        <w:t xml:space="preserve"> اجتماعات </w:t>
      </w:r>
      <w:proofErr w:type="spellStart"/>
      <w:r w:rsidR="00955044" w:rsidRPr="00955044">
        <w:rPr>
          <w:rtl/>
        </w:rPr>
        <w:t>أقاليمية</w:t>
      </w:r>
      <w:proofErr w:type="spellEnd"/>
      <w:r w:rsidR="00955044" w:rsidRPr="00955044">
        <w:rPr>
          <w:rtl/>
        </w:rPr>
        <w:t>، كما في عامي 2018 و2022، ويفضل أن تكون في جنيف وبجانب اجتماعات الاتحاد الأخرى، من أجل الاستفادة من الحضور الدبلوماسي الكبير وتجنب تكاليف السفر. وينبغي أن تعقد الاجتماعات في نسق وفي وقت ييسران المشاركة عن ب</w:t>
      </w:r>
      <w:r w:rsidR="007E2052">
        <w:rPr>
          <w:rFonts w:hint="cs"/>
          <w:rtl/>
        </w:rPr>
        <w:t>ُ</w:t>
      </w:r>
      <w:r w:rsidR="00955044" w:rsidRPr="00955044">
        <w:rPr>
          <w:rtl/>
        </w:rPr>
        <w:t>عد والمشاركة بالحضور الشخصي على السواء.</w:t>
      </w:r>
    </w:p>
    <w:p w14:paraId="6064D0A5" w14:textId="4FCA09A3" w:rsidR="00955044" w:rsidRPr="00955044" w:rsidRDefault="00960A58" w:rsidP="00955044">
      <w:r>
        <w:t>5.2</w:t>
      </w:r>
      <w:r w:rsidR="00955044" w:rsidRPr="00955044">
        <w:rPr>
          <w:rtl/>
        </w:rPr>
        <w:tab/>
        <w:t>وأعلن عضو المجلس من المملكة العربية السعودية استعداد إدارته لاستضافة ا</w:t>
      </w:r>
      <w:r w:rsidR="00EA708E">
        <w:rPr>
          <w:rFonts w:hint="cs"/>
          <w:rtl/>
        </w:rPr>
        <w:t>لا</w:t>
      </w:r>
      <w:r w:rsidR="00955044" w:rsidRPr="00955044">
        <w:rPr>
          <w:rtl/>
        </w:rPr>
        <w:t xml:space="preserve">جتماع </w:t>
      </w:r>
      <w:proofErr w:type="spellStart"/>
      <w:r w:rsidR="00EA708E">
        <w:rPr>
          <w:rFonts w:hint="cs"/>
          <w:rtl/>
        </w:rPr>
        <w:t>ال</w:t>
      </w:r>
      <w:r w:rsidR="00955044" w:rsidRPr="00955044">
        <w:rPr>
          <w:rtl/>
        </w:rPr>
        <w:t>أقاليمي</w:t>
      </w:r>
      <w:proofErr w:type="spellEnd"/>
      <w:r w:rsidR="00955044" w:rsidRPr="00955044">
        <w:rPr>
          <w:rtl/>
        </w:rPr>
        <w:t xml:space="preserve"> </w:t>
      </w:r>
      <w:r w:rsidR="00EA708E">
        <w:rPr>
          <w:rFonts w:hint="cs"/>
          <w:rtl/>
        </w:rPr>
        <w:t xml:space="preserve">الأخير </w:t>
      </w:r>
      <w:r w:rsidR="00955044" w:rsidRPr="00955044">
        <w:rPr>
          <w:rtl/>
        </w:rPr>
        <w:t>قبل انعقاد مؤتمر المندوبين المفوضين عام 2026.</w:t>
      </w:r>
    </w:p>
    <w:p w14:paraId="16A52116" w14:textId="3FB546B4" w:rsidR="00955044" w:rsidRPr="00955044" w:rsidRDefault="00960A58" w:rsidP="00955044">
      <w:r>
        <w:t>6.2</w:t>
      </w:r>
      <w:r w:rsidR="00955044" w:rsidRPr="00955044">
        <w:rPr>
          <w:rtl/>
        </w:rPr>
        <w:tab/>
        <w:t>وأيد أعضاء المجلس الجهود المبذولة لزيادة مشاركة النساء والشباب. وينبغي تحديد دور الشباب بوضوح لتعزيز المشاركة الحقيقية من جانبهم. واقترح أحد أعضاء المجلس تكرار دورة أكاديمية الاتحاد عام 2022 بشأن مؤتمر المندوبين المفوضين ومهارات التفاوض للمندوبات، بما في ذلك المندوبات الجدد والشباب. وينبغي أن يستفيد المشاركون لأول مرة أيضا</w:t>
      </w:r>
      <w:r w:rsidR="00F579A2">
        <w:rPr>
          <w:rFonts w:hint="cs"/>
          <w:rtl/>
        </w:rPr>
        <w:t>ً</w:t>
      </w:r>
      <w:r w:rsidR="00955044" w:rsidRPr="00955044">
        <w:rPr>
          <w:rtl/>
        </w:rPr>
        <w:t xml:space="preserve"> من تدريب قادة أفرقة العمل أو لجان الدراسات.</w:t>
      </w:r>
    </w:p>
    <w:p w14:paraId="57F305FC" w14:textId="2E70B257" w:rsidR="00955044" w:rsidRPr="00955044" w:rsidRDefault="00960A58" w:rsidP="00955044">
      <w:r>
        <w:t>7.2</w:t>
      </w:r>
      <w:r w:rsidR="00955044" w:rsidRPr="00955044">
        <w:rPr>
          <w:rtl/>
        </w:rPr>
        <w:tab/>
        <w:t>وأقر عدد من أعضاء المجلس بفائدة تخصيص جزء وزاري محدد ولكنهم شددوا على الحاجة إلى وقت كاف أو دورات بديلة لتحقيق المشاركة القصوى رفيعة المستوى وتعزيز مشاركة أكثر دينامية.</w:t>
      </w:r>
    </w:p>
    <w:p w14:paraId="213968D8" w14:textId="241EFA3B" w:rsidR="00955044" w:rsidRPr="00955044" w:rsidRDefault="00960A58" w:rsidP="00955044">
      <w:r>
        <w:t>8.2</w:t>
      </w:r>
      <w:r w:rsidR="00955044" w:rsidRPr="00955044">
        <w:rPr>
          <w:rtl/>
        </w:rPr>
        <w:tab/>
        <w:t>وشدد عدد من أعضاء المجلس على أن وثائق المؤتمر ينبغي أن تكون شاملة قبل كل شيء. وينبغي ألا</w:t>
      </w:r>
      <w:r w:rsidR="007E2052">
        <w:rPr>
          <w:rFonts w:hint="cs"/>
          <w:rtl/>
        </w:rPr>
        <w:t> </w:t>
      </w:r>
      <w:r w:rsidR="00955044" w:rsidRPr="00955044">
        <w:rPr>
          <w:rtl/>
        </w:rPr>
        <w:t>يُقوّض اختصار طولها قدرة الدول الأعضاء على اتخاذ قرارات مستنيرة.</w:t>
      </w:r>
    </w:p>
    <w:p w14:paraId="3277E735" w14:textId="75152F49" w:rsidR="00955044" w:rsidRPr="007E2052" w:rsidRDefault="00960A58" w:rsidP="00955044">
      <w:pPr>
        <w:rPr>
          <w:spacing w:val="-2"/>
        </w:rPr>
      </w:pPr>
      <w:r w:rsidRPr="007E2052">
        <w:rPr>
          <w:spacing w:val="-2"/>
        </w:rPr>
        <w:t>9.2</w:t>
      </w:r>
      <w:r w:rsidR="00955044" w:rsidRPr="007E2052">
        <w:rPr>
          <w:spacing w:val="-2"/>
          <w:rtl/>
        </w:rPr>
        <w:tab/>
        <w:t>وقال أحد أعضاء المجلس إن المبادئ التوجيهية بشأن الجوانب الأخلاقية لبعض أنشطة الحملات الانتخابية تنص على تدابير واضحة لتجنب ما يبدو سلوكاً غير أخلاقي؛ وبما أن المرشحين يُعلن عنهم على الملأ في كثير من الأحيان قبل التواصل الرسمي مع الأمينة العامة، ينبغي حذف المتطلب، الداعي لمنح الموظف المعيَّن إجازة خاصة بدون أجر عند التواصل الرسمي بشأن ترشحه للانتخابات، من اللائحة 2.12 من النظام الأساسي والنظام الإداري للموظفين في</w:t>
      </w:r>
      <w:r w:rsidR="00F579A2" w:rsidRPr="007E2052">
        <w:rPr>
          <w:rFonts w:hint="cs"/>
          <w:spacing w:val="-2"/>
          <w:rtl/>
        </w:rPr>
        <w:t> </w:t>
      </w:r>
      <w:r w:rsidR="00955044" w:rsidRPr="007E2052">
        <w:rPr>
          <w:spacing w:val="-2"/>
          <w:rtl/>
        </w:rPr>
        <w:t>الاتحاد.</w:t>
      </w:r>
    </w:p>
    <w:p w14:paraId="3CEDB3B2" w14:textId="5372733D" w:rsidR="00955044" w:rsidRPr="00955044" w:rsidRDefault="00960A58" w:rsidP="00955044">
      <w:r>
        <w:lastRenderedPageBreak/>
        <w:t>10.2</w:t>
      </w:r>
      <w:r w:rsidR="00955044" w:rsidRPr="00955044">
        <w:rPr>
          <w:rtl/>
        </w:rPr>
        <w:tab/>
        <w:t>وأيد أحد أعضاء المجلس تقليل مواد الحملات الانتخابية لزيادة المسؤولية البيئية وأوصى بإعادة التدوير في</w:t>
      </w:r>
      <w:r w:rsidR="006D78FC">
        <w:rPr>
          <w:rFonts w:hint="cs"/>
          <w:rtl/>
        </w:rPr>
        <w:t> </w:t>
      </w:r>
      <w:r w:rsidR="00955044" w:rsidRPr="00955044">
        <w:rPr>
          <w:rtl/>
        </w:rPr>
        <w:t>الأماكن التي تستخدم فيها المواد. واقترح أيضا</w:t>
      </w:r>
      <w:r w:rsidR="007E2052">
        <w:rPr>
          <w:rFonts w:hint="cs"/>
          <w:rtl/>
        </w:rPr>
        <w:t>ً</w:t>
      </w:r>
      <w:r w:rsidR="00955044" w:rsidRPr="00955044">
        <w:rPr>
          <w:rtl/>
        </w:rPr>
        <w:t xml:space="preserve"> أن تستكشف الأمانة خيارات التصويت الإلكتروني، بالاستفادة من الممارسات الفضلى المتبعة في منظمات الأمم المتحدة الأخرى.</w:t>
      </w:r>
    </w:p>
    <w:p w14:paraId="06138C88" w14:textId="77FF07A6" w:rsidR="00955044" w:rsidRPr="00955044" w:rsidRDefault="00960A58" w:rsidP="00955044">
      <w:r>
        <w:t>11.2</w:t>
      </w:r>
      <w:r w:rsidR="00955044" w:rsidRPr="00955044">
        <w:rPr>
          <w:rtl/>
        </w:rPr>
        <w:t xml:space="preserve"> </w:t>
      </w:r>
      <w:r w:rsidR="00955044" w:rsidRPr="00955044">
        <w:rPr>
          <w:rtl/>
        </w:rPr>
        <w:tab/>
        <w:t>وأكد السيد أحمد عبد الله المسلماني، الرئيس المعيَّن لمؤتمر المندوبين المفوضين عام 2026، تأييده لعقد اجتماعات على المستوى الوزاري خلال الأيام الثلاثة الأولى من المؤتمر لتعزيز الحوار السياسي. وسيتبع البلد المضيف معايير الأمم المتحدة للاستدامة، بما في ذلك الحد من استخدام الورق والطاقة. وتهدف قطر إلى تعزيز المشاركة الشاملة للنساء والشباب، من خلال تبادل الخبرات والتدريب قبل المؤتمر. وبصفته رئيسا</w:t>
      </w:r>
      <w:r w:rsidR="006D78FC">
        <w:rPr>
          <w:rFonts w:hint="cs"/>
          <w:rtl/>
        </w:rPr>
        <w:t>ً</w:t>
      </w:r>
      <w:r w:rsidR="00955044" w:rsidRPr="00955044">
        <w:rPr>
          <w:rtl/>
        </w:rPr>
        <w:t>، سيعمل على بناء توافق في الآراء وتعزيز التعاون، مستفيدا</w:t>
      </w:r>
      <w:r w:rsidR="006D78FC">
        <w:rPr>
          <w:rFonts w:hint="cs"/>
          <w:rtl/>
        </w:rPr>
        <w:t>ً</w:t>
      </w:r>
      <w:r w:rsidR="00955044" w:rsidRPr="00955044">
        <w:rPr>
          <w:rtl/>
        </w:rPr>
        <w:t xml:space="preserve"> من خبرات رئيسي مؤتمر المندوبين المفوضين عام 2018 ومؤتمر المندوبين المفوضين عام 2022</w:t>
      </w:r>
      <w:r w:rsidR="001857D3">
        <w:rPr>
          <w:rFonts w:hint="cs"/>
          <w:rtl/>
        </w:rPr>
        <w:t>.</w:t>
      </w:r>
      <w:r w:rsidR="00955044" w:rsidRPr="00955044">
        <w:rPr>
          <w:rtl/>
        </w:rPr>
        <w:t xml:space="preserve"> </w:t>
      </w:r>
      <w:r w:rsidR="00EA708E" w:rsidRPr="00EA708E">
        <w:rPr>
          <w:rtl/>
        </w:rPr>
        <w:t xml:space="preserve">‏وشدد بوجه خاص على قيمة العملية التحضيرية </w:t>
      </w:r>
      <w:proofErr w:type="spellStart"/>
      <w:r w:rsidR="00EA708E" w:rsidRPr="00EA708E">
        <w:rPr>
          <w:rtl/>
        </w:rPr>
        <w:t>الأقاليمية</w:t>
      </w:r>
      <w:proofErr w:type="spellEnd"/>
      <w:r w:rsidR="00EA708E" w:rsidRPr="00EA708E">
        <w:rPr>
          <w:rtl/>
        </w:rPr>
        <w:t xml:space="preserve"> التي اعت</w:t>
      </w:r>
      <w:r w:rsidR="00EA708E">
        <w:rPr>
          <w:rFonts w:hint="cs"/>
          <w:rtl/>
        </w:rPr>
        <w:t>ُ</w:t>
      </w:r>
      <w:r w:rsidR="00EA708E" w:rsidRPr="00EA708E">
        <w:rPr>
          <w:rtl/>
        </w:rPr>
        <w:t xml:space="preserve">مدت قبل مؤتمر المندوبين المفوضين عام </w:t>
      </w:r>
      <w:r w:rsidR="00EA708E" w:rsidRPr="00EA708E">
        <w:rPr>
          <w:cs/>
        </w:rPr>
        <w:t>‎</w:t>
      </w:r>
      <w:r w:rsidR="00EA708E" w:rsidRPr="00EA708E">
        <w:t>2018</w:t>
      </w:r>
      <w:r w:rsidR="00EA708E" w:rsidRPr="00EA708E">
        <w:rPr>
          <w:rtl/>
        </w:rPr>
        <w:t xml:space="preserve">‏، وقال إنه منخرط </w:t>
      </w:r>
      <w:r w:rsidR="00EA708E">
        <w:rPr>
          <w:rFonts w:hint="cs"/>
          <w:rtl/>
        </w:rPr>
        <w:t>تماماً</w:t>
      </w:r>
      <w:r w:rsidR="00EA708E" w:rsidRPr="00EA708E">
        <w:rPr>
          <w:rtl/>
        </w:rPr>
        <w:t xml:space="preserve"> في هذه العملية قبل مؤتمر المندوبين المفوضين عام </w:t>
      </w:r>
      <w:r w:rsidR="00EA708E" w:rsidRPr="00EA708E">
        <w:rPr>
          <w:cs/>
        </w:rPr>
        <w:t>‎</w:t>
      </w:r>
      <w:r w:rsidR="00EA708E" w:rsidRPr="00EA708E">
        <w:t>2026</w:t>
      </w:r>
      <w:r w:rsidR="00EA708E" w:rsidRPr="00EA708E">
        <w:rPr>
          <w:rtl/>
        </w:rPr>
        <w:t>. ‏ومن شأن عملية تحضيرية فعالة وتعاونية أن تكفل نجاح المؤتمر. وأضاف أيضا</w:t>
      </w:r>
      <w:r w:rsidR="00C90EEF">
        <w:rPr>
          <w:rFonts w:hint="cs"/>
          <w:rtl/>
        </w:rPr>
        <w:t>ً</w:t>
      </w:r>
      <w:r w:rsidR="00EA708E" w:rsidRPr="00EA708E">
        <w:rPr>
          <w:rtl/>
        </w:rPr>
        <w:t xml:space="preserve"> أن التوازن الجغرافي</w:t>
      </w:r>
      <w:r w:rsidR="00EA708E" w:rsidRPr="00EA708E">
        <w:rPr>
          <w:cs/>
        </w:rPr>
        <w:t>‎</w:t>
      </w:r>
      <w:r w:rsidR="00EA708E">
        <w:rPr>
          <w:rFonts w:hint="cs"/>
          <w:rtl/>
        </w:rPr>
        <w:t xml:space="preserve"> </w:t>
      </w:r>
      <w:r w:rsidR="00955044" w:rsidRPr="00955044">
        <w:rPr>
          <w:rtl/>
        </w:rPr>
        <w:t>سيُضمن في القيادة بناءً على المقترحات الإقليمية.</w:t>
      </w:r>
    </w:p>
    <w:p w14:paraId="37030138" w14:textId="0A8D8925" w:rsidR="00955044" w:rsidRPr="00955044" w:rsidRDefault="00960A58" w:rsidP="00955044">
      <w:r>
        <w:t>12.2</w:t>
      </w:r>
      <w:r w:rsidR="00955044" w:rsidRPr="00955044">
        <w:rPr>
          <w:rtl/>
        </w:rPr>
        <w:tab/>
        <w:t xml:space="preserve">وتحدثت عضو المجلس من رومانيا، بصفتها مضيفة مؤتمر المندوبين المفوضين عام 2022، وأعربت عن تقديرها للتسهيلات التي يجري إعدادها في الدوحة، والدعم القوي الذي تقدمه الأمانة، وعملية التنسيق </w:t>
      </w:r>
      <w:proofErr w:type="spellStart"/>
      <w:r w:rsidR="00955044" w:rsidRPr="00955044">
        <w:rPr>
          <w:rtl/>
        </w:rPr>
        <w:t>الأقاليمية</w:t>
      </w:r>
      <w:proofErr w:type="spellEnd"/>
      <w:r w:rsidR="00955044" w:rsidRPr="00955044">
        <w:rPr>
          <w:rtl/>
        </w:rPr>
        <w:t xml:space="preserve"> التي من شأنها أن توفر الوقت وتحد من الجلسات المتأخرة. وأيدت مبادرات التدريب والتدابير البيئية المخططة وأيدت المبادئ التوجيهية المتعلقة بأنشطة الحملات الانتخابية.</w:t>
      </w:r>
    </w:p>
    <w:p w14:paraId="09528396" w14:textId="4DED3541" w:rsidR="00955044" w:rsidRPr="00955044" w:rsidRDefault="00960A58" w:rsidP="00955044">
      <w:r w:rsidRPr="003C2E8F">
        <w:t>13.2</w:t>
      </w:r>
      <w:r w:rsidR="00955044" w:rsidRPr="003C2E8F">
        <w:rPr>
          <w:rtl/>
        </w:rPr>
        <w:t xml:space="preserve"> </w:t>
      </w:r>
      <w:r w:rsidR="00955044" w:rsidRPr="003C2E8F">
        <w:rPr>
          <w:rtl/>
        </w:rPr>
        <w:tab/>
        <w:t>وأكدت أمينة الجلسة العامة أن الأمانة ستواصل تقديم المواد التدريبية بشأن عمليات المؤتمر. ورحبت بعرض المملكة العربية السعودية استضافة ا</w:t>
      </w:r>
      <w:r w:rsidR="00426BB6">
        <w:rPr>
          <w:rFonts w:hint="cs"/>
          <w:rtl/>
        </w:rPr>
        <w:t>لا</w:t>
      </w:r>
      <w:r w:rsidR="00955044" w:rsidRPr="003C2E8F">
        <w:rPr>
          <w:rtl/>
        </w:rPr>
        <w:t xml:space="preserve">جتماع </w:t>
      </w:r>
      <w:r w:rsidR="00426BB6">
        <w:rPr>
          <w:rFonts w:hint="cs"/>
          <w:rtl/>
        </w:rPr>
        <w:t>ال</w:t>
      </w:r>
      <w:r w:rsidR="00955044" w:rsidRPr="003C2E8F">
        <w:rPr>
          <w:rtl/>
        </w:rPr>
        <w:t xml:space="preserve">تحضيري </w:t>
      </w:r>
      <w:proofErr w:type="spellStart"/>
      <w:r w:rsidR="00426BB6">
        <w:rPr>
          <w:rFonts w:hint="cs"/>
          <w:rtl/>
        </w:rPr>
        <w:t>ال</w:t>
      </w:r>
      <w:r w:rsidR="00955044" w:rsidRPr="003C2E8F">
        <w:rPr>
          <w:rtl/>
        </w:rPr>
        <w:t>أقاليمي</w:t>
      </w:r>
      <w:proofErr w:type="spellEnd"/>
      <w:r w:rsidR="00426BB6">
        <w:rPr>
          <w:rFonts w:hint="cs"/>
          <w:rtl/>
        </w:rPr>
        <w:t xml:space="preserve"> الأخير</w:t>
      </w:r>
      <w:r w:rsidR="00955044" w:rsidRPr="003C2E8F">
        <w:rPr>
          <w:rtl/>
        </w:rPr>
        <w:t>، تسهَّل فيه المشاركة عن ب</w:t>
      </w:r>
      <w:r w:rsidR="003C2E8F" w:rsidRPr="003C2E8F">
        <w:rPr>
          <w:rFonts w:hint="cs"/>
          <w:rtl/>
        </w:rPr>
        <w:t>ُ</w:t>
      </w:r>
      <w:r w:rsidR="00955044" w:rsidRPr="003C2E8F">
        <w:rPr>
          <w:rtl/>
        </w:rPr>
        <w:t>عد. وفيما يتعلق بالتعديل المطلوب للائحة 2.12 من النظام الأساسي والنظام الإداري للموظفين، فإن هذه المسألة تقع ضمن اختصاص المجلس. والمبادئ التوجيهية بشأن الجوانب الأخلاقية لبعض أنشطة الحملات الانتخابية، التي لم تتغير والتي سبق أن أُقرت في</w:t>
      </w:r>
      <w:r w:rsidR="006D78FC" w:rsidRPr="003C2E8F">
        <w:rPr>
          <w:rFonts w:hint="cs"/>
          <w:rtl/>
        </w:rPr>
        <w:t> </w:t>
      </w:r>
      <w:r w:rsidR="00955044" w:rsidRPr="003C2E8F">
        <w:rPr>
          <w:rtl/>
        </w:rPr>
        <w:t>عامي 2017 و2021، فهي ليست ملزمة قانونا</w:t>
      </w:r>
      <w:r w:rsidR="006D78FC" w:rsidRPr="003C2E8F">
        <w:rPr>
          <w:rFonts w:hint="cs"/>
          <w:rtl/>
        </w:rPr>
        <w:t>ً</w:t>
      </w:r>
      <w:r w:rsidR="00955044" w:rsidRPr="003C2E8F">
        <w:rPr>
          <w:rtl/>
        </w:rPr>
        <w:t>؛ ومن شأن معاودة إقرارها أن تقدم توجيهات مستمرة للحملات الانتخابية المقبلة.</w:t>
      </w:r>
    </w:p>
    <w:p w14:paraId="3D8EB47C" w14:textId="5F4AC680" w:rsidR="00955044" w:rsidRPr="00955044" w:rsidRDefault="00960A58" w:rsidP="00955044">
      <w:r>
        <w:t>14.2</w:t>
      </w:r>
      <w:r w:rsidR="00955044" w:rsidRPr="00955044">
        <w:rPr>
          <w:rtl/>
        </w:rPr>
        <w:tab/>
        <w:t>واقترحت الرئيسة أن يأخذ المجلس علما</w:t>
      </w:r>
      <w:r w:rsidR="006D78FC">
        <w:rPr>
          <w:rFonts w:hint="cs"/>
          <w:rtl/>
        </w:rPr>
        <w:t>ً</w:t>
      </w:r>
      <w:r w:rsidR="00955044" w:rsidRPr="00955044">
        <w:rPr>
          <w:rtl/>
        </w:rPr>
        <w:t xml:space="preserve"> بالوثيقة C25/4 وأن يعيد إقرار المبادئ التوجيهية بشأن الجوانب الأخلاقية لبعض أنشطة الحملات الانتخابية.</w:t>
      </w:r>
    </w:p>
    <w:p w14:paraId="26AECC38" w14:textId="02A8023D" w:rsidR="00955044" w:rsidRPr="00955044" w:rsidRDefault="00960A58" w:rsidP="00955044">
      <w:r>
        <w:t>15.2</w:t>
      </w:r>
      <w:r w:rsidR="00955044" w:rsidRPr="00955044">
        <w:rPr>
          <w:rtl/>
        </w:rPr>
        <w:tab/>
      </w:r>
      <w:r w:rsidR="00955044" w:rsidRPr="00955044">
        <w:rPr>
          <w:b/>
          <w:bCs/>
          <w:rtl/>
        </w:rPr>
        <w:t>واتُّفق</w:t>
      </w:r>
      <w:r w:rsidR="00955044" w:rsidRPr="00955044">
        <w:rPr>
          <w:rtl/>
        </w:rPr>
        <w:t xml:space="preserve"> على ذلك.</w:t>
      </w:r>
    </w:p>
    <w:p w14:paraId="1ADD4BA6" w14:textId="2B0320D1" w:rsidR="00955044" w:rsidRPr="00955044" w:rsidRDefault="00955044" w:rsidP="00955044">
      <w:pPr>
        <w:pStyle w:val="Heading1"/>
      </w:pPr>
      <w:r>
        <w:t>3</w:t>
      </w:r>
      <w:r w:rsidRPr="00955044">
        <w:rPr>
          <w:rtl/>
        </w:rPr>
        <w:tab/>
        <w:t>تقرير عن الندوة العالمية للمعايير عام 2024 وعن الجمعية العالمية لتقييس الاتصالات عام 2024 (الوثيق</w:t>
      </w:r>
      <w:r w:rsidR="003C2E8F">
        <w:rPr>
          <w:rFonts w:hint="cs"/>
          <w:rtl/>
        </w:rPr>
        <w:t>تان</w:t>
      </w:r>
      <w:r w:rsidRPr="00955044">
        <w:rPr>
          <w:rtl/>
        </w:rPr>
        <w:t xml:space="preserve"> </w:t>
      </w:r>
      <w:hyperlink r:id="rId18" w:history="1">
        <w:r w:rsidRPr="00955044">
          <w:rPr>
            <w:rStyle w:val="Hyperlink"/>
            <w:rFonts w:ascii="Dubai" w:eastAsiaTheme="majorEastAsia" w:hAnsi="Dubai" w:cs="Dubai"/>
            <w:noProof w:val="0"/>
            <w:color w:val="0563C1"/>
            <w:sz w:val="26"/>
            <w:rtl/>
            <w:lang w:val="en-US" w:eastAsia="zh-CN"/>
          </w:rPr>
          <w:t>C25/24</w:t>
        </w:r>
      </w:hyperlink>
      <w:r w:rsidR="003C2E8F">
        <w:rPr>
          <w:rFonts w:hint="cs"/>
          <w:rtl/>
        </w:rPr>
        <w:t xml:space="preserve"> و</w:t>
      </w:r>
      <w:hyperlink r:id="rId19" w:history="1">
        <w:r w:rsidRPr="00955044">
          <w:rPr>
            <w:rStyle w:val="Hyperlink"/>
            <w:rFonts w:ascii="Dubai" w:eastAsiaTheme="majorEastAsia" w:hAnsi="Dubai" w:cs="Dubai"/>
            <w:noProof w:val="0"/>
            <w:color w:val="0563C1"/>
            <w:sz w:val="26"/>
            <w:u w:val="single"/>
            <w:rtl/>
            <w:lang w:val="en-US" w:eastAsia="zh-CN"/>
          </w:rPr>
          <w:t>C25/INF/14</w:t>
        </w:r>
      </w:hyperlink>
      <w:r w:rsidRPr="00955044">
        <w:rPr>
          <w:rtl/>
        </w:rPr>
        <w:t>)</w:t>
      </w:r>
      <w:hyperlink r:id="rId20" w:history="1"/>
      <w:hyperlink r:id="rId21" w:history="1"/>
    </w:p>
    <w:p w14:paraId="36ABE7D6" w14:textId="5FC8B3DF" w:rsidR="00955044" w:rsidRPr="00955044" w:rsidRDefault="00960A58" w:rsidP="00955044">
      <w:r>
        <w:t>1.3</w:t>
      </w:r>
      <w:r w:rsidR="00955044" w:rsidRPr="00955044">
        <w:rPr>
          <w:rtl/>
        </w:rPr>
        <w:tab/>
        <w:t xml:space="preserve">أعرب مدير مكتب تقييس الاتصالات </w:t>
      </w:r>
      <w:r w:rsidR="00955044" w:rsidRPr="00955044">
        <w:t>(TSB</w:t>
      </w:r>
      <w:r w:rsidR="00F8051A">
        <w:t>)</w:t>
      </w:r>
      <w:r w:rsidR="00955044" w:rsidRPr="00955044">
        <w:rPr>
          <w:rtl/>
        </w:rPr>
        <w:t xml:space="preserve"> عن خالص امتنانه لحكومة الهند على كرم ضيافتها الاستثنائي والترتيبات المتخذة من أجل الندوة العالمية للمعايير عام 2024 (</w:t>
      </w:r>
      <w:r w:rsidR="003C2E8F">
        <w:t>GSS</w:t>
      </w:r>
      <w:r w:rsidR="003C2E8F">
        <w:noBreakHyphen/>
        <w:t>24</w:t>
      </w:r>
      <w:r w:rsidR="00955044" w:rsidRPr="00955044">
        <w:rPr>
          <w:rtl/>
        </w:rPr>
        <w:t>) والجمعية العالمية لتقييس الاتصالات عام</w:t>
      </w:r>
      <w:r w:rsidR="00F8051A">
        <w:rPr>
          <w:rFonts w:hint="cs"/>
          <w:rtl/>
        </w:rPr>
        <w:t> </w:t>
      </w:r>
      <w:r w:rsidR="00955044" w:rsidRPr="00955044">
        <w:rPr>
          <w:rtl/>
        </w:rPr>
        <w:t>2024 (</w:t>
      </w:r>
      <w:r w:rsidR="003C2E8F">
        <w:t>WTSA</w:t>
      </w:r>
      <w:r w:rsidR="003C2E8F">
        <w:noBreakHyphen/>
        <w:t>24</w:t>
      </w:r>
      <w:r w:rsidR="00955044" w:rsidRPr="00955044">
        <w:rPr>
          <w:rtl/>
        </w:rPr>
        <w:t>).</w:t>
      </w:r>
    </w:p>
    <w:p w14:paraId="7BE9CFFC" w14:textId="71464BE0" w:rsidR="00955044" w:rsidRPr="00955044" w:rsidRDefault="00960A58" w:rsidP="00955044">
      <w:r>
        <w:t>2.3</w:t>
      </w:r>
      <w:r w:rsidR="00955044" w:rsidRPr="00955044">
        <w:rPr>
          <w:rtl/>
        </w:rPr>
        <w:tab/>
        <w:t>وقدم نائب مدير مكتب تقييس الاتصالات تقرير الأمانة عن الحدثين (الوثيقة C25/24) ودعا أعضاء المجلس إلى الرجوع إلى الوثيقة C25/INF/14 للاطلاع على مزيد من التفاصيل عن الحدثين.</w:t>
      </w:r>
    </w:p>
    <w:p w14:paraId="53DCEF2E" w14:textId="7A1FA5E1" w:rsidR="00955044" w:rsidRPr="00955044" w:rsidRDefault="00960A58" w:rsidP="00955044">
      <w:r>
        <w:t>3.3</w:t>
      </w:r>
      <w:r w:rsidR="00955044" w:rsidRPr="00955044">
        <w:rPr>
          <w:rtl/>
        </w:rPr>
        <w:tab/>
        <w:t>وأشاد عدد من أعضاء المجلس بنتائج الحدثين، مشيرين إلى أن مدخلات الندوة العالمية للمعايير عام</w:t>
      </w:r>
      <w:r w:rsidR="00F8051A">
        <w:rPr>
          <w:rFonts w:hint="cs"/>
          <w:rtl/>
        </w:rPr>
        <w:t> </w:t>
      </w:r>
      <w:r w:rsidR="00955044" w:rsidRPr="00955044">
        <w:rPr>
          <w:rtl/>
        </w:rPr>
        <w:t>2024</w:t>
      </w:r>
      <w:r w:rsidR="00F8051A">
        <w:rPr>
          <w:rFonts w:hint="cs"/>
          <w:rtl/>
        </w:rPr>
        <w:t> </w:t>
      </w:r>
      <w:r w:rsidR="00955044" w:rsidRPr="00955044">
        <w:rPr>
          <w:rtl/>
        </w:rPr>
        <w:t>(GSS-24) يسرت نتائج الجمعية العالمية لتقييس الاتصالات عام 2024 (</w:t>
      </w:r>
      <w:r w:rsidR="003C2E8F">
        <w:t>WTSA</w:t>
      </w:r>
      <w:r w:rsidR="003C2E8F">
        <w:noBreakHyphen/>
        <w:t>24</w:t>
      </w:r>
      <w:r w:rsidR="00955044" w:rsidRPr="00955044">
        <w:rPr>
          <w:rtl/>
        </w:rPr>
        <w:t xml:space="preserve">)، والتي تضمنت قرارات جديدة ومراجعة بشأن أعمال قطاع تقييس الاتصالات في مجالات رئيسية، مثل التحول الرقمي المستدام والبنية التحتية العمومية الرقمية </w:t>
      </w:r>
      <w:proofErr w:type="spellStart"/>
      <w:r w:rsidR="00955044" w:rsidRPr="00955044">
        <w:rPr>
          <w:rtl/>
        </w:rPr>
        <w:t>ورقمنة</w:t>
      </w:r>
      <w:proofErr w:type="spellEnd"/>
      <w:r w:rsidR="00955044" w:rsidRPr="00955044">
        <w:rPr>
          <w:rtl/>
        </w:rPr>
        <w:t xml:space="preserve"> المجتمعات، ودمج لجنتي الدراسات 9 و16 في لجنة الدراسات 21 بقطاع تقييس الاتصالات المنشأة حديثا</w:t>
      </w:r>
      <w:r w:rsidR="00183A0D">
        <w:rPr>
          <w:rFonts w:hint="cs"/>
          <w:rtl/>
        </w:rPr>
        <w:t>ً</w:t>
      </w:r>
      <w:r w:rsidR="00955044" w:rsidRPr="00955044">
        <w:rPr>
          <w:rtl/>
        </w:rPr>
        <w:t>.</w:t>
      </w:r>
    </w:p>
    <w:p w14:paraId="5DD0A2A2" w14:textId="08AB3075" w:rsidR="00955044" w:rsidRPr="00955044" w:rsidRDefault="00960A58" w:rsidP="00955044">
      <w:r>
        <w:t>4.3</w:t>
      </w:r>
      <w:r w:rsidR="00955044" w:rsidRPr="00955044">
        <w:rPr>
          <w:rtl/>
        </w:rPr>
        <w:tab/>
        <w:t xml:space="preserve">ورحب عضو آخر بالتركيز المتزايد على التقييس في مجال الذكاء الاصطناعي </w:t>
      </w:r>
      <w:r w:rsidR="00955044" w:rsidRPr="00955044">
        <w:t>(AI</w:t>
      </w:r>
      <w:r w:rsidR="00F14233">
        <w:t>)</w:t>
      </w:r>
      <w:r w:rsidR="00955044" w:rsidRPr="00955044">
        <w:rPr>
          <w:rtl/>
        </w:rPr>
        <w:t xml:space="preserve"> والاستدامة، وبالتقدم الذي أحرزته شبكة المرأة في قطاع تقييس الاتصالات. وأيد الدعوة إلى ترشيح نساء لشغل مناصب قيادية في قطاع تقييس</w:t>
      </w:r>
      <w:r w:rsidR="00F14233">
        <w:rPr>
          <w:rFonts w:hint="cs"/>
          <w:rtl/>
        </w:rPr>
        <w:t> </w:t>
      </w:r>
      <w:r w:rsidR="00955044" w:rsidRPr="00955044">
        <w:rPr>
          <w:rtl/>
        </w:rPr>
        <w:t>الاتصالات.</w:t>
      </w:r>
    </w:p>
    <w:p w14:paraId="27FC0269" w14:textId="720E901B" w:rsidR="00955044" w:rsidRPr="00955044" w:rsidRDefault="00960A58" w:rsidP="00955044">
      <w:r>
        <w:t>5.3</w:t>
      </w:r>
      <w:r w:rsidR="00955044" w:rsidRPr="00955044">
        <w:rPr>
          <w:rtl/>
        </w:rPr>
        <w:tab/>
        <w:t>وشكرت الأمينة العامة حكومة الهند على كرم ضيافتها وتنظيمها السلس للحدثين. وأظهرت نتائج الجمعية العالمية لتقييس الاتصالات عام 2024 التزاما</w:t>
      </w:r>
      <w:r w:rsidR="003D62B7">
        <w:rPr>
          <w:rFonts w:hint="cs"/>
          <w:rtl/>
        </w:rPr>
        <w:t>ً</w:t>
      </w:r>
      <w:r w:rsidR="00955044" w:rsidRPr="00955044">
        <w:rPr>
          <w:rtl/>
        </w:rPr>
        <w:t xml:space="preserve"> مشتركا</w:t>
      </w:r>
      <w:r w:rsidR="003D62B7">
        <w:rPr>
          <w:rFonts w:hint="cs"/>
          <w:rtl/>
        </w:rPr>
        <w:t>ً</w:t>
      </w:r>
      <w:r w:rsidR="00955044" w:rsidRPr="00955044">
        <w:rPr>
          <w:rtl/>
        </w:rPr>
        <w:t xml:space="preserve"> بالتحول الرقمي المسؤول.</w:t>
      </w:r>
    </w:p>
    <w:p w14:paraId="09F53CA8" w14:textId="41499399" w:rsidR="00955044" w:rsidRPr="00955044" w:rsidRDefault="00960A58" w:rsidP="00955044">
      <w:r>
        <w:lastRenderedPageBreak/>
        <w:t>6.3</w:t>
      </w:r>
      <w:r w:rsidR="00955044" w:rsidRPr="00955044">
        <w:rPr>
          <w:rtl/>
        </w:rPr>
        <w:tab/>
        <w:t>وأعرب عضو المجلس من الهند عن امتنان حكومته للدول الأعضاء في الاتحاد وقيادته وموظفيه على دعمهم لإنجاح الجمعية العالمية لتقييس الاتصالات عام 2024.</w:t>
      </w:r>
    </w:p>
    <w:p w14:paraId="2024A996" w14:textId="777A9E7E" w:rsidR="00955044" w:rsidRPr="00955044" w:rsidRDefault="00960A58" w:rsidP="00955044">
      <w:r>
        <w:t>7.3</w:t>
      </w:r>
      <w:r w:rsidR="00955044" w:rsidRPr="00955044">
        <w:rPr>
          <w:rtl/>
        </w:rPr>
        <w:tab/>
      </w:r>
      <w:r w:rsidR="00953867">
        <w:rPr>
          <w:rFonts w:hint="cs"/>
          <w:b/>
          <w:bCs/>
          <w:rtl/>
        </w:rPr>
        <w:t>وأخذ</w:t>
      </w:r>
      <w:r w:rsidR="00955044" w:rsidRPr="00955044">
        <w:rPr>
          <w:rtl/>
        </w:rPr>
        <w:t xml:space="preserve"> المجلس </w:t>
      </w:r>
      <w:r w:rsidR="00955044" w:rsidRPr="00955044">
        <w:rPr>
          <w:b/>
          <w:bCs/>
          <w:rtl/>
        </w:rPr>
        <w:t>علما</w:t>
      </w:r>
      <w:r w:rsidR="007F44F5" w:rsidRPr="007F44F5">
        <w:rPr>
          <w:rFonts w:hint="cs"/>
          <w:b/>
          <w:bCs/>
          <w:rtl/>
        </w:rPr>
        <w:t>ً</w:t>
      </w:r>
      <w:r w:rsidR="00955044" w:rsidRPr="00955044">
        <w:rPr>
          <w:rtl/>
        </w:rPr>
        <w:t xml:space="preserve"> بالتقرير الوارد في الوثيقة C25/24.</w:t>
      </w:r>
    </w:p>
    <w:p w14:paraId="398AADF1" w14:textId="0CB7EB45" w:rsidR="00955044" w:rsidRPr="00955044" w:rsidRDefault="00955044" w:rsidP="00955044">
      <w:pPr>
        <w:pStyle w:val="Heading1"/>
      </w:pPr>
      <w:r>
        <w:t>4</w:t>
      </w:r>
      <w:r w:rsidRPr="00955044">
        <w:rPr>
          <w:rtl/>
        </w:rPr>
        <w:tab/>
        <w:t xml:space="preserve">تقرير رئيس فريق العمل التابع للمجلس المعني بقضايا السياسات العامة الدولية المتعلقة بالإنترنت (الوثيقة </w:t>
      </w:r>
      <w:hyperlink r:id="rId22" w:history="1">
        <w:r w:rsidRPr="00955044">
          <w:rPr>
            <w:rStyle w:val="Hyperlink"/>
            <w:rFonts w:ascii="Dubai" w:eastAsiaTheme="majorEastAsia" w:hAnsi="Dubai" w:cs="Dubai"/>
            <w:noProof w:val="0"/>
            <w:color w:val="0563C1"/>
            <w:sz w:val="26"/>
            <w:u w:val="single"/>
            <w:rtl/>
            <w:lang w:val="en-US" w:eastAsia="zh-CN"/>
          </w:rPr>
          <w:t>C25/51</w:t>
        </w:r>
      </w:hyperlink>
      <w:r w:rsidRPr="00955044">
        <w:rPr>
          <w:rtl/>
        </w:rPr>
        <w:t>)</w:t>
      </w:r>
      <w:hyperlink r:id="rId23" w:history="1"/>
    </w:p>
    <w:p w14:paraId="183FD736" w14:textId="62B3FD47" w:rsidR="00955044" w:rsidRPr="00955044" w:rsidRDefault="00960A58" w:rsidP="00955044">
      <w:r>
        <w:t>1.4</w:t>
      </w:r>
      <w:r w:rsidR="00955044" w:rsidRPr="00955044">
        <w:rPr>
          <w:rtl/>
        </w:rPr>
        <w:tab/>
        <w:t>قدم رئيس فريق العمل التابع للمجلس والمعني بقضايا السياسات العامة الدولية المتعلقة بالإنترنت</w:t>
      </w:r>
      <w:r w:rsidR="007F44F5">
        <w:rPr>
          <w:rFonts w:hint="cs"/>
          <w:rtl/>
        </w:rPr>
        <w:t> </w:t>
      </w:r>
      <w:r w:rsidR="00955044" w:rsidRPr="00955044">
        <w:t>(CWG</w:t>
      </w:r>
      <w:r w:rsidR="007F44F5">
        <w:noBreakHyphen/>
      </w:r>
      <w:r w:rsidR="00955044" w:rsidRPr="00955044">
        <w:t>Internet</w:t>
      </w:r>
      <w:r w:rsidR="007F44F5">
        <w:t>)</w:t>
      </w:r>
      <w:r w:rsidR="00955044" w:rsidRPr="00955044">
        <w:rPr>
          <w:rtl/>
        </w:rPr>
        <w:t xml:space="preserve"> الوثيقة C25/51، التي تلخص نتائج الاجتماعين العشرين والحادي والعشرين للفريق، المعقودين في 4 أكتوبر 2024 و</w:t>
      </w:r>
      <w:r w:rsidR="007F44F5">
        <w:t>20-19</w:t>
      </w:r>
      <w:r w:rsidR="00955044" w:rsidRPr="00955044">
        <w:rPr>
          <w:rtl/>
        </w:rPr>
        <w:t xml:space="preserve"> فبراير 2025، على التوالي.</w:t>
      </w:r>
    </w:p>
    <w:p w14:paraId="642FF23B" w14:textId="55689EDA" w:rsidR="00955044" w:rsidRPr="00955044" w:rsidRDefault="00960A58" w:rsidP="00955044">
      <w:r>
        <w:t>2.4</w:t>
      </w:r>
      <w:r w:rsidR="00955044" w:rsidRPr="00955044">
        <w:rPr>
          <w:rtl/>
        </w:rPr>
        <w:tab/>
        <w:t xml:space="preserve">واقترح عدد من أعضاء المجلس، مشيرين إلى أن عضوية الفريق </w:t>
      </w:r>
      <w:r w:rsidR="00955044" w:rsidRPr="00955044">
        <w:t>CWG-Internet</w:t>
      </w:r>
      <w:r w:rsidR="00955044" w:rsidRPr="00955044">
        <w:rPr>
          <w:rtl/>
        </w:rPr>
        <w:t xml:space="preserve"> تقتصر على الدول الأعضاء، توسيع نطاقها ليشمل أعضاء القطاعات، ولا سيما أعضاء لمجتمع التقني، الذين تتسم خبراتهم وتجاربهم بأهمية كبيرة. وتساءل أحد أعضاء المجلس عما إذا كان يتعين على مؤتمر المندوبين المفوضين تعديل اختصاصات الفريق من خلال مراجعة القرار 102 (المراج</w:t>
      </w:r>
      <w:r w:rsidR="007F44F5">
        <w:rPr>
          <w:rFonts w:hint="cs"/>
          <w:rtl/>
        </w:rPr>
        <w:t>َ</w:t>
      </w:r>
      <w:r w:rsidR="00955044" w:rsidRPr="00955044">
        <w:rPr>
          <w:rtl/>
        </w:rPr>
        <w:t>ع في بوخارست، 2022). وقال أحد المراقبين، مذكرا</w:t>
      </w:r>
      <w:r w:rsidR="007F44F5">
        <w:rPr>
          <w:rFonts w:hint="cs"/>
          <w:rtl/>
        </w:rPr>
        <w:t>ً</w:t>
      </w:r>
      <w:r w:rsidR="00955044" w:rsidRPr="00955044">
        <w:rPr>
          <w:rtl/>
        </w:rPr>
        <w:t xml:space="preserve"> بأن عضوية الفريق كانوا موضع آراء متباينة في مناقشات المجلس السابقة، ينبغي طرح هذه المسألة في مؤتمر المندوبين المفوضين عام 2026. وأكدت أمينة الجلسة العامة أن الاختصاصات المنصوص عليها في قرار لمؤتمر المندوبين المفوضين لا يمكن تعديلها إلا من جانب مؤتمر المندوبين المفوضين.</w:t>
      </w:r>
    </w:p>
    <w:p w14:paraId="1E6CA371" w14:textId="6A89E527" w:rsidR="00955044" w:rsidRPr="00955044" w:rsidRDefault="00960A58" w:rsidP="00955044">
      <w:r>
        <w:t>3.4</w:t>
      </w:r>
      <w:r w:rsidR="00955044" w:rsidRPr="00955044">
        <w:rPr>
          <w:rtl/>
        </w:rPr>
        <w:tab/>
        <w:t xml:space="preserve">وشجع عدد من أعضاء المجلس، مشيرين إلى المشاورات المفتوحة الجارية بشأن البلدان النامية المحاطة باليابسة </w:t>
      </w:r>
      <w:r w:rsidR="00955044" w:rsidRPr="00955044">
        <w:t>(LLDC</w:t>
      </w:r>
      <w:r w:rsidR="007F44F5">
        <w:t>)</w:t>
      </w:r>
      <w:r w:rsidR="00955044" w:rsidRPr="00955044">
        <w:rPr>
          <w:rtl/>
        </w:rPr>
        <w:t>، الأمانة على استكشاف سبل التواصل وبناء القدرات الموجهة لهذه البلدان التي تعتمد على بلدان العبور للحصول على التوصيلية. وحُثت الدول الأعضاء على المشاركة بنشاط في المشاورات.</w:t>
      </w:r>
    </w:p>
    <w:p w14:paraId="48C6F001" w14:textId="0C6D7248" w:rsidR="00955044" w:rsidRPr="00955044" w:rsidRDefault="00960A58" w:rsidP="00955044">
      <w:r>
        <w:t>4.4</w:t>
      </w:r>
      <w:r w:rsidR="00955044" w:rsidRPr="00955044">
        <w:rPr>
          <w:rtl/>
        </w:rPr>
        <w:tab/>
        <w:t xml:space="preserve">وأوصى عدد من أعضاء المجلس بأن تتضمن التقارير المقبلة لفريق العمل التابع للمجلس والمعني بقضايا السياسات العامة الدولية المتعلقة بالإنترنت </w:t>
      </w:r>
      <w:r w:rsidR="00955044" w:rsidRPr="00955044">
        <w:t>(CWG-Internet</w:t>
      </w:r>
      <w:r w:rsidR="007F44F5">
        <w:t>)</w:t>
      </w:r>
      <w:r w:rsidR="00955044" w:rsidRPr="00955044">
        <w:rPr>
          <w:rtl/>
        </w:rPr>
        <w:t xml:space="preserve"> ملخصات وتحديثات مرحلية بشأن تنفيذ التوصيات السابقة، لتسهيل تقييم ما إذا كانت المشاورات قد أدت إلى نتائج ملموسة أم أنها ظلت في المقام الأول منصات للنقاش. وأشار أحد المراقبين إلى أن هذا التقرير لا يتضمن أي توصيات موجهة إلى المجلس.</w:t>
      </w:r>
    </w:p>
    <w:p w14:paraId="12F23AEC" w14:textId="14528C14" w:rsidR="00955044" w:rsidRPr="00955044" w:rsidRDefault="00960A58" w:rsidP="00955044">
      <w:r>
        <w:t>5.4</w:t>
      </w:r>
      <w:r w:rsidR="00955044" w:rsidRPr="00955044">
        <w:rPr>
          <w:rtl/>
        </w:rPr>
        <w:tab/>
        <w:t xml:space="preserve">وطلب أحد أعضاء المجلس تنفيذ قرار المجلس 1305 (الصادر في دورة المجلس لعام 2009، التعديل الأخير في </w:t>
      </w:r>
      <w:r w:rsidR="003C2E8F">
        <w:rPr>
          <w:rFonts w:hint="cs"/>
          <w:rtl/>
        </w:rPr>
        <w:t>دورته</w:t>
      </w:r>
      <w:r w:rsidR="00955044" w:rsidRPr="00955044">
        <w:rPr>
          <w:rtl/>
        </w:rPr>
        <w:t xml:space="preserve"> لعام </w:t>
      </w:r>
      <w:r w:rsidR="00D633BD">
        <w:t>2024</w:t>
      </w:r>
      <w:r w:rsidR="007F44F5">
        <w:rPr>
          <w:rFonts w:hint="cs"/>
          <w:rtl/>
        </w:rPr>
        <w:t>)،</w:t>
      </w:r>
      <w:r w:rsidR="00955044" w:rsidRPr="00955044">
        <w:rPr>
          <w:rtl/>
        </w:rPr>
        <w:t xml:space="preserve"> ولا سيما </w:t>
      </w:r>
      <w:r w:rsidR="00955044" w:rsidRPr="003C2E8F">
        <w:rPr>
          <w:rtl/>
        </w:rPr>
        <w:t>الفقرة 2 من</w:t>
      </w:r>
      <w:r w:rsidR="00955044" w:rsidRPr="00955044">
        <w:rPr>
          <w:i/>
          <w:iCs/>
          <w:rtl/>
        </w:rPr>
        <w:t xml:space="preserve"> </w:t>
      </w:r>
      <w:r w:rsidR="003C2E8F" w:rsidRPr="003C2E8F">
        <w:rPr>
          <w:rFonts w:hint="cs"/>
          <w:rtl/>
        </w:rPr>
        <w:t>"</w:t>
      </w:r>
      <w:r w:rsidR="00955044" w:rsidRPr="00955044">
        <w:rPr>
          <w:i/>
          <w:iCs/>
          <w:rtl/>
        </w:rPr>
        <w:t>يكلف الأمين العام</w:t>
      </w:r>
      <w:r w:rsidR="003C2E8F" w:rsidRPr="003C2E8F">
        <w:rPr>
          <w:rFonts w:hint="cs"/>
          <w:rtl/>
        </w:rPr>
        <w:t>"</w:t>
      </w:r>
      <w:r w:rsidR="00955044" w:rsidRPr="00955044">
        <w:rPr>
          <w:rtl/>
        </w:rPr>
        <w:t>، بتعزيز فعالية التابع للمجلس والمعني بقضايا السياسات العامة الدولية المتعلقة بالإنترنت (</w:t>
      </w:r>
      <w:r w:rsidR="00955044" w:rsidRPr="00955044">
        <w:t>CWG-Internet</w:t>
      </w:r>
      <w:r w:rsidR="00955044" w:rsidRPr="00955044">
        <w:rPr>
          <w:rtl/>
        </w:rPr>
        <w:t>) ومشاوراته. وشدد عضو آخر في المجلس على أهمية أن يفي هذا الفريق بمجالات من ولايته تتجاوز المشاورات.</w:t>
      </w:r>
    </w:p>
    <w:p w14:paraId="71CB1A11" w14:textId="33D274F3" w:rsidR="00955044" w:rsidRPr="00955044" w:rsidRDefault="00960A58" w:rsidP="00955044">
      <w:r>
        <w:t>6.4</w:t>
      </w:r>
      <w:r w:rsidR="00955044" w:rsidRPr="00955044">
        <w:rPr>
          <w:rtl/>
        </w:rPr>
        <w:tab/>
        <w:t>وسلط عضو آخر في المجلس الضوء على دور السياسة العامة في تعزيز التعدد اللغوي للإنترنت وضمان توصيلية هادفة للبلدان النامية المحاطة باليابسة كمجالات ذات أولوية للاتحاد.</w:t>
      </w:r>
    </w:p>
    <w:p w14:paraId="17B3F012" w14:textId="43A9BE45" w:rsidR="00955044" w:rsidRPr="00955044" w:rsidRDefault="00960A58" w:rsidP="00955044">
      <w:r>
        <w:t>7.4</w:t>
      </w:r>
      <w:r w:rsidR="00955044" w:rsidRPr="00955044">
        <w:rPr>
          <w:rtl/>
        </w:rPr>
        <w:tab/>
        <w:t xml:space="preserve">وحث رئيس الفريق </w:t>
      </w:r>
      <w:r w:rsidR="00955044" w:rsidRPr="00955044">
        <w:t>CWG-Internet</w:t>
      </w:r>
      <w:r w:rsidR="00955044" w:rsidRPr="00955044">
        <w:rPr>
          <w:rtl/>
        </w:rPr>
        <w:t xml:space="preserve"> الدول الأعضاء على تقديم مقترحات إلى الاجتماع المقبل ودعا إلى المشاركة الواسعة في المشاورات المفتوحة. وقد تعاون فريق الإدارة مع أصحاب المصلحة وسيواصل هذه الجهود، بما</w:t>
      </w:r>
      <w:r w:rsidR="003C2E8F">
        <w:rPr>
          <w:rFonts w:hint="cs"/>
          <w:rtl/>
        </w:rPr>
        <w:t> </w:t>
      </w:r>
      <w:r w:rsidR="00955044" w:rsidRPr="00955044">
        <w:rPr>
          <w:rtl/>
        </w:rPr>
        <w:t>في</w:t>
      </w:r>
      <w:r w:rsidR="003C2E8F">
        <w:rPr>
          <w:rFonts w:hint="cs"/>
          <w:rtl/>
        </w:rPr>
        <w:t> </w:t>
      </w:r>
      <w:r w:rsidR="00955044" w:rsidRPr="00955044">
        <w:rPr>
          <w:rtl/>
        </w:rPr>
        <w:t>ذلك في منتدى إدارة الإنترنت المقبل في النرويج.</w:t>
      </w:r>
    </w:p>
    <w:p w14:paraId="6D0D999C" w14:textId="47AD7DDD" w:rsidR="00955044" w:rsidRPr="00955044" w:rsidRDefault="00960A58" w:rsidP="00955044">
      <w:r>
        <w:t>8.4</w:t>
      </w:r>
      <w:r w:rsidR="00955044" w:rsidRPr="00955044">
        <w:rPr>
          <w:rtl/>
        </w:rPr>
        <w:tab/>
      </w:r>
      <w:r w:rsidR="00953867">
        <w:rPr>
          <w:rFonts w:hint="cs"/>
          <w:b/>
          <w:bCs/>
          <w:rtl/>
        </w:rPr>
        <w:t>وأخذ</w:t>
      </w:r>
      <w:r w:rsidR="00955044" w:rsidRPr="00955044">
        <w:rPr>
          <w:rtl/>
        </w:rPr>
        <w:t xml:space="preserve"> المجلس </w:t>
      </w:r>
      <w:r w:rsidR="00955044" w:rsidRPr="00955044">
        <w:rPr>
          <w:b/>
          <w:bCs/>
          <w:rtl/>
        </w:rPr>
        <w:t>علما</w:t>
      </w:r>
      <w:r w:rsidR="00D6432D" w:rsidRPr="00D6432D">
        <w:rPr>
          <w:rFonts w:hint="cs"/>
          <w:b/>
          <w:bCs/>
          <w:rtl/>
        </w:rPr>
        <w:t>ً</w:t>
      </w:r>
      <w:r w:rsidR="00955044" w:rsidRPr="00955044">
        <w:rPr>
          <w:rtl/>
        </w:rPr>
        <w:t xml:space="preserve"> بالتقرير الوارد في الوثيقة C25/51.</w:t>
      </w:r>
    </w:p>
    <w:p w14:paraId="3DCAE2EB" w14:textId="7B443FFE" w:rsidR="00955044" w:rsidRPr="00955044" w:rsidRDefault="00955044" w:rsidP="00955044">
      <w:pPr>
        <w:pStyle w:val="Heading1"/>
      </w:pPr>
      <w:bookmarkStart w:id="1" w:name="_Hlk201249041"/>
      <w:r>
        <w:t>5</w:t>
      </w:r>
      <w:r w:rsidRPr="00955044">
        <w:rPr>
          <w:rtl/>
        </w:rPr>
        <w:tab/>
        <w:t xml:space="preserve">أنشطة الاتحاد المتصلة بالإنترنت: القرارات 101 و102 و133 و180 و206 الصادرة عن مؤتمر المندوبين المفوضين (الوثيقة </w:t>
      </w:r>
      <w:hyperlink r:id="rId24" w:history="1">
        <w:r w:rsidRPr="00955044">
          <w:rPr>
            <w:rStyle w:val="Hyperlink"/>
            <w:rFonts w:ascii="Dubai" w:eastAsiaTheme="majorEastAsia" w:hAnsi="Dubai" w:cs="Dubai"/>
            <w:noProof w:val="0"/>
            <w:color w:val="0563C1"/>
            <w:sz w:val="26"/>
            <w:u w:val="single"/>
            <w:rtl/>
            <w:lang w:val="en-US" w:eastAsia="zh-CN"/>
          </w:rPr>
          <w:t>C25/33</w:t>
        </w:r>
      </w:hyperlink>
      <w:r w:rsidR="007307DA">
        <w:t>(</w:t>
      </w:r>
      <w:hyperlink r:id="rId25" w:history="1"/>
    </w:p>
    <w:p w14:paraId="2B7024EB" w14:textId="401A24FC" w:rsidR="00955044" w:rsidRPr="00955044" w:rsidRDefault="00960A58" w:rsidP="00955044">
      <w:r>
        <w:t>1.5</w:t>
      </w:r>
      <w:r w:rsidR="00955044" w:rsidRPr="00955044">
        <w:rPr>
          <w:rtl/>
        </w:rPr>
        <w:tab/>
        <w:t>قدم ممثل عن الأمانة العامة الوثيقة C25/33 التي تتضمن تقريراً يلخص أنشطة الاتحاد المتعلقة بقرار مؤتمر المندوبين المفوضين 101 (المراجَع في بوخارست، 2022) بشأن الشبكات القائمة على بروتوكول الإنترنت؛ والقرار</w:t>
      </w:r>
      <w:r w:rsidR="00C90EEF">
        <w:rPr>
          <w:rFonts w:hint="eastAsia"/>
          <w:rtl/>
        </w:rPr>
        <w:t> </w:t>
      </w:r>
      <w:r w:rsidR="00955044" w:rsidRPr="00955044">
        <w:rPr>
          <w:rtl/>
        </w:rPr>
        <w:t>102</w:t>
      </w:r>
      <w:r w:rsidR="00146631">
        <w:rPr>
          <w:rFonts w:hint="cs"/>
          <w:rtl/>
        </w:rPr>
        <w:t> </w:t>
      </w:r>
      <w:r w:rsidR="00955044" w:rsidRPr="00955044">
        <w:rPr>
          <w:rtl/>
        </w:rPr>
        <w:t>(المراجَع في بوخارست، 2022) بشأن دور الاتحاد الدولي للاتصالات فيما يتعلق بقضايا السياسة العامة الدولية المتصلة بالإنترنت وبإدارة موارد الإنترنت، بما في ذلك إدارة أسماء الميادين والعناوين؛ والقرار 133 (المراجَع في</w:t>
      </w:r>
      <w:r w:rsidR="00146631">
        <w:rPr>
          <w:rFonts w:hint="cs"/>
          <w:rtl/>
        </w:rPr>
        <w:t> </w:t>
      </w:r>
      <w:r w:rsidR="00955044" w:rsidRPr="00955044">
        <w:rPr>
          <w:rtl/>
        </w:rPr>
        <w:t xml:space="preserve">بوخارست، 2022) بشأن أدوار إدارات الدول الأعضاء في إدارة أسماء الميادين الدولية الطابع (المتعددة اللغات)؛ </w:t>
      </w:r>
      <w:r w:rsidR="00955044" w:rsidRPr="00955044">
        <w:rPr>
          <w:rtl/>
        </w:rPr>
        <w:lastRenderedPageBreak/>
        <w:t>والقرار 180 (المراجَع في بوخارست، 2022) بشأن تعزيز نشر الإصدار السادس لبروتوكول الإنترنت (IPv6)؛ والقرار</w:t>
      </w:r>
      <w:r w:rsidR="00146631">
        <w:rPr>
          <w:rFonts w:hint="cs"/>
          <w:rtl/>
        </w:rPr>
        <w:t> </w:t>
      </w:r>
      <w:r w:rsidR="00955044" w:rsidRPr="00955044">
        <w:rPr>
          <w:rtl/>
        </w:rPr>
        <w:t>206</w:t>
      </w:r>
      <w:r w:rsidR="00146631">
        <w:rPr>
          <w:rFonts w:hint="cs"/>
          <w:rtl/>
        </w:rPr>
        <w:t> </w:t>
      </w:r>
      <w:r w:rsidR="00955044" w:rsidRPr="00955044">
        <w:rPr>
          <w:rtl/>
        </w:rPr>
        <w:t>(دبي، 2018) بشأن الخدمات المتاحة عبر الإنترنت (</w:t>
      </w:r>
      <w:r w:rsidR="00955044" w:rsidRPr="00955044">
        <w:t>OTT</w:t>
      </w:r>
      <w:r w:rsidR="00955044" w:rsidRPr="00955044">
        <w:rPr>
          <w:rtl/>
        </w:rPr>
        <w:t>).</w:t>
      </w:r>
    </w:p>
    <w:p w14:paraId="08451328" w14:textId="5FC5BCA7" w:rsidR="00955044" w:rsidRPr="00955044" w:rsidRDefault="00960A58" w:rsidP="00955044">
      <w:r>
        <w:t>2.5</w:t>
      </w:r>
      <w:r w:rsidR="00955044" w:rsidRPr="00955044">
        <w:rPr>
          <w:rtl/>
        </w:rPr>
        <w:tab/>
        <w:t xml:space="preserve">وكرر عضو المجلس من باراغواي طلب بلده، الذي قدمه في اجتماعات فريق العمل التابع للمجلس والمعني بقضايا الإنترنت </w:t>
      </w:r>
      <w:r w:rsidR="00955044" w:rsidRPr="00955044">
        <w:t>(</w:t>
      </w:r>
      <w:r w:rsidR="00457483">
        <w:t>CWG-Internet)</w:t>
      </w:r>
      <w:r w:rsidR="00457483">
        <w:rPr>
          <w:rFonts w:hint="cs"/>
          <w:rtl/>
        </w:rPr>
        <w:t>،</w:t>
      </w:r>
      <w:r w:rsidR="00955044" w:rsidRPr="00955044">
        <w:rPr>
          <w:rtl/>
        </w:rPr>
        <w:t xml:space="preserve"> تقديم تقارير عن أنشطة الاتحاد المتصلة بالإنترنت للإشارة إلى القرار 1 (دبي، 2012) للمؤتمر العالمي للاتصالات الدولية، بشأن التدابير الخاصة للبلدان النامية المحاطة باليابسة والدول الجزرية الصغيرة النامية من أجل النفاذ إلى شبكات الألياف البصرية الدولية. واقترح إدراج بيانات من التقريرين </w:t>
      </w:r>
      <w:r w:rsidR="00955044" w:rsidRPr="00955044">
        <w:rPr>
          <w:i/>
          <w:iCs/>
          <w:rtl/>
        </w:rPr>
        <w:t>حقائق وأرقام: التركيز على الدول الجزرية الصغيرة النامية وحقائق وأرقام: التركيز على البلدان النامية المحاطة باليابسة،</w:t>
      </w:r>
      <w:r w:rsidR="00955044" w:rsidRPr="00955044">
        <w:rPr>
          <w:rtl/>
        </w:rPr>
        <w:t xml:space="preserve"> لأن هذه البيانات ستسلط الضوء على الثغرات وتوجه وضع الخطة الاستراتيجية المقبلة للاتحاد.</w:t>
      </w:r>
    </w:p>
    <w:p w14:paraId="5CFC9975" w14:textId="27D058E7" w:rsidR="00955044" w:rsidRPr="00955044" w:rsidRDefault="00960A58" w:rsidP="00955044">
      <w:r>
        <w:t>3.5</w:t>
      </w:r>
      <w:r w:rsidR="00955044" w:rsidRPr="00955044">
        <w:rPr>
          <w:rtl/>
        </w:rPr>
        <w:tab/>
        <w:t>واقترح أحد أعضاء المجلس أن ينظر فريق العمل التابع للمجلس والمعني بقضايا الإنترنت ولجان دراسات قطاع تقييس الاتصالات ذات الصلة في إنشاء أفرقة متخصصة منفصلة تابعة لقطاع تقييس الاتصالات تعنى بالذكاء الاصطناعي وإنترنت الأشياء، مع التركيز في نطاق أوسع على القطاعات الاجتماعية والاقتصادية، على سبيل المثال لا</w:t>
      </w:r>
      <w:r w:rsidR="003C2E8F">
        <w:rPr>
          <w:rFonts w:hint="cs"/>
          <w:rtl/>
        </w:rPr>
        <w:t> </w:t>
      </w:r>
      <w:r w:rsidR="00955044" w:rsidRPr="00955044">
        <w:rPr>
          <w:rtl/>
        </w:rPr>
        <w:t>الحصر الزراعة الرقمية.</w:t>
      </w:r>
    </w:p>
    <w:p w14:paraId="6197F29F" w14:textId="08DD69EC" w:rsidR="00955044" w:rsidRPr="00955044" w:rsidRDefault="00960A58" w:rsidP="00955044">
      <w:r>
        <w:t>4.5</w:t>
      </w:r>
      <w:r w:rsidR="00955044" w:rsidRPr="00955044">
        <w:rPr>
          <w:rtl/>
        </w:rPr>
        <w:tab/>
        <w:t xml:space="preserve">وطلب عضو المجلس من كوبا مراجعة الفقرة 9.2 من الوثيقة C25/33 لتقديم تقرير أكثر دقة عن الحوادث المشمولة </w:t>
      </w:r>
      <w:r w:rsidR="00955044" w:rsidRPr="00903578">
        <w:rPr>
          <w:rtl/>
        </w:rPr>
        <w:t>بالقرار 69 (المراجَع في الحمامات، 2016) للجمعية العالمية لتقييس الاتصالات بشأن النفاذ إلى موارد الإنترنت واستعمالها على أساس غير تمييزي.</w:t>
      </w:r>
      <w:r w:rsidR="00955044" w:rsidRPr="00955044">
        <w:rPr>
          <w:rtl/>
        </w:rPr>
        <w:t xml:space="preserve"> ولم يتسن الوصول إلى العديد من موارد الإنترنت في كوبا بسبب الإجراءات أحادية الجانب؛ وهكذا، فإن المجموع الهزيل المبلغ عنه البالغ 37 من هذه الحوادث منذ عام 2009 لا يعبِّر عن الواقع. وقد حدّت الجزاءات التي فرضتها الولايات المتحدة على كوبا، في انتهاك للقانون الدولي، من إمكانية الحصول على التكنولوجيا والمعدات التي تنتج بموجب ترخيص، وتمثِّل أكثر من 10 في المائة من المكونات الأمريكية المنشأ أو المحمية ببراءة اختراع من الولايات المتحدة، التي تشمل هوائيات متنقلة ونظم حاسوبية. وكان من المستحيل الوصول إلى بعض المواقع الإلكترونية ومحركات البحث، بالإضافة إلى المعلومات المتخصصة اللازمة للتعليم. وحُرِمت كوبا بعد أن غدت منذ عام 2003 عضواً في رابطة النظام العالمي للاتصالات المتنقلة </w:t>
      </w:r>
      <w:r w:rsidR="00955044" w:rsidRPr="00955044">
        <w:t>GSMA</w:t>
      </w:r>
      <w:r w:rsidR="00955044" w:rsidRPr="00955044">
        <w:rPr>
          <w:rtl/>
        </w:rPr>
        <w:t xml:space="preserve"> من حق المشاركة منذ عام 2020، بسبب التدابير أحادية الجانب. ومع ذلك، فقد تمكنت من المشاركة في الفعاليات التي نُظمت على هامش المؤتمر العالمي للاتصالات المتنقلة في برشلونة بفضل البلد المضيف. وما دامت التدابير أحادية الجانب قائمة، سيكون من المستحيل على كوبا تحقيق الأهداف الاستراتيجية للتوصيلية الشاملة والتحول الرقمي المستدام. ومن أجل تحقيق التوصيلية الشاملة، دعت الاتحاد إلى ضمان تنفيذ المادة 1 من دستور الاتحاد والقرار 69 (المراجَع في الحمامات، 2016)، ودعت الدول الأعضاء إلى الامتناع عن فرض تدابير أحادية الجانب على الآخرين.</w:t>
      </w:r>
    </w:p>
    <w:p w14:paraId="1D43A4CA" w14:textId="53605BB2" w:rsidR="00955044" w:rsidRPr="00955044" w:rsidRDefault="00960A58" w:rsidP="00955044">
      <w:r>
        <w:t>5.5</w:t>
      </w:r>
      <w:r w:rsidR="00955044" w:rsidRPr="00955044">
        <w:rPr>
          <w:rtl/>
        </w:rPr>
        <w:tab/>
        <w:t>وقال عضو المجلس من الولايات المتحدة الأمريكية إن الجزاءات الاقتصادية أداة قانونية ومناسبة وفعالة للتصدي للتهديدات التي يتعرض لها الأمن والاستقرار الوطنيان. والعقوبات ليست عقابية، بل تهدف إلى تغيير السلوكيات واحتواء قدرة الجهات الفاعلة السيئة على الاستفادة من النظام المالي للولايات المتحدة أو تهديد البلد أو حلفائه أو شركائه. ويمكن رفع الجزاءات في حالة حدوث تغيير كاف في السلوك.</w:t>
      </w:r>
    </w:p>
    <w:p w14:paraId="4715A9DB" w14:textId="7E71D87B" w:rsidR="00955044" w:rsidRPr="00955044" w:rsidRDefault="00960A58" w:rsidP="00955044">
      <w:r>
        <w:t>6.5</w:t>
      </w:r>
      <w:r w:rsidR="00955044" w:rsidRPr="00955044">
        <w:rPr>
          <w:rtl/>
        </w:rPr>
        <w:tab/>
        <w:t>وكرر عضو المجلس من كوبا مجدداً أن تطبيق العقوبات الاقتصادية أدى إلى حرمان الشعب الكوبي من النفاذ إلى التكنولوجيا ومن إمكاناته الإنمائية في مجال تكنولوجيا المعلومات والاتصالات.</w:t>
      </w:r>
    </w:p>
    <w:p w14:paraId="2522138C" w14:textId="15537860" w:rsidR="00955044" w:rsidRPr="00955044" w:rsidRDefault="00960A58" w:rsidP="00955044">
      <w:r>
        <w:t>7.5</w:t>
      </w:r>
      <w:r w:rsidR="00955044" w:rsidRPr="00955044">
        <w:rPr>
          <w:rtl/>
        </w:rPr>
        <w:tab/>
      </w:r>
      <w:r w:rsidR="00953867" w:rsidRPr="00953867">
        <w:rPr>
          <w:rFonts w:hint="cs"/>
          <w:b/>
          <w:bCs/>
          <w:rtl/>
          <w:lang w:bidi="ar-EG"/>
        </w:rPr>
        <w:t>وأخذ</w:t>
      </w:r>
      <w:r w:rsidR="00955044" w:rsidRPr="00955044">
        <w:rPr>
          <w:rtl/>
        </w:rPr>
        <w:t xml:space="preserve"> المجلس </w:t>
      </w:r>
      <w:r w:rsidR="00955044" w:rsidRPr="00953867">
        <w:rPr>
          <w:b/>
          <w:bCs/>
          <w:rtl/>
        </w:rPr>
        <w:t>علماً</w:t>
      </w:r>
      <w:r w:rsidR="00955044" w:rsidRPr="00955044">
        <w:rPr>
          <w:rtl/>
        </w:rPr>
        <w:t xml:space="preserve"> بالتقرير الوارد بالوثيقة C25/33 </w:t>
      </w:r>
      <w:r w:rsidR="00955044" w:rsidRPr="00953867">
        <w:rPr>
          <w:b/>
          <w:bCs/>
          <w:rtl/>
        </w:rPr>
        <w:t>ودعا</w:t>
      </w:r>
      <w:r w:rsidR="00955044" w:rsidRPr="00955044">
        <w:rPr>
          <w:rtl/>
        </w:rPr>
        <w:t xml:space="preserve"> الدول الأعضاء في المجلس إلى تقديم أي آراء كتابةً بحلول منتصف نهار يوم الجمعة ‎20 ‏يونيو ‎2025‏ بتوقيت جنيف، بهدف إحالة التقرير إلى الأمين العام للأمم المتحدة، مشفوعاً بتجميع لآراء الدول الأعضاء في المجلس والمحاضر الموجزة ذات الصلة، مع ملاحظة توضيحية</w:t>
      </w:r>
      <w:r w:rsidR="00953867">
        <w:rPr>
          <w:rFonts w:hint="cs"/>
          <w:rtl/>
        </w:rPr>
        <w:t>.</w:t>
      </w:r>
    </w:p>
    <w:bookmarkEnd w:id="1"/>
    <w:p w14:paraId="2754A54C" w14:textId="3C9A62F0" w:rsidR="00955044" w:rsidRPr="00955044" w:rsidRDefault="00955044" w:rsidP="00955044">
      <w:pPr>
        <w:pStyle w:val="Heading1"/>
      </w:pPr>
      <w:r>
        <w:t>6</w:t>
      </w:r>
      <w:r w:rsidRPr="00955044">
        <w:rPr>
          <w:rtl/>
        </w:rPr>
        <w:tab/>
        <w:t xml:space="preserve">تقرير رئيس فريق العمل التابع للمجلس والمعني بالقمة العالمية لمجتمع المعلومات وأهداف التنمية المستدامة </w:t>
      </w:r>
      <w:r w:rsidRPr="00955044">
        <w:t>(CWG-WSIS&amp;SDG</w:t>
      </w:r>
      <w:r w:rsidR="001F4E01">
        <w:t>)</w:t>
      </w:r>
      <w:r w:rsidRPr="00955044">
        <w:rPr>
          <w:rtl/>
        </w:rPr>
        <w:t xml:space="preserve"> بشأن نتائج الاجتماعين الحادي والأربعين والثاني والأربعين</w:t>
      </w:r>
      <w:r w:rsidR="001F4E01">
        <w:rPr>
          <w:rFonts w:hint="cs"/>
          <w:rtl/>
          <w:lang w:bidi="ar-EG"/>
        </w:rPr>
        <w:t xml:space="preserve"> (الوثيقة </w:t>
      </w:r>
      <w:hyperlink r:id="rId26" w:history="1">
        <w:r w:rsidR="001F4E01" w:rsidRPr="001F4E01">
          <w:rPr>
            <w:rStyle w:val="Hyperlink"/>
            <w:rFonts w:ascii="Dubai" w:eastAsiaTheme="majorEastAsia" w:hAnsi="Dubai" w:cs="Dubai"/>
            <w:noProof w:val="0"/>
            <w:color w:val="0563C1"/>
            <w:sz w:val="26"/>
            <w:u w:val="single"/>
            <w:lang w:val="en-US" w:eastAsia="zh-CN" w:bidi="ar-EG"/>
          </w:rPr>
          <w:t>C25/8</w:t>
        </w:r>
      </w:hyperlink>
      <w:r w:rsidR="001F4E01">
        <w:rPr>
          <w:rFonts w:hint="cs"/>
          <w:rtl/>
          <w:lang w:bidi="ar-EG"/>
        </w:rPr>
        <w:t>)</w:t>
      </w:r>
      <w:hyperlink r:id="rId27" w:history="1"/>
    </w:p>
    <w:p w14:paraId="75561A5D" w14:textId="1978E8CE" w:rsidR="00955044" w:rsidRPr="00955044" w:rsidRDefault="00960A58" w:rsidP="00955044">
      <w:r>
        <w:t>1.6</w:t>
      </w:r>
      <w:r w:rsidR="00955044" w:rsidRPr="00955044">
        <w:rPr>
          <w:rtl/>
        </w:rPr>
        <w:tab/>
        <w:t xml:space="preserve">قدم رئيس فريق العمل التابع للمجلس والمعني بالقمة العالمية لمجتمع المعلومات </w:t>
      </w:r>
      <w:r w:rsidR="00955044" w:rsidRPr="00955044">
        <w:t>(WSIS</w:t>
      </w:r>
      <w:r w:rsidR="003312A8">
        <w:t>)</w:t>
      </w:r>
      <w:r w:rsidR="00955044" w:rsidRPr="00955044">
        <w:rPr>
          <w:rtl/>
        </w:rPr>
        <w:t xml:space="preserve"> وأهداف التنمية المستدامة (</w:t>
      </w:r>
      <w:r w:rsidR="00955044" w:rsidRPr="00955044">
        <w:t>CWG-WSIS&amp;SDG</w:t>
      </w:r>
      <w:r w:rsidR="00955044" w:rsidRPr="00955044">
        <w:rPr>
          <w:rtl/>
        </w:rPr>
        <w:t>) التقرير الوارد في الوثيقة C25/8، والذي يلخص النتائج الرئيسية للاجتماعين الحادي والأربعين والثاني والأربعين للفريق.</w:t>
      </w:r>
    </w:p>
    <w:p w14:paraId="033E661D" w14:textId="3DCDB727" w:rsidR="00955044" w:rsidRPr="00955044" w:rsidRDefault="00960A58" w:rsidP="00955044">
      <w:r>
        <w:lastRenderedPageBreak/>
        <w:t>2.6</w:t>
      </w:r>
      <w:r w:rsidR="00955044" w:rsidRPr="00955044">
        <w:rPr>
          <w:rtl/>
        </w:rPr>
        <w:tab/>
        <w:t xml:space="preserve">وأعرب العديد من أعضاء المجلس عن تقديرهم للتقرير وأكدوا من جديد التزامهم بعملية القمة العالمية لمجتمع المعلومات. وحظي استمرارها بدعم واسع النطاق لما بعد عام 2025. </w:t>
      </w:r>
      <w:r w:rsidR="00E37C82" w:rsidRPr="00E37C82">
        <w:rPr>
          <w:rtl/>
        </w:rPr>
        <w:t>‏وبالنظر إلى الحاجة إلى التكامل وتجنب الازدواجية، من المهم مواءمة وإدماج أهداف الميثاق الرقمي العالمي (</w:t>
      </w:r>
      <w:r w:rsidR="00E37C82" w:rsidRPr="00E37C82">
        <w:rPr>
          <w:cs/>
        </w:rPr>
        <w:t>‎</w:t>
      </w:r>
      <w:r w:rsidR="00E37C82" w:rsidRPr="00E37C82">
        <w:t>GDC</w:t>
      </w:r>
      <w:r w:rsidR="00E37C82" w:rsidRPr="00E37C82">
        <w:rPr>
          <w:rtl/>
        </w:rPr>
        <w:t>) ‏وميثاق المستقبل في عملية القمة العالمية لمجتمع المعلومات -</w:t>
      </w:r>
      <w:r w:rsidR="00955044" w:rsidRPr="00955044">
        <w:rPr>
          <w:rtl/>
        </w:rPr>
        <w:t xml:space="preserve"> لا سيما فيما يتعلق بالذكاء الاصطناعي وإدارة البيانات. وبما أن المناقشات السابقة بشأن </w:t>
      </w:r>
      <w:r w:rsidR="00E37C82">
        <w:rPr>
          <w:rFonts w:hint="cs"/>
          <w:rtl/>
          <w:lang w:bidi="ar-EG"/>
        </w:rPr>
        <w:t>هذه</w:t>
      </w:r>
      <w:r w:rsidR="00955044" w:rsidRPr="00955044">
        <w:rPr>
          <w:rtl/>
        </w:rPr>
        <w:t xml:space="preserve"> المواضيع كانت مثيرة للجدل، فلا داع</w:t>
      </w:r>
      <w:r w:rsidR="00953867">
        <w:rPr>
          <w:rFonts w:hint="cs"/>
          <w:rtl/>
        </w:rPr>
        <w:t xml:space="preserve">ٍ </w:t>
      </w:r>
      <w:r w:rsidR="00955044" w:rsidRPr="001857D3">
        <w:rPr>
          <w:rtl/>
        </w:rPr>
        <w:t>لوزر</w:t>
      </w:r>
      <w:r w:rsidR="00955044" w:rsidRPr="00955044">
        <w:rPr>
          <w:rtl/>
        </w:rPr>
        <w:t xml:space="preserve"> معاودة الترافع بشأنها.</w:t>
      </w:r>
    </w:p>
    <w:p w14:paraId="0BE0119F" w14:textId="2E59D92C" w:rsidR="00955044" w:rsidRPr="00955044" w:rsidRDefault="00960A58" w:rsidP="00955044">
      <w:r>
        <w:t>3.6</w:t>
      </w:r>
      <w:r w:rsidR="00955044" w:rsidRPr="00955044">
        <w:rPr>
          <w:rtl/>
        </w:rPr>
        <w:tab/>
        <w:t>وذكرت إحدى أعضاء المجلس بأن بلدها نأى بنفسه عن ميثاق المستقبل وملحقاته عند اعتماده. واعتبرت خطة التنمية المستدامة لعام 2030 طموحات غير ملزمة قانونًا، وتخضع للتفسير الوطني. إذ أبدت بلادها تحفظاتها بشأن الإحالات إلى خطة عام 2030، وأهداف الأمم المتحدة للتنمية المستدامة، وميثاق المستقبل، والمؤتمر العالمي للتنمية</w:t>
      </w:r>
      <w:r w:rsidR="00953867">
        <w:rPr>
          <w:rFonts w:hint="cs"/>
          <w:rtl/>
        </w:rPr>
        <w:t> </w:t>
      </w:r>
      <w:r w:rsidR="00955044" w:rsidRPr="00955044">
        <w:rPr>
          <w:rtl/>
        </w:rPr>
        <w:t>المستدامة.</w:t>
      </w:r>
    </w:p>
    <w:p w14:paraId="2E10C540" w14:textId="46E457D6" w:rsidR="00955044" w:rsidRPr="00955044" w:rsidRDefault="00960A58" w:rsidP="00955044">
      <w:r>
        <w:t>4.6</w:t>
      </w:r>
      <w:r w:rsidR="00955044" w:rsidRPr="00955044">
        <w:rPr>
          <w:rtl/>
        </w:rPr>
        <w:tab/>
        <w:t xml:space="preserve">وقال عضو آخر إن المساهمات المقدمة من جميع أصحاب المصلحة ينبغي أن تسترشد بها عملية استعراض القمة العالمية لمجتمع المعلومات بعد مرور عشرين عاماً على </w:t>
      </w:r>
      <w:r w:rsidR="00953867">
        <w:rPr>
          <w:rFonts w:hint="cs"/>
          <w:rtl/>
        </w:rPr>
        <w:t>انعقادها</w:t>
      </w:r>
      <w:r w:rsidR="00955044" w:rsidRPr="00955044">
        <w:rPr>
          <w:rtl/>
        </w:rPr>
        <w:t xml:space="preserve"> (WSIS+20). وينبغي أن تظل القمة العالمية لمجتمع المعلومات، بولايتها وعملياتها الفريدة، متميزة عن غيرها من الآليات. وخطوط عمل القمة العالمية لمجتمع المعلومات، المصممة لتكون محايدة من الناحية التكنولوجية، تظل صالحة في مواجهة التكنولوجيات الجديدة والناشئة وينبغي عدم إعادة فتحها. وقال إن بلده يؤيد جعل ولاية منتدى إدارة الإنترنت دائمة، وتنفيذ مبادئ ساو باولو التوجيهية لأصحاب المصلحة المتعددين، التي تحظى بتأييد واسع.</w:t>
      </w:r>
    </w:p>
    <w:p w14:paraId="546BF378" w14:textId="667EE5ED" w:rsidR="00955044" w:rsidRPr="00955044" w:rsidRDefault="00960A58" w:rsidP="00955044">
      <w:r>
        <w:t>5.6</w:t>
      </w:r>
      <w:r w:rsidR="00955044" w:rsidRPr="00955044">
        <w:rPr>
          <w:rtl/>
        </w:rPr>
        <w:tab/>
        <w:t>ودعا أحد أعضاء المجلس إلى تعزيز التنفيذ الإقليمي لخطوط عمل القمة العالمية لمجتمع المعلومات من خلال مبادرات مصممة خصيصا</w:t>
      </w:r>
      <w:r w:rsidR="005B4D93">
        <w:rPr>
          <w:rFonts w:hint="cs"/>
          <w:rtl/>
        </w:rPr>
        <w:t>ً</w:t>
      </w:r>
      <w:r w:rsidR="00955044" w:rsidRPr="00955044">
        <w:rPr>
          <w:rtl/>
        </w:rPr>
        <w:t xml:space="preserve"> لتلبية الاحتياجات المحددة للمناطق المختلفة دعما</w:t>
      </w:r>
      <w:r w:rsidR="005B4D93">
        <w:rPr>
          <w:rFonts w:hint="cs"/>
          <w:rtl/>
        </w:rPr>
        <w:t>ً</w:t>
      </w:r>
      <w:r w:rsidR="00955044" w:rsidRPr="00955044">
        <w:rPr>
          <w:rtl/>
        </w:rPr>
        <w:t xml:space="preserve"> للتحول الرقمي والتنمية المستدامة.</w:t>
      </w:r>
    </w:p>
    <w:p w14:paraId="4C681B45" w14:textId="2D479A67" w:rsidR="00955044" w:rsidRPr="00955044" w:rsidRDefault="00960A58" w:rsidP="00955044">
      <w:r>
        <w:t>6.6</w:t>
      </w:r>
      <w:r w:rsidR="00955044" w:rsidRPr="00955044">
        <w:rPr>
          <w:rtl/>
        </w:rPr>
        <w:tab/>
      </w:r>
      <w:r w:rsidR="00955044" w:rsidRPr="00953867">
        <w:rPr>
          <w:b/>
          <w:bCs/>
          <w:rtl/>
        </w:rPr>
        <w:t>وأخذ</w:t>
      </w:r>
      <w:r w:rsidR="00955044" w:rsidRPr="00955044">
        <w:rPr>
          <w:rtl/>
        </w:rPr>
        <w:t xml:space="preserve"> المجلس </w:t>
      </w:r>
      <w:r w:rsidR="00955044" w:rsidRPr="00955044">
        <w:rPr>
          <w:b/>
          <w:bCs/>
          <w:rtl/>
        </w:rPr>
        <w:t>علما</w:t>
      </w:r>
      <w:r w:rsidR="005B4D93" w:rsidRPr="005B4D93">
        <w:rPr>
          <w:rFonts w:hint="cs"/>
          <w:b/>
          <w:bCs/>
          <w:rtl/>
        </w:rPr>
        <w:t>ً</w:t>
      </w:r>
      <w:r w:rsidR="00955044" w:rsidRPr="00955044">
        <w:rPr>
          <w:rtl/>
        </w:rPr>
        <w:t xml:space="preserve"> بالتقرير الوارد في الوثيقة C25/8.</w:t>
      </w:r>
    </w:p>
    <w:p w14:paraId="50EB11F6" w14:textId="6F0F9C1A" w:rsidR="00955044" w:rsidRPr="00955044" w:rsidRDefault="00955044" w:rsidP="00955044">
      <w:pPr>
        <w:pStyle w:val="Heading1"/>
      </w:pPr>
      <w:r>
        <w:t>7</w:t>
      </w:r>
      <w:r w:rsidRPr="00955044">
        <w:rPr>
          <w:rtl/>
        </w:rPr>
        <w:tab/>
        <w:t>تقرير القمة العالمية لمجتمع المعلومات بعد مرور عشرين عاماً على عقدها (WSIS+20) بشأن مساهمة الاتحاد في تنفيذ ومتابعة نتائج القمة العالمية لمجتمع المعلومات ودوره في تحقيق أهداف التنمية المستدامة</w:t>
      </w:r>
      <w:r w:rsidR="00FD1C8A">
        <w:rPr>
          <w:rFonts w:hint="cs"/>
          <w:rtl/>
        </w:rPr>
        <w:t xml:space="preserve"> (الوثيق</w:t>
      </w:r>
      <w:r w:rsidR="00F501E6">
        <w:rPr>
          <w:rFonts w:hint="cs"/>
          <w:rtl/>
        </w:rPr>
        <w:t>تان</w:t>
      </w:r>
      <w:r w:rsidR="00FD1C8A">
        <w:rPr>
          <w:rFonts w:hint="cs"/>
          <w:rtl/>
        </w:rPr>
        <w:t xml:space="preserve"> </w:t>
      </w:r>
      <w:hyperlink r:id="rId28" w:history="1">
        <w:r w:rsidR="00FD1C8A" w:rsidRPr="00FD1C8A">
          <w:rPr>
            <w:rStyle w:val="Hyperlink"/>
            <w:rFonts w:ascii="Dubai" w:eastAsiaTheme="majorEastAsia" w:hAnsi="Dubai" w:cs="Dubai"/>
            <w:noProof w:val="0"/>
            <w:color w:val="0563C1"/>
            <w:sz w:val="26"/>
            <w:u w:val="single"/>
            <w:lang w:val="en-US" w:eastAsia="zh-CN"/>
          </w:rPr>
          <w:t>C25/61</w:t>
        </w:r>
      </w:hyperlink>
      <w:r w:rsidR="00FD1C8A">
        <w:rPr>
          <w:rFonts w:hint="cs"/>
          <w:rtl/>
          <w:lang w:bidi="ar-EG"/>
        </w:rPr>
        <w:t xml:space="preserve"> </w:t>
      </w:r>
      <w:r w:rsidR="00F501E6">
        <w:rPr>
          <w:rFonts w:hint="cs"/>
          <w:rtl/>
          <w:lang w:bidi="ar-EG"/>
        </w:rPr>
        <w:t>و</w:t>
      </w:r>
      <w:hyperlink r:id="rId29" w:history="1">
        <w:r w:rsidR="00FD1C8A" w:rsidRPr="00FD1C8A">
          <w:rPr>
            <w:rStyle w:val="Hyperlink"/>
            <w:rFonts w:ascii="Dubai" w:eastAsiaTheme="majorEastAsia" w:hAnsi="Dubai" w:cs="Dubai"/>
            <w:noProof w:val="0"/>
            <w:color w:val="0563C1"/>
            <w:sz w:val="26"/>
            <w:lang w:val="en-US" w:eastAsia="zh-CN"/>
          </w:rPr>
          <w:t>C25/80</w:t>
        </w:r>
      </w:hyperlink>
      <w:r w:rsidR="00FD1C8A">
        <w:rPr>
          <w:rFonts w:hint="cs"/>
          <w:rtl/>
          <w:lang w:bidi="ar-EG"/>
        </w:rPr>
        <w:t>)</w:t>
      </w:r>
      <w:hyperlink r:id="rId30" w:history="1"/>
      <w:hyperlink r:id="rId31" w:history="1"/>
    </w:p>
    <w:p w14:paraId="651CF9C9" w14:textId="63E56125" w:rsidR="00955044" w:rsidRPr="00955044" w:rsidRDefault="004A139A" w:rsidP="00955044">
      <w:r>
        <w:t>1.7</w:t>
      </w:r>
      <w:r w:rsidR="00955044" w:rsidRPr="00955044">
        <w:rPr>
          <w:rtl/>
        </w:rPr>
        <w:tab/>
        <w:t xml:space="preserve">قدم رئيس دائرة التخطيط الاستراتيجي وشؤون الأعضاء التقرير الوارد في الوثيقة C25/61، الذي تضمن إرشادات ومدخلات من اجتماعات المجلس عام 2024 ومن فريق العمل التابع للمجلس </w:t>
      </w:r>
      <w:r w:rsidR="00953867">
        <w:rPr>
          <w:rFonts w:hint="cs"/>
          <w:rtl/>
        </w:rPr>
        <w:t>و</w:t>
      </w:r>
      <w:r w:rsidR="00955044" w:rsidRPr="00955044">
        <w:rPr>
          <w:rtl/>
        </w:rPr>
        <w:t>المعني بالقمة العالمية لمجتمع المعلومات وأهداف التنمية المستدامة. ويمكن تضمين التقرير نتائج الحدث رفيع المستوى WSIS+20 المزمع عقده في يوليو 2025 وملخصاً للمساهمات الواردة استجابةً لدعوة الاتحاد لتقديم مدخلات بشأن استعراض القمة</w:t>
      </w:r>
      <w:r w:rsidR="00953867">
        <w:rPr>
          <w:rFonts w:hint="cs"/>
          <w:rtl/>
        </w:rPr>
        <w:t> </w:t>
      </w:r>
      <w:r w:rsidR="00955044" w:rsidRPr="00955044">
        <w:rPr>
          <w:rtl/>
        </w:rPr>
        <w:t>WSIS+20. وسيتيح استعراض القمة WSIS+20 الذي ستجريه الجمعية العامة للأمم المتحدة في ديسمبر 2025 فرصة لتقييم التقدم المحرز وتحديد التحديات وتعزيز التعاون.</w:t>
      </w:r>
    </w:p>
    <w:p w14:paraId="23A771AF" w14:textId="454B3AF8" w:rsidR="00955044" w:rsidRPr="00955044" w:rsidRDefault="004A139A" w:rsidP="00955044">
      <w:r>
        <w:t>2.7</w:t>
      </w:r>
      <w:r w:rsidR="00955044" w:rsidRPr="00955044">
        <w:rPr>
          <w:rtl/>
        </w:rPr>
        <w:tab/>
        <w:t>وقدم المراقب عن الاتحاد الروسي الوثيقة C25/80 ودعا أعضاء المجلس إلى النظر في المقترحات الواردة فيها بشأن عملية القمة العالمية لمجتمع المعلومات لما بعد عام 2025.</w:t>
      </w:r>
    </w:p>
    <w:p w14:paraId="69C0FBFF" w14:textId="29C9D0E6" w:rsidR="00955044" w:rsidRPr="00955044" w:rsidRDefault="004A139A" w:rsidP="00955044">
      <w:r>
        <w:t>3.7</w:t>
      </w:r>
      <w:r w:rsidR="00955044" w:rsidRPr="00955044">
        <w:rPr>
          <w:rtl/>
        </w:rPr>
        <w:tab/>
        <w:t>ورحب العديد من أعضاء المجلس بالتقرير وأعربوا عن تأييدهم لعملية القمة العالمية لمجتمع المعلومات ومساهمة الاتحاد في تحقيق أهداف التنمية المستدامة. وأعربوا عن تطلعهم قدماً إلى الحدث رفيع المستوى WSIS+20 الذي سيعقد في يوليو 2025 وشجعوا جميع أصحاب المصلحة على المشاركة. وتقدم خطوط عمل القمة إطار</w:t>
      </w:r>
      <w:r w:rsidR="00953867">
        <w:rPr>
          <w:rFonts w:hint="cs"/>
          <w:rtl/>
        </w:rPr>
        <w:t xml:space="preserve"> عمل</w:t>
      </w:r>
      <w:r w:rsidR="00955044" w:rsidRPr="00955044">
        <w:rPr>
          <w:rtl/>
        </w:rPr>
        <w:t xml:space="preserve"> قويا</w:t>
      </w:r>
      <w:r w:rsidR="005B4D93">
        <w:rPr>
          <w:rFonts w:hint="cs"/>
          <w:rtl/>
        </w:rPr>
        <w:t>ً</w:t>
      </w:r>
      <w:r w:rsidR="00955044" w:rsidRPr="00955044">
        <w:rPr>
          <w:rtl/>
        </w:rPr>
        <w:t xml:space="preserve"> لمناقشة الإدارة الرقمية، وينبغي تعزيز آليات أصحاب المصلحة المتعددين التي أنشئت بنجاح في إطار القمة العالمية لمجتمع المعلومات. وشدد أحد أعضاء المجلس على أهمية هذا الإطار للبلدان النامية وبلدان الجنوب، ولا سيما في تيسير النفاذ إلى التكنولوجيات الناشئة. ودعا عضو آخر إلى أن تركز عملية استعراض القمة WSIS+20 على النواتج البارزة للقمة، في حين شدد عضوان آخران على الحاجة لتجنب الازدواجية في عمليات القمة، لا سيما فيما يتعلق بالميثاق الرقمي العالمي، مع ضمان التكامل.</w:t>
      </w:r>
    </w:p>
    <w:p w14:paraId="2B905309" w14:textId="7AC1AECA" w:rsidR="00955044" w:rsidRPr="00955044" w:rsidRDefault="004A139A" w:rsidP="00955044">
      <w:r>
        <w:t>4.7</w:t>
      </w:r>
      <w:r w:rsidR="00955044" w:rsidRPr="00955044">
        <w:rPr>
          <w:rtl/>
        </w:rPr>
        <w:tab/>
        <w:t xml:space="preserve">وأعرب عدد من أعضاء المجلس عن تأييدهم للمقترحات الواردة في الوثيقة C25/80 بشأن عملية القمة العالمية لمجتمع المعلومات لما بعد عام 2025؛ وإذ أيّد عدد من الأعضاء مواصلة العملية، أشاروا إلى أن المجلس ينبغي أن ينتظر نتائج الاجتماع رفيع المستوى للجمعية العامة للأمم المتحدة بشأن استعراض القمة WSIS+20، المقرر عقده في الفترة </w:t>
      </w:r>
      <w:r w:rsidR="005B4D93">
        <w:t>17-16</w:t>
      </w:r>
      <w:r w:rsidR="00955044" w:rsidRPr="00955044">
        <w:rPr>
          <w:rtl/>
        </w:rPr>
        <w:t xml:space="preserve"> ديسمبر 2025، قبل اتخاذ قرار.</w:t>
      </w:r>
    </w:p>
    <w:p w14:paraId="5ACE3B3D" w14:textId="1CA2D97E" w:rsidR="00955044" w:rsidRPr="00955044" w:rsidRDefault="004A139A" w:rsidP="00955044">
      <w:r>
        <w:lastRenderedPageBreak/>
        <w:t>5.7</w:t>
      </w:r>
      <w:r w:rsidR="00955044" w:rsidRPr="00955044">
        <w:rPr>
          <w:rtl/>
        </w:rPr>
        <w:tab/>
      </w:r>
      <w:r w:rsidR="00955044" w:rsidRPr="00953867">
        <w:rPr>
          <w:b/>
          <w:bCs/>
          <w:rtl/>
        </w:rPr>
        <w:t>وأخذ</w:t>
      </w:r>
      <w:r w:rsidR="00955044" w:rsidRPr="00955044">
        <w:rPr>
          <w:rtl/>
        </w:rPr>
        <w:t xml:space="preserve"> المجلس </w:t>
      </w:r>
      <w:r w:rsidR="00955044" w:rsidRPr="00955044">
        <w:rPr>
          <w:b/>
          <w:bCs/>
          <w:rtl/>
        </w:rPr>
        <w:t>علما</w:t>
      </w:r>
      <w:r w:rsidR="009A6DD2" w:rsidRPr="009A6DD2">
        <w:rPr>
          <w:rFonts w:hint="cs"/>
          <w:b/>
          <w:bCs/>
          <w:rtl/>
        </w:rPr>
        <w:t>ً</w:t>
      </w:r>
      <w:r w:rsidR="00955044" w:rsidRPr="00955044">
        <w:rPr>
          <w:rtl/>
        </w:rPr>
        <w:t xml:space="preserve"> بالتقرير الوارد في الوثيقة C25/61 </w:t>
      </w:r>
      <w:r w:rsidR="00955044" w:rsidRPr="00953867">
        <w:rPr>
          <w:b/>
          <w:bCs/>
          <w:rtl/>
        </w:rPr>
        <w:t>واتفق</w:t>
      </w:r>
      <w:r w:rsidR="00955044" w:rsidRPr="00955044">
        <w:rPr>
          <w:rtl/>
        </w:rPr>
        <w:t xml:space="preserve"> على تأجيل النظر في المقترحات الواردة في</w:t>
      </w:r>
      <w:r w:rsidR="00953867">
        <w:rPr>
          <w:rFonts w:hint="cs"/>
          <w:rtl/>
        </w:rPr>
        <w:t> </w:t>
      </w:r>
      <w:r w:rsidR="00955044" w:rsidRPr="00955044">
        <w:rPr>
          <w:rtl/>
        </w:rPr>
        <w:t>الوثيقة</w:t>
      </w:r>
      <w:r w:rsidR="009A6DD2">
        <w:rPr>
          <w:rFonts w:hint="cs"/>
          <w:rtl/>
        </w:rPr>
        <w:t> </w:t>
      </w:r>
      <w:r w:rsidR="00955044" w:rsidRPr="00955044">
        <w:rPr>
          <w:rtl/>
        </w:rPr>
        <w:t>C25/80 إلى ما بعد الاجتماع رفيع المستوى للجمعية العامة للأمم المتحدة بشأن استعراض القمة</w:t>
      </w:r>
      <w:r w:rsidR="00953867">
        <w:rPr>
          <w:rFonts w:hint="cs"/>
          <w:rtl/>
        </w:rPr>
        <w:t> </w:t>
      </w:r>
      <w:r w:rsidR="00955044" w:rsidRPr="00955044">
        <w:rPr>
          <w:rtl/>
        </w:rPr>
        <w:t>WSIS+20.</w:t>
      </w:r>
    </w:p>
    <w:p w14:paraId="34C36B21" w14:textId="6E818FAA" w:rsidR="00955044" w:rsidRPr="00955044" w:rsidRDefault="00955044" w:rsidP="00955044">
      <w:pPr>
        <w:pStyle w:val="Heading1"/>
      </w:pPr>
      <w:r>
        <w:t>8</w:t>
      </w:r>
      <w:r w:rsidRPr="00955044">
        <w:rPr>
          <w:rtl/>
        </w:rPr>
        <w:tab/>
        <w:t xml:space="preserve">التعازي بوفاة </w:t>
      </w:r>
      <w:proofErr w:type="spellStart"/>
      <w:r w:rsidRPr="00955044">
        <w:rPr>
          <w:rtl/>
        </w:rPr>
        <w:t>نايجل</w:t>
      </w:r>
      <w:proofErr w:type="spellEnd"/>
      <w:r w:rsidRPr="00955044">
        <w:rPr>
          <w:rtl/>
        </w:rPr>
        <w:t xml:space="preserve"> </w:t>
      </w:r>
      <w:proofErr w:type="spellStart"/>
      <w:r w:rsidRPr="00955044">
        <w:rPr>
          <w:rtl/>
        </w:rPr>
        <w:t>هيكسون</w:t>
      </w:r>
      <w:proofErr w:type="spellEnd"/>
    </w:p>
    <w:p w14:paraId="47F18DE8" w14:textId="581575A2" w:rsidR="00955044" w:rsidRPr="00955044" w:rsidRDefault="004A139A" w:rsidP="00955044">
      <w:r>
        <w:t>1.8</w:t>
      </w:r>
      <w:r w:rsidR="00955044" w:rsidRPr="00955044">
        <w:rPr>
          <w:rtl/>
        </w:rPr>
        <w:tab/>
        <w:t>وقال رئيس فريق العمل التابع للمجلس والمعني بقضايا السياسات العامة الدولية المتعلقة بالإنترنت</w:t>
      </w:r>
      <w:r w:rsidR="009A6DD2">
        <w:rPr>
          <w:rFonts w:hint="cs"/>
          <w:rtl/>
        </w:rPr>
        <w:t> </w:t>
      </w:r>
      <w:r w:rsidR="00955044" w:rsidRPr="00955044">
        <w:t>(CWG-Internet</w:t>
      </w:r>
      <w:r w:rsidR="009A6DD2">
        <w:t>)</w:t>
      </w:r>
      <w:r w:rsidR="00955044" w:rsidRPr="00955044">
        <w:rPr>
          <w:rtl/>
        </w:rPr>
        <w:t xml:space="preserve"> إن فريق العمل ثُكل بوفاة نائب رئيسه من منطقة أوروبا، السيد </w:t>
      </w:r>
      <w:proofErr w:type="spellStart"/>
      <w:r w:rsidR="00955044" w:rsidRPr="00955044">
        <w:rPr>
          <w:rtl/>
        </w:rPr>
        <w:t>نايجل</w:t>
      </w:r>
      <w:proofErr w:type="spellEnd"/>
      <w:r w:rsidR="00955044" w:rsidRPr="00955044">
        <w:rPr>
          <w:rtl/>
        </w:rPr>
        <w:t xml:space="preserve"> </w:t>
      </w:r>
      <w:proofErr w:type="spellStart"/>
      <w:r w:rsidR="00955044" w:rsidRPr="00955044">
        <w:rPr>
          <w:rtl/>
        </w:rPr>
        <w:t>هيكسون</w:t>
      </w:r>
      <w:proofErr w:type="spellEnd"/>
      <w:r w:rsidR="00955044" w:rsidRPr="00955044">
        <w:rPr>
          <w:rtl/>
        </w:rPr>
        <w:t>، وهو خبير ملتزم في مجال إدارة الإنترنت العالمية وسيُفتقد حضوره وصوته بشدة في مجتمع الإنترنت.</w:t>
      </w:r>
    </w:p>
    <w:p w14:paraId="18DDCA9C" w14:textId="4C00D79A" w:rsidR="00955044" w:rsidRPr="00955044" w:rsidRDefault="004A139A" w:rsidP="00955044">
      <w:r>
        <w:t>2.8</w:t>
      </w:r>
      <w:r w:rsidR="00955044" w:rsidRPr="00955044">
        <w:rPr>
          <w:rtl/>
        </w:rPr>
        <w:tab/>
        <w:t>وانضم إلى رئيس المجلس عدد من أعضاء المجلس ومراقب واحد لتقديم تعازيهم لإدارة المملكة المتحدة.</w:t>
      </w:r>
    </w:p>
    <w:p w14:paraId="0FB28789" w14:textId="6C0582BD" w:rsidR="00955044" w:rsidRPr="00955044" w:rsidRDefault="004A139A" w:rsidP="00955044">
      <w:r>
        <w:t>3.8</w:t>
      </w:r>
      <w:r w:rsidR="00955044" w:rsidRPr="00955044">
        <w:rPr>
          <w:rtl/>
        </w:rPr>
        <w:tab/>
        <w:t>وأعربت الأمينة العامة أيضا</w:t>
      </w:r>
      <w:r w:rsidR="009A6DD2">
        <w:rPr>
          <w:rFonts w:hint="cs"/>
          <w:rtl/>
        </w:rPr>
        <w:t>ً</w:t>
      </w:r>
      <w:r w:rsidR="00955044" w:rsidRPr="00955044">
        <w:rPr>
          <w:rtl/>
        </w:rPr>
        <w:t xml:space="preserve"> عن تعازيها القلبية لأسرة </w:t>
      </w:r>
      <w:proofErr w:type="spellStart"/>
      <w:r w:rsidR="00955044" w:rsidRPr="00955044">
        <w:rPr>
          <w:rtl/>
        </w:rPr>
        <w:t>نايجل</w:t>
      </w:r>
      <w:proofErr w:type="spellEnd"/>
      <w:r w:rsidR="00955044" w:rsidRPr="00955044">
        <w:rPr>
          <w:rtl/>
        </w:rPr>
        <w:t xml:space="preserve"> </w:t>
      </w:r>
      <w:proofErr w:type="spellStart"/>
      <w:r w:rsidR="00955044" w:rsidRPr="00955044">
        <w:rPr>
          <w:rtl/>
        </w:rPr>
        <w:t>هيكسون</w:t>
      </w:r>
      <w:proofErr w:type="spellEnd"/>
      <w:r w:rsidR="00955044" w:rsidRPr="00955044">
        <w:rPr>
          <w:rtl/>
        </w:rPr>
        <w:t xml:space="preserve"> وأصدقائه. وأعربت عن فخرها بالعمل معه لسنوات طويلة، وعن يقينها بأنه سيبقى ماثلاً في الذاكرة باحترام وامتنان عميقين.</w:t>
      </w:r>
    </w:p>
    <w:p w14:paraId="4F064379" w14:textId="20C03190" w:rsidR="00955044" w:rsidRPr="00955044" w:rsidRDefault="004A139A" w:rsidP="00955044">
      <w:r>
        <w:t>4.8</w:t>
      </w:r>
      <w:r w:rsidR="00955044" w:rsidRPr="00955044">
        <w:rPr>
          <w:rtl/>
        </w:rPr>
        <w:tab/>
        <w:t xml:space="preserve">وشكر عضو المجلس من المملكة المتحدة أعضاء المجلس على تعازيهم لوفاة </w:t>
      </w:r>
      <w:proofErr w:type="spellStart"/>
      <w:r w:rsidR="00955044" w:rsidRPr="00955044">
        <w:rPr>
          <w:rtl/>
        </w:rPr>
        <w:t>نايجل</w:t>
      </w:r>
      <w:proofErr w:type="spellEnd"/>
      <w:r w:rsidR="00955044" w:rsidRPr="00955044">
        <w:rPr>
          <w:rtl/>
        </w:rPr>
        <w:t xml:space="preserve"> </w:t>
      </w:r>
      <w:proofErr w:type="spellStart"/>
      <w:r w:rsidR="00955044" w:rsidRPr="00955044">
        <w:rPr>
          <w:rtl/>
        </w:rPr>
        <w:t>هيكسون</w:t>
      </w:r>
      <w:proofErr w:type="spellEnd"/>
      <w:r w:rsidR="00955044" w:rsidRPr="00955044">
        <w:rPr>
          <w:rtl/>
        </w:rPr>
        <w:t xml:space="preserve"> الذي سيفتقده زملاؤه وأصدقاؤه في جميع أنحاء العالم بشدة.</w:t>
      </w:r>
    </w:p>
    <w:p w14:paraId="3E575558" w14:textId="4B175795" w:rsidR="00955044" w:rsidRPr="00955044" w:rsidRDefault="00955044" w:rsidP="00955044">
      <w:pPr>
        <w:pStyle w:val="Heading1"/>
      </w:pPr>
      <w:r>
        <w:t>9</w:t>
      </w:r>
      <w:r w:rsidRPr="00955044">
        <w:rPr>
          <w:rtl/>
        </w:rPr>
        <w:tab/>
        <w:t>بيانات أدلى بها أعضاء المجلس</w:t>
      </w:r>
    </w:p>
    <w:p w14:paraId="6D9D0DE4" w14:textId="50E07166" w:rsidR="00955044" w:rsidRPr="00955044" w:rsidRDefault="004A139A" w:rsidP="00955044">
      <w:pPr>
        <w:rPr>
          <w:rtl/>
        </w:rPr>
      </w:pPr>
      <w:r>
        <w:t>1.9</w:t>
      </w:r>
      <w:r w:rsidR="00955044" w:rsidRPr="00955044">
        <w:rPr>
          <w:rtl/>
        </w:rPr>
        <w:tab/>
        <w:t>أعلن عضوا المجلس من أستراليا والبرازيل ترشيح بلديهما لإعادة انتخابهما لعضوية المجلس.</w:t>
      </w:r>
    </w:p>
    <w:p w14:paraId="35D509E3" w14:textId="117C6E38" w:rsidR="0063610B" w:rsidRPr="0063610B" w:rsidRDefault="0063610B" w:rsidP="004B4C0B">
      <w:pPr>
        <w:tabs>
          <w:tab w:val="left" w:pos="6237"/>
        </w:tabs>
        <w:spacing w:before="600"/>
        <w:rPr>
          <w:lang w:val="ar-SA" w:bidi="ar-EG"/>
        </w:rPr>
      </w:pPr>
      <w:r w:rsidRPr="0063610B">
        <w:rPr>
          <w:rtl/>
        </w:rPr>
        <w:t>الأمينة العامة:</w:t>
      </w:r>
      <w:r w:rsidRPr="0063610B">
        <w:rPr>
          <w:rtl/>
        </w:rPr>
        <w:tab/>
        <w:t>الرئيسة:</w:t>
      </w:r>
    </w:p>
    <w:p w14:paraId="557A070A" w14:textId="6941A233" w:rsidR="0063610B" w:rsidRDefault="0063610B" w:rsidP="00955044">
      <w:pPr>
        <w:tabs>
          <w:tab w:val="left" w:pos="6237"/>
        </w:tabs>
        <w:rPr>
          <w:rtl/>
        </w:rPr>
      </w:pPr>
      <w:r w:rsidRPr="0063610B">
        <w:rPr>
          <w:rtl/>
        </w:rPr>
        <w:t xml:space="preserve">دورين </w:t>
      </w:r>
      <w:proofErr w:type="spellStart"/>
      <w:r w:rsidRPr="0063610B">
        <w:rPr>
          <w:rtl/>
        </w:rPr>
        <w:t>بوغدان</w:t>
      </w:r>
      <w:proofErr w:type="spellEnd"/>
      <w:r w:rsidRPr="0063610B">
        <w:rPr>
          <w:rtl/>
        </w:rPr>
        <w:t>-مارتن</w:t>
      </w:r>
      <w:r w:rsidRPr="0063610B">
        <w:rPr>
          <w:rtl/>
        </w:rPr>
        <w:tab/>
      </w:r>
      <w:r w:rsidR="00955044" w:rsidRPr="00955044">
        <w:rPr>
          <w:rtl/>
        </w:rPr>
        <w:t xml:space="preserve">ك. </w:t>
      </w:r>
      <w:proofErr w:type="spellStart"/>
      <w:r w:rsidR="00955044" w:rsidRPr="00955044">
        <w:rPr>
          <w:rtl/>
        </w:rPr>
        <w:t>فلوتور</w:t>
      </w:r>
      <w:proofErr w:type="spellEnd"/>
    </w:p>
    <w:p w14:paraId="25DE6891" w14:textId="45D347E5"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32"/>
      <w:headerReference w:type="first" r:id="rId33"/>
      <w:footerReference w:type="first" r:id="rId3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FE81" w14:textId="77777777" w:rsidR="006C1641" w:rsidRDefault="006C1641" w:rsidP="006C3242">
      <w:pPr>
        <w:spacing w:before="0" w:line="240" w:lineRule="auto"/>
      </w:pPr>
      <w:r>
        <w:separator/>
      </w:r>
    </w:p>
  </w:endnote>
  <w:endnote w:type="continuationSeparator" w:id="0">
    <w:p w14:paraId="1A03FF90" w14:textId="77777777" w:rsidR="006C1641" w:rsidRDefault="006C1641"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6015E0DB" w14:textId="77777777" w:rsidTr="00A67F05">
      <w:trPr>
        <w:jc w:val="center"/>
      </w:trPr>
      <w:tc>
        <w:tcPr>
          <w:tcW w:w="868" w:type="pct"/>
          <w:vAlign w:val="center"/>
        </w:tcPr>
        <w:p w14:paraId="5E1C9C7A" w14:textId="757E4A86" w:rsidR="00F50E3F" w:rsidRPr="002A6A41" w:rsidRDefault="002A6A41" w:rsidP="002A6A41">
          <w:pPr>
            <w:tabs>
              <w:tab w:val="clear" w:pos="794"/>
            </w:tabs>
            <w:overflowPunct w:val="0"/>
            <w:autoSpaceDE w:val="0"/>
            <w:autoSpaceDN w:val="0"/>
            <w:bidi w:val="0"/>
            <w:adjustRightInd w:val="0"/>
            <w:spacing w:before="0" w:line="240" w:lineRule="auto"/>
            <w:jc w:val="right"/>
            <w:textAlignment w:val="baseline"/>
            <w:rPr>
              <w:rFonts w:ascii="Calibri" w:hAnsi="Calibri" w:cs="Arial"/>
              <w:bCs/>
              <w:color w:val="7F7F7F"/>
              <w:sz w:val="18"/>
            </w:rPr>
          </w:pPr>
          <w:proofErr w:type="spellStart"/>
          <w:r w:rsidRPr="002A6A41">
            <w:rPr>
              <w:rFonts w:ascii="Calibri" w:hAnsi="Calibri" w:cs="Arial"/>
              <w:bCs/>
              <w:color w:val="7F7F7F"/>
              <w:sz w:val="18"/>
            </w:rPr>
            <w:t>2501747A</w:t>
          </w:r>
          <w:proofErr w:type="spellEnd"/>
        </w:p>
      </w:tc>
      <w:tc>
        <w:tcPr>
          <w:tcW w:w="3912" w:type="pct"/>
        </w:tcPr>
        <w:p w14:paraId="0AABE64A" w14:textId="6BA95E0E"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6F363C">
            <w:rPr>
              <w:rFonts w:ascii="Calibri" w:hAnsi="Calibri" w:cs="Arial"/>
              <w:bCs/>
              <w:color w:val="7F7F7F"/>
              <w:sz w:val="18"/>
            </w:rPr>
            <w:t>5</w:t>
          </w:r>
          <w:proofErr w:type="spellEnd"/>
          <w:r w:rsidRPr="007B0AA0">
            <w:rPr>
              <w:rFonts w:ascii="Calibri" w:hAnsi="Calibri" w:cs="Arial"/>
              <w:bCs/>
              <w:color w:val="7F7F7F"/>
              <w:sz w:val="18"/>
            </w:rPr>
            <w:t>/</w:t>
          </w:r>
          <w:r w:rsidR="002A6A41">
            <w:rPr>
              <w:rFonts w:ascii="Calibri" w:hAnsi="Calibri" w:cs="Arial"/>
              <w:bCs/>
              <w:color w:val="7F7F7F"/>
              <w:sz w:val="18"/>
            </w:rPr>
            <w:t>108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FAE62E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2602BC4" w14:textId="77777777" w:rsidR="006C3242" w:rsidRPr="00903578" w:rsidRDefault="006C3242" w:rsidP="001857D3">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2CB68D20" w14:textId="77777777" w:rsidTr="00A67F05">
      <w:trPr>
        <w:jc w:val="center"/>
      </w:trPr>
      <w:tc>
        <w:tcPr>
          <w:tcW w:w="1013" w:type="pct"/>
          <w:vAlign w:val="center"/>
        </w:tcPr>
        <w:p w14:paraId="5481F652"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18D39BC8" w14:textId="1BE00C37"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6F363C">
            <w:rPr>
              <w:rFonts w:ascii="Calibri" w:hAnsi="Calibri" w:cs="Arial"/>
              <w:bCs/>
              <w:color w:val="7F7F7F"/>
              <w:sz w:val="18"/>
            </w:rPr>
            <w:t>5</w:t>
          </w:r>
          <w:proofErr w:type="spellEnd"/>
          <w:r w:rsidRPr="007B0AA0">
            <w:rPr>
              <w:rFonts w:ascii="Calibri" w:hAnsi="Calibri" w:cs="Arial"/>
              <w:bCs/>
              <w:color w:val="7F7F7F"/>
              <w:sz w:val="18"/>
            </w:rPr>
            <w:t>/</w:t>
          </w:r>
          <w:r w:rsidR="002D673A">
            <w:rPr>
              <w:rFonts w:ascii="Calibri" w:hAnsi="Calibri" w:cs="Arial"/>
              <w:bCs/>
              <w:color w:val="7F7F7F"/>
              <w:sz w:val="18"/>
            </w:rPr>
            <w:t>10</w:t>
          </w:r>
          <w:r w:rsidR="007E2052">
            <w:rPr>
              <w:rFonts w:ascii="Calibri" w:hAnsi="Calibri" w:cs="Arial"/>
              <w:bCs/>
              <w:color w:val="7F7F7F"/>
              <w:sz w:val="18"/>
              <w:lang w:val="en-US"/>
            </w:rPr>
            <w:t>8</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90C0207"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250E282" w14:textId="77777777" w:rsidR="0006468A" w:rsidRPr="00903578" w:rsidRDefault="0006468A" w:rsidP="001857D3">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994C" w14:textId="77777777" w:rsidR="006C1641" w:rsidRDefault="006C1641" w:rsidP="006C3242">
      <w:pPr>
        <w:spacing w:before="0" w:line="240" w:lineRule="auto"/>
      </w:pPr>
      <w:r>
        <w:separator/>
      </w:r>
    </w:p>
  </w:footnote>
  <w:footnote w:type="continuationSeparator" w:id="0">
    <w:p w14:paraId="22CE8F7D" w14:textId="77777777" w:rsidR="006C1641" w:rsidRDefault="006C1641"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7EB9"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1BC76DF" wp14:editId="16293CC7">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C04D2"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470D6A1F" wp14:editId="68ACFA35">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8499420">
    <w:abstractNumId w:val="9"/>
  </w:num>
  <w:num w:numId="2" w16cid:durableId="84883564">
    <w:abstractNumId w:val="7"/>
  </w:num>
  <w:num w:numId="3" w16cid:durableId="866985114">
    <w:abstractNumId w:val="6"/>
  </w:num>
  <w:num w:numId="4" w16cid:durableId="996496048">
    <w:abstractNumId w:val="5"/>
  </w:num>
  <w:num w:numId="5" w16cid:durableId="902255205">
    <w:abstractNumId w:val="4"/>
  </w:num>
  <w:num w:numId="6" w16cid:durableId="32850203">
    <w:abstractNumId w:val="8"/>
  </w:num>
  <w:num w:numId="7" w16cid:durableId="1027408300">
    <w:abstractNumId w:val="3"/>
  </w:num>
  <w:num w:numId="8" w16cid:durableId="2119910856">
    <w:abstractNumId w:val="2"/>
  </w:num>
  <w:num w:numId="9" w16cid:durableId="487668710">
    <w:abstractNumId w:val="1"/>
  </w:num>
  <w:num w:numId="10" w16cid:durableId="871069603">
    <w:abstractNumId w:val="0"/>
  </w:num>
  <w:num w:numId="11" w16cid:durableId="6573400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84"/>
    <w:rsid w:val="000036F1"/>
    <w:rsid w:val="0002510E"/>
    <w:rsid w:val="0006468A"/>
    <w:rsid w:val="00066CAD"/>
    <w:rsid w:val="00083AA3"/>
    <w:rsid w:val="00090574"/>
    <w:rsid w:val="0009110B"/>
    <w:rsid w:val="000A7D1D"/>
    <w:rsid w:val="000B3432"/>
    <w:rsid w:val="000C1C0E"/>
    <w:rsid w:val="000C548A"/>
    <w:rsid w:val="00142DD9"/>
    <w:rsid w:val="00146631"/>
    <w:rsid w:val="00176F87"/>
    <w:rsid w:val="00183A0D"/>
    <w:rsid w:val="00183E76"/>
    <w:rsid w:val="001857D3"/>
    <w:rsid w:val="00187671"/>
    <w:rsid w:val="00191059"/>
    <w:rsid w:val="001B6E2B"/>
    <w:rsid w:val="001C0169"/>
    <w:rsid w:val="001C0C21"/>
    <w:rsid w:val="001D1D50"/>
    <w:rsid w:val="001D64C7"/>
    <w:rsid w:val="001D6745"/>
    <w:rsid w:val="001E446E"/>
    <w:rsid w:val="001F4E01"/>
    <w:rsid w:val="002154EE"/>
    <w:rsid w:val="002276D2"/>
    <w:rsid w:val="0023283D"/>
    <w:rsid w:val="0024445C"/>
    <w:rsid w:val="00254393"/>
    <w:rsid w:val="0026373E"/>
    <w:rsid w:val="00271C43"/>
    <w:rsid w:val="002730D0"/>
    <w:rsid w:val="00281C19"/>
    <w:rsid w:val="00290728"/>
    <w:rsid w:val="002978F4"/>
    <w:rsid w:val="002A6A41"/>
    <w:rsid w:val="002A7A79"/>
    <w:rsid w:val="002B028D"/>
    <w:rsid w:val="002B307A"/>
    <w:rsid w:val="002B5F1C"/>
    <w:rsid w:val="002B7816"/>
    <w:rsid w:val="002C3F32"/>
    <w:rsid w:val="002D673A"/>
    <w:rsid w:val="002E6541"/>
    <w:rsid w:val="002E7767"/>
    <w:rsid w:val="002F4A5A"/>
    <w:rsid w:val="003312A8"/>
    <w:rsid w:val="00334924"/>
    <w:rsid w:val="003409BC"/>
    <w:rsid w:val="00344FB1"/>
    <w:rsid w:val="00357185"/>
    <w:rsid w:val="003755D7"/>
    <w:rsid w:val="00380CBE"/>
    <w:rsid w:val="00383829"/>
    <w:rsid w:val="00384884"/>
    <w:rsid w:val="003C1BE4"/>
    <w:rsid w:val="003C2E8F"/>
    <w:rsid w:val="003D62B7"/>
    <w:rsid w:val="003D6F72"/>
    <w:rsid w:val="003F4B29"/>
    <w:rsid w:val="00413E34"/>
    <w:rsid w:val="00420F8A"/>
    <w:rsid w:val="0042686F"/>
    <w:rsid w:val="00426BB6"/>
    <w:rsid w:val="004317D8"/>
    <w:rsid w:val="0043260A"/>
    <w:rsid w:val="00434183"/>
    <w:rsid w:val="00443869"/>
    <w:rsid w:val="00447F32"/>
    <w:rsid w:val="00457483"/>
    <w:rsid w:val="00491BA9"/>
    <w:rsid w:val="004A0131"/>
    <w:rsid w:val="004A139A"/>
    <w:rsid w:val="004A4701"/>
    <w:rsid w:val="004B4C0B"/>
    <w:rsid w:val="004B7334"/>
    <w:rsid w:val="004E11DC"/>
    <w:rsid w:val="004E1BEC"/>
    <w:rsid w:val="004E6092"/>
    <w:rsid w:val="004F4412"/>
    <w:rsid w:val="005130DE"/>
    <w:rsid w:val="00513157"/>
    <w:rsid w:val="00521B11"/>
    <w:rsid w:val="00525DDD"/>
    <w:rsid w:val="005409AC"/>
    <w:rsid w:val="00541F62"/>
    <w:rsid w:val="005434E0"/>
    <w:rsid w:val="005543ED"/>
    <w:rsid w:val="005546CF"/>
    <w:rsid w:val="0055516A"/>
    <w:rsid w:val="0058491B"/>
    <w:rsid w:val="00592EA5"/>
    <w:rsid w:val="005A3170"/>
    <w:rsid w:val="005B4D93"/>
    <w:rsid w:val="005C7203"/>
    <w:rsid w:val="005D26C5"/>
    <w:rsid w:val="005F014B"/>
    <w:rsid w:val="00630CE8"/>
    <w:rsid w:val="0063610B"/>
    <w:rsid w:val="00660DEA"/>
    <w:rsid w:val="00663285"/>
    <w:rsid w:val="00677396"/>
    <w:rsid w:val="0069200F"/>
    <w:rsid w:val="006A0B6E"/>
    <w:rsid w:val="006A566D"/>
    <w:rsid w:val="006A65CB"/>
    <w:rsid w:val="006B12E5"/>
    <w:rsid w:val="006C1641"/>
    <w:rsid w:val="006C3242"/>
    <w:rsid w:val="006C3BCD"/>
    <w:rsid w:val="006C7CC0"/>
    <w:rsid w:val="006D78FC"/>
    <w:rsid w:val="006E4A90"/>
    <w:rsid w:val="006E66E5"/>
    <w:rsid w:val="006F363C"/>
    <w:rsid w:val="006F63F7"/>
    <w:rsid w:val="007025C7"/>
    <w:rsid w:val="007048A9"/>
    <w:rsid w:val="00706D7A"/>
    <w:rsid w:val="00722F0D"/>
    <w:rsid w:val="007307DA"/>
    <w:rsid w:val="00742CE6"/>
    <w:rsid w:val="0074420E"/>
    <w:rsid w:val="007648A6"/>
    <w:rsid w:val="0077110E"/>
    <w:rsid w:val="00783779"/>
    <w:rsid w:val="00783E26"/>
    <w:rsid w:val="007A6684"/>
    <w:rsid w:val="007B0AA0"/>
    <w:rsid w:val="007B47AC"/>
    <w:rsid w:val="007C263C"/>
    <w:rsid w:val="007C3BC7"/>
    <w:rsid w:val="007C3BCD"/>
    <w:rsid w:val="007C7CDA"/>
    <w:rsid w:val="007D4ACF"/>
    <w:rsid w:val="007E025C"/>
    <w:rsid w:val="007E2052"/>
    <w:rsid w:val="007F0787"/>
    <w:rsid w:val="007F44F5"/>
    <w:rsid w:val="00810B7B"/>
    <w:rsid w:val="0082358A"/>
    <w:rsid w:val="008235CD"/>
    <w:rsid w:val="008247DE"/>
    <w:rsid w:val="008339C0"/>
    <w:rsid w:val="00840B10"/>
    <w:rsid w:val="008467A1"/>
    <w:rsid w:val="008513CB"/>
    <w:rsid w:val="008557EC"/>
    <w:rsid w:val="00874E9F"/>
    <w:rsid w:val="008A7F84"/>
    <w:rsid w:val="00903578"/>
    <w:rsid w:val="0091702E"/>
    <w:rsid w:val="00923B0C"/>
    <w:rsid w:val="00924F46"/>
    <w:rsid w:val="009332C9"/>
    <w:rsid w:val="00935824"/>
    <w:rsid w:val="00935AAC"/>
    <w:rsid w:val="0094021C"/>
    <w:rsid w:val="00952F86"/>
    <w:rsid w:val="00953867"/>
    <w:rsid w:val="00955044"/>
    <w:rsid w:val="00956AC1"/>
    <w:rsid w:val="00960A58"/>
    <w:rsid w:val="00970212"/>
    <w:rsid w:val="00982B28"/>
    <w:rsid w:val="009835DC"/>
    <w:rsid w:val="00987455"/>
    <w:rsid w:val="00997636"/>
    <w:rsid w:val="009A6DD2"/>
    <w:rsid w:val="009B34EA"/>
    <w:rsid w:val="009D313F"/>
    <w:rsid w:val="009F0D59"/>
    <w:rsid w:val="00A04120"/>
    <w:rsid w:val="00A462A9"/>
    <w:rsid w:val="00A47A5A"/>
    <w:rsid w:val="00A55AE2"/>
    <w:rsid w:val="00A63AE6"/>
    <w:rsid w:val="00A6683B"/>
    <w:rsid w:val="00A67F05"/>
    <w:rsid w:val="00A74922"/>
    <w:rsid w:val="00A77B3D"/>
    <w:rsid w:val="00A97F94"/>
    <w:rsid w:val="00AA7EA2"/>
    <w:rsid w:val="00AC0861"/>
    <w:rsid w:val="00B03099"/>
    <w:rsid w:val="00B05BC8"/>
    <w:rsid w:val="00B16D4A"/>
    <w:rsid w:val="00B30F5E"/>
    <w:rsid w:val="00B42863"/>
    <w:rsid w:val="00B64B47"/>
    <w:rsid w:val="00B83DC9"/>
    <w:rsid w:val="00B84904"/>
    <w:rsid w:val="00B95654"/>
    <w:rsid w:val="00B97F32"/>
    <w:rsid w:val="00BA04B2"/>
    <w:rsid w:val="00BB583B"/>
    <w:rsid w:val="00C002DE"/>
    <w:rsid w:val="00C0602B"/>
    <w:rsid w:val="00C224DA"/>
    <w:rsid w:val="00C51FD2"/>
    <w:rsid w:val="00C53BF8"/>
    <w:rsid w:val="00C66157"/>
    <w:rsid w:val="00C674FE"/>
    <w:rsid w:val="00C67501"/>
    <w:rsid w:val="00C7293E"/>
    <w:rsid w:val="00C75633"/>
    <w:rsid w:val="00C90EEF"/>
    <w:rsid w:val="00CB3C3A"/>
    <w:rsid w:val="00CE2EE1"/>
    <w:rsid w:val="00CE3349"/>
    <w:rsid w:val="00CE36E5"/>
    <w:rsid w:val="00CE4360"/>
    <w:rsid w:val="00CF0CBB"/>
    <w:rsid w:val="00CF27F5"/>
    <w:rsid w:val="00CF3FFD"/>
    <w:rsid w:val="00D006A7"/>
    <w:rsid w:val="00D10CCF"/>
    <w:rsid w:val="00D13941"/>
    <w:rsid w:val="00D23F5F"/>
    <w:rsid w:val="00D43F7D"/>
    <w:rsid w:val="00D633BD"/>
    <w:rsid w:val="00D63735"/>
    <w:rsid w:val="00D6432D"/>
    <w:rsid w:val="00D77D0F"/>
    <w:rsid w:val="00D90498"/>
    <w:rsid w:val="00D9186B"/>
    <w:rsid w:val="00D9369B"/>
    <w:rsid w:val="00DA1CF0"/>
    <w:rsid w:val="00DB4347"/>
    <w:rsid w:val="00DB6709"/>
    <w:rsid w:val="00DC1E02"/>
    <w:rsid w:val="00DC24B4"/>
    <w:rsid w:val="00DC5FB0"/>
    <w:rsid w:val="00DE1602"/>
    <w:rsid w:val="00DF16DC"/>
    <w:rsid w:val="00E27050"/>
    <w:rsid w:val="00E302D8"/>
    <w:rsid w:val="00E33EBD"/>
    <w:rsid w:val="00E37C82"/>
    <w:rsid w:val="00E45211"/>
    <w:rsid w:val="00E473C5"/>
    <w:rsid w:val="00E61BE8"/>
    <w:rsid w:val="00E81DED"/>
    <w:rsid w:val="00E83FF1"/>
    <w:rsid w:val="00E92863"/>
    <w:rsid w:val="00E979B2"/>
    <w:rsid w:val="00EA708E"/>
    <w:rsid w:val="00EB5BB7"/>
    <w:rsid w:val="00EB6DE0"/>
    <w:rsid w:val="00EB796D"/>
    <w:rsid w:val="00EF5A23"/>
    <w:rsid w:val="00F058DC"/>
    <w:rsid w:val="00F14233"/>
    <w:rsid w:val="00F24FC4"/>
    <w:rsid w:val="00F2676C"/>
    <w:rsid w:val="00F363FE"/>
    <w:rsid w:val="00F40B4E"/>
    <w:rsid w:val="00F501E6"/>
    <w:rsid w:val="00F50E3F"/>
    <w:rsid w:val="00F579A2"/>
    <w:rsid w:val="00F8051A"/>
    <w:rsid w:val="00F84366"/>
    <w:rsid w:val="00F85089"/>
    <w:rsid w:val="00F974C5"/>
    <w:rsid w:val="00FA08AF"/>
    <w:rsid w:val="00FA3763"/>
    <w:rsid w:val="00FA6F46"/>
    <w:rsid w:val="00FC0E94"/>
    <w:rsid w:val="00FC4592"/>
    <w:rsid w:val="00FD1C8A"/>
    <w:rsid w:val="00FD527F"/>
    <w:rsid w:val="00FD77E5"/>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28E58"/>
  <w15:chartTrackingRefBased/>
  <w15:docId w15:val="{8FD608F8-3C92-4EEA-B7EF-D32954F7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D1D"/>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660DEA"/>
    <w:rPr>
      <w:rFonts w:ascii="Calibri" w:eastAsia="Calibri" w:hAnsi="Calibri" w:cs="Arial"/>
      <w:noProof/>
      <w:color w:val="5B9BD5" w:themeColor="accent1"/>
      <w:sz w:val="18"/>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paragraph" w:customStyle="1" w:styleId="Questionref">
    <w:name w:val="Question_ref"/>
    <w:basedOn w:val="Normal"/>
    <w:next w:val="Normal"/>
    <w:rsid w:val="00935824"/>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jc w:val="center"/>
      <w:textAlignment w:val="baseline"/>
    </w:pPr>
    <w:rPr>
      <w:rFonts w:ascii="Times New Roman" w:eastAsia="Times New Roman" w:hAnsi="Times New Roman" w:cs="Times New Roman"/>
      <w:sz w:val="24"/>
      <w:szCs w:val="20"/>
      <w:lang w:val="en-GB" w:eastAsia="en-US"/>
    </w:rPr>
  </w:style>
  <w:style w:type="character" w:styleId="FollowedHyperlink">
    <w:name w:val="FollowedHyperlink"/>
    <w:basedOn w:val="DefaultParagraphFont"/>
    <w:uiPriority w:val="99"/>
    <w:semiHidden/>
    <w:unhideWhenUsed/>
    <w:rsid w:val="00935824"/>
    <w:rPr>
      <w:color w:val="954F72" w:themeColor="followedHyperlink"/>
      <w:u w:val="single"/>
    </w:rPr>
  </w:style>
  <w:style w:type="paragraph" w:customStyle="1" w:styleId="5">
    <w:name w:val="5"/>
    <w:basedOn w:val="Heading1"/>
    <w:rsid w:val="00C72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486580691">
      <w:bodyDiv w:val="1"/>
      <w:marLeft w:val="0"/>
      <w:marRight w:val="0"/>
      <w:marTop w:val="0"/>
      <w:marBottom w:val="0"/>
      <w:divBdr>
        <w:top w:val="none" w:sz="0" w:space="0" w:color="auto"/>
        <w:left w:val="none" w:sz="0" w:space="0" w:color="auto"/>
        <w:bottom w:val="none" w:sz="0" w:space="0" w:color="auto"/>
        <w:right w:val="none" w:sz="0" w:space="0" w:color="auto"/>
      </w:divBdr>
      <w:divsChild>
        <w:div w:id="240605191">
          <w:marLeft w:val="0"/>
          <w:marRight w:val="0"/>
          <w:marTop w:val="0"/>
          <w:marBottom w:val="0"/>
          <w:divBdr>
            <w:top w:val="none" w:sz="0" w:space="0" w:color="auto"/>
            <w:left w:val="none" w:sz="0" w:space="0" w:color="auto"/>
            <w:bottom w:val="none" w:sz="0" w:space="0" w:color="auto"/>
            <w:right w:val="none" w:sz="0" w:space="0" w:color="auto"/>
          </w:divBdr>
          <w:divsChild>
            <w:div w:id="946543955">
              <w:marLeft w:val="0"/>
              <w:marRight w:val="0"/>
              <w:marTop w:val="0"/>
              <w:marBottom w:val="0"/>
              <w:divBdr>
                <w:top w:val="none" w:sz="0" w:space="0" w:color="auto"/>
                <w:left w:val="none" w:sz="0" w:space="0" w:color="auto"/>
                <w:bottom w:val="none" w:sz="0" w:space="0" w:color="auto"/>
                <w:right w:val="none" w:sz="0" w:space="0" w:color="auto"/>
              </w:divBdr>
              <w:divsChild>
                <w:div w:id="1922368427">
                  <w:marLeft w:val="0"/>
                  <w:marRight w:val="0"/>
                  <w:marTop w:val="0"/>
                  <w:marBottom w:val="0"/>
                  <w:divBdr>
                    <w:top w:val="none" w:sz="0" w:space="0" w:color="auto"/>
                    <w:left w:val="none" w:sz="0" w:space="0" w:color="auto"/>
                    <w:bottom w:val="none" w:sz="0" w:space="0" w:color="auto"/>
                    <w:right w:val="none" w:sz="0" w:space="0" w:color="auto"/>
                  </w:divBdr>
                  <w:divsChild>
                    <w:div w:id="1599870050">
                      <w:marLeft w:val="0"/>
                      <w:marRight w:val="0"/>
                      <w:marTop w:val="0"/>
                      <w:marBottom w:val="0"/>
                      <w:divBdr>
                        <w:top w:val="none" w:sz="0" w:space="0" w:color="auto"/>
                        <w:left w:val="none" w:sz="0" w:space="0" w:color="auto"/>
                        <w:bottom w:val="none" w:sz="0" w:space="0" w:color="auto"/>
                        <w:right w:val="none" w:sz="0" w:space="0" w:color="auto"/>
                      </w:divBdr>
                      <w:divsChild>
                        <w:div w:id="1223954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342590">
      <w:bodyDiv w:val="1"/>
      <w:marLeft w:val="0"/>
      <w:marRight w:val="0"/>
      <w:marTop w:val="0"/>
      <w:marBottom w:val="0"/>
      <w:divBdr>
        <w:top w:val="none" w:sz="0" w:space="0" w:color="auto"/>
        <w:left w:val="none" w:sz="0" w:space="0" w:color="auto"/>
        <w:bottom w:val="none" w:sz="0" w:space="0" w:color="auto"/>
        <w:right w:val="none" w:sz="0" w:space="0" w:color="auto"/>
      </w:divBdr>
      <w:divsChild>
        <w:div w:id="1934167940">
          <w:marLeft w:val="0"/>
          <w:marRight w:val="0"/>
          <w:marTop w:val="0"/>
          <w:marBottom w:val="0"/>
          <w:divBdr>
            <w:top w:val="none" w:sz="0" w:space="0" w:color="auto"/>
            <w:left w:val="none" w:sz="0" w:space="0" w:color="auto"/>
            <w:bottom w:val="none" w:sz="0" w:space="0" w:color="auto"/>
            <w:right w:val="none" w:sz="0" w:space="0" w:color="auto"/>
          </w:divBdr>
          <w:divsChild>
            <w:div w:id="558634292">
              <w:marLeft w:val="0"/>
              <w:marRight w:val="0"/>
              <w:marTop w:val="0"/>
              <w:marBottom w:val="0"/>
              <w:divBdr>
                <w:top w:val="none" w:sz="0" w:space="0" w:color="auto"/>
                <w:left w:val="none" w:sz="0" w:space="0" w:color="auto"/>
                <w:bottom w:val="none" w:sz="0" w:space="0" w:color="auto"/>
                <w:right w:val="none" w:sz="0" w:space="0" w:color="auto"/>
              </w:divBdr>
              <w:divsChild>
                <w:div w:id="307175610">
                  <w:marLeft w:val="0"/>
                  <w:marRight w:val="0"/>
                  <w:marTop w:val="0"/>
                  <w:marBottom w:val="0"/>
                  <w:divBdr>
                    <w:top w:val="none" w:sz="0" w:space="0" w:color="auto"/>
                    <w:left w:val="none" w:sz="0" w:space="0" w:color="auto"/>
                    <w:bottom w:val="none" w:sz="0" w:space="0" w:color="auto"/>
                    <w:right w:val="none" w:sz="0" w:space="0" w:color="auto"/>
                  </w:divBdr>
                  <w:divsChild>
                    <w:div w:id="1019813774">
                      <w:marLeft w:val="0"/>
                      <w:marRight w:val="0"/>
                      <w:marTop w:val="0"/>
                      <w:marBottom w:val="0"/>
                      <w:divBdr>
                        <w:top w:val="none" w:sz="0" w:space="0" w:color="auto"/>
                        <w:left w:val="none" w:sz="0" w:space="0" w:color="auto"/>
                        <w:bottom w:val="none" w:sz="0" w:space="0" w:color="auto"/>
                        <w:right w:val="none" w:sz="0" w:space="0" w:color="auto"/>
                      </w:divBdr>
                      <w:divsChild>
                        <w:div w:id="2062439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08/en" TargetMode="External"/><Relationship Id="rId18" Type="http://schemas.openxmlformats.org/officeDocument/2006/relationships/hyperlink" Target="https://www.itu.int/md/S25-CL-C-0024/en" TargetMode="External"/><Relationship Id="rId26" Type="http://schemas.openxmlformats.org/officeDocument/2006/relationships/hyperlink" Target="https://www.itu.int/md/S25-CL-C-0008/en" TargetMode="External"/><Relationship Id="rId3" Type="http://schemas.openxmlformats.org/officeDocument/2006/relationships/styles" Target="styles.xml"/><Relationship Id="rId21" Type="http://schemas.openxmlformats.org/officeDocument/2006/relationships/hyperlink" Target="https://www.itu.int/md/S25-CL-INF-0014/e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md/S25-CL-C-0033/en" TargetMode="External"/><Relationship Id="rId17" Type="http://schemas.openxmlformats.org/officeDocument/2006/relationships/hyperlink" Target="https://www.itu.int/md/S25-CL-C-0004/en" TargetMode="External"/><Relationship Id="rId25" Type="http://schemas.openxmlformats.org/officeDocument/2006/relationships/hyperlink" Target="https://www.itu.int/md/S25-CL-C-0033/e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S25-CL-C-0004/en" TargetMode="External"/><Relationship Id="rId20" Type="http://schemas.openxmlformats.org/officeDocument/2006/relationships/hyperlink" Target="https://www.itu.int/md/S25-CL-C-0024/en" TargetMode="External"/><Relationship Id="rId29" Type="http://schemas.openxmlformats.org/officeDocument/2006/relationships/hyperlink" Target="https://www.itu.int/md/S25-CL-C-0080/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51/en" TargetMode="External"/><Relationship Id="rId24" Type="http://schemas.openxmlformats.org/officeDocument/2006/relationships/hyperlink" Target="https://www.itu.int/md/S25-CL-C-0033/e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md/S25-CL-C-0080/en" TargetMode="External"/><Relationship Id="rId23" Type="http://schemas.openxmlformats.org/officeDocument/2006/relationships/hyperlink" Target="https://www.itu.int/md/S25-CL-C-0051/en" TargetMode="External"/><Relationship Id="rId28" Type="http://schemas.openxmlformats.org/officeDocument/2006/relationships/hyperlink" Target="https://www.itu.int/md/S25-CL-C-0061/en" TargetMode="External"/><Relationship Id="rId36" Type="http://schemas.openxmlformats.org/officeDocument/2006/relationships/theme" Target="theme/theme1.xml"/><Relationship Id="rId10" Type="http://schemas.openxmlformats.org/officeDocument/2006/relationships/hyperlink" Target="https://www.itu.int/md/S25-CL-INF-0014/en" TargetMode="External"/><Relationship Id="rId19" Type="http://schemas.openxmlformats.org/officeDocument/2006/relationships/hyperlink" Target="https://www.itu.int/md/S25-CL-INF-0014/en" TargetMode="External"/><Relationship Id="rId31" Type="http://schemas.openxmlformats.org/officeDocument/2006/relationships/hyperlink" Target="https://www.itu.int/md/S25-CL-C-0080/en" TargetMode="External"/><Relationship Id="rId4" Type="http://schemas.openxmlformats.org/officeDocument/2006/relationships/settings" Target="settings.xml"/><Relationship Id="rId9" Type="http://schemas.openxmlformats.org/officeDocument/2006/relationships/hyperlink" Target="https://www.itu.int/md/S25-CL-C-0024/en" TargetMode="External"/><Relationship Id="rId14" Type="http://schemas.openxmlformats.org/officeDocument/2006/relationships/hyperlink" Target="https://www.itu.int/md/S25-CL-C-0061/en" TargetMode="External"/><Relationship Id="rId22" Type="http://schemas.openxmlformats.org/officeDocument/2006/relationships/hyperlink" Target="https://www.itu.int/md/S25-CL-C-0051/en" TargetMode="External"/><Relationship Id="rId27" Type="http://schemas.openxmlformats.org/officeDocument/2006/relationships/hyperlink" Target="https://www.itu.int/md/S25-CL-C-0008/en" TargetMode="External"/><Relationship Id="rId30" Type="http://schemas.openxmlformats.org/officeDocument/2006/relationships/hyperlink" Target="https://www.itu.int/md/S25-CL-C-0061/en" TargetMode="External"/><Relationship Id="rId35" Type="http://schemas.openxmlformats.org/officeDocument/2006/relationships/fontTable" Target="fontTable.xml"/><Relationship Id="rId8" Type="http://schemas.openxmlformats.org/officeDocument/2006/relationships/hyperlink" Target="https://www.itu.int/md/S25-CL-C-0004/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7\Templates\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1</TotalTime>
  <Pages>7</Pages>
  <Words>3118</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second Plenary meeting</dc:title>
  <dc:subject>ITU Council 2025</dc:subject>
  <cp:keywords>C2025, C25, Council-25</cp:keywords>
  <dc:description/>
  <dcterms:created xsi:type="dcterms:W3CDTF">2025-08-15T14:12:00Z</dcterms:created>
  <dcterms:modified xsi:type="dcterms:W3CDTF">2025-08-15T14:12:00Z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