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Y="1"/>
        <w:tblOverlap w:val="never"/>
        <w:tblW w:w="9214" w:type="dxa"/>
        <w:tblLayout w:type="fixed"/>
        <w:tblLook w:val="0000" w:firstRow="0" w:lastRow="0" w:firstColumn="0" w:lastColumn="0" w:noHBand="0" w:noVBand="0"/>
      </w:tblPr>
      <w:tblGrid>
        <w:gridCol w:w="3969"/>
        <w:gridCol w:w="5245"/>
      </w:tblGrid>
      <w:tr w:rsidR="00796BD3" w:rsidRPr="00BC3A70" w14:paraId="41801AE1" w14:textId="77777777" w:rsidTr="00DA770A">
        <w:trPr>
          <w:cantSplit/>
          <w:trHeight w:val="23"/>
        </w:trPr>
        <w:tc>
          <w:tcPr>
            <w:tcW w:w="3969" w:type="dxa"/>
            <w:vMerge w:val="restart"/>
            <w:tcMar>
              <w:left w:w="0" w:type="dxa"/>
            </w:tcMar>
          </w:tcPr>
          <w:p w14:paraId="3DC3D513" w14:textId="56C9D6F8" w:rsidR="00796BD3" w:rsidRPr="00BC3A70" w:rsidRDefault="00796BD3" w:rsidP="00DA770A">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p>
        </w:tc>
        <w:tc>
          <w:tcPr>
            <w:tcW w:w="5245" w:type="dxa"/>
          </w:tcPr>
          <w:p w14:paraId="1CD20E6D" w14:textId="20C7A069" w:rsidR="00796BD3" w:rsidRPr="00BC3A70" w:rsidRDefault="0033025A" w:rsidP="00DA770A">
            <w:pPr>
              <w:tabs>
                <w:tab w:val="left" w:pos="851"/>
              </w:tabs>
              <w:spacing w:before="0" w:line="240" w:lineRule="atLeast"/>
              <w:jc w:val="right"/>
              <w:rPr>
                <w:b/>
                <w:lang w:val="ru-RU"/>
              </w:rPr>
            </w:pPr>
            <w:r w:rsidRPr="00BC3A70">
              <w:rPr>
                <w:b/>
                <w:lang w:val="ru-RU"/>
              </w:rPr>
              <w:t xml:space="preserve">Документ </w:t>
            </w:r>
            <w:r w:rsidR="00796BD3" w:rsidRPr="00BC3A70">
              <w:rPr>
                <w:b/>
                <w:lang w:val="ru-RU"/>
              </w:rPr>
              <w:t>C2</w:t>
            </w:r>
            <w:r w:rsidR="00D631AA" w:rsidRPr="00BC3A70">
              <w:rPr>
                <w:b/>
                <w:lang w:val="ru-RU"/>
              </w:rPr>
              <w:t>5</w:t>
            </w:r>
            <w:r w:rsidR="00796BD3" w:rsidRPr="00BC3A70">
              <w:rPr>
                <w:b/>
                <w:lang w:val="ru-RU"/>
              </w:rPr>
              <w:t>/</w:t>
            </w:r>
            <w:r w:rsidR="00C54406" w:rsidRPr="00BC3A70">
              <w:rPr>
                <w:b/>
                <w:lang w:val="ru-RU"/>
              </w:rPr>
              <w:t>107</w:t>
            </w:r>
            <w:r w:rsidR="00796BD3" w:rsidRPr="00BC3A70">
              <w:rPr>
                <w:b/>
                <w:lang w:val="ru-RU"/>
              </w:rPr>
              <w:t>-R</w:t>
            </w:r>
          </w:p>
        </w:tc>
      </w:tr>
      <w:tr w:rsidR="00796BD3" w:rsidRPr="00BC3A70" w14:paraId="7DEC239D" w14:textId="77777777" w:rsidTr="00DA770A">
        <w:trPr>
          <w:cantSplit/>
        </w:trPr>
        <w:tc>
          <w:tcPr>
            <w:tcW w:w="3969" w:type="dxa"/>
            <w:vMerge/>
          </w:tcPr>
          <w:p w14:paraId="6A93F4D0" w14:textId="77777777" w:rsidR="00796BD3" w:rsidRPr="00BC3A70" w:rsidRDefault="00796BD3" w:rsidP="00DA770A">
            <w:pPr>
              <w:tabs>
                <w:tab w:val="left" w:pos="851"/>
              </w:tabs>
              <w:spacing w:line="240" w:lineRule="atLeast"/>
              <w:rPr>
                <w:b/>
                <w:lang w:val="ru-RU"/>
              </w:rPr>
            </w:pPr>
            <w:bookmarkStart w:id="3" w:name="ddate" w:colFirst="1" w:colLast="1"/>
            <w:bookmarkEnd w:id="0"/>
            <w:bookmarkEnd w:id="1"/>
          </w:p>
        </w:tc>
        <w:tc>
          <w:tcPr>
            <w:tcW w:w="5245" w:type="dxa"/>
          </w:tcPr>
          <w:p w14:paraId="4923CFEA" w14:textId="5969B74E" w:rsidR="00796BD3" w:rsidRPr="00BC3A70" w:rsidRDefault="00B10DE1" w:rsidP="00DA770A">
            <w:pPr>
              <w:tabs>
                <w:tab w:val="left" w:pos="851"/>
              </w:tabs>
              <w:spacing w:before="0"/>
              <w:jc w:val="right"/>
              <w:rPr>
                <w:b/>
                <w:lang w:val="ru-RU"/>
              </w:rPr>
            </w:pPr>
            <w:r w:rsidRPr="00BC3A70">
              <w:rPr>
                <w:b/>
                <w:lang w:val="ru-RU"/>
              </w:rPr>
              <w:t>15 августа</w:t>
            </w:r>
            <w:r w:rsidR="00C54406" w:rsidRPr="00BC3A70">
              <w:rPr>
                <w:b/>
                <w:lang w:val="ru-RU"/>
              </w:rPr>
              <w:t xml:space="preserve"> 2025 года</w:t>
            </w:r>
          </w:p>
        </w:tc>
      </w:tr>
      <w:tr w:rsidR="00796BD3" w:rsidRPr="00BC3A70" w14:paraId="06ED5853" w14:textId="77777777" w:rsidTr="00DA770A">
        <w:trPr>
          <w:cantSplit/>
          <w:trHeight w:val="23"/>
        </w:trPr>
        <w:tc>
          <w:tcPr>
            <w:tcW w:w="3969" w:type="dxa"/>
            <w:vMerge/>
          </w:tcPr>
          <w:p w14:paraId="671F358B" w14:textId="77777777" w:rsidR="00796BD3" w:rsidRPr="00BC3A70" w:rsidRDefault="00796BD3" w:rsidP="00DA770A">
            <w:pPr>
              <w:tabs>
                <w:tab w:val="left" w:pos="851"/>
              </w:tabs>
              <w:spacing w:line="240" w:lineRule="atLeast"/>
              <w:rPr>
                <w:b/>
                <w:lang w:val="ru-RU"/>
              </w:rPr>
            </w:pPr>
            <w:bookmarkStart w:id="4" w:name="dorlang" w:colFirst="1" w:colLast="1"/>
            <w:bookmarkEnd w:id="3"/>
          </w:p>
        </w:tc>
        <w:tc>
          <w:tcPr>
            <w:tcW w:w="5245" w:type="dxa"/>
          </w:tcPr>
          <w:p w14:paraId="33560AE9" w14:textId="77777777" w:rsidR="00796BD3" w:rsidRPr="00BC3A70" w:rsidRDefault="0033025A" w:rsidP="00DA770A">
            <w:pPr>
              <w:tabs>
                <w:tab w:val="left" w:pos="851"/>
              </w:tabs>
              <w:spacing w:before="0" w:line="240" w:lineRule="atLeast"/>
              <w:jc w:val="right"/>
              <w:rPr>
                <w:b/>
                <w:lang w:val="ru-RU"/>
              </w:rPr>
            </w:pPr>
            <w:r w:rsidRPr="00BC3A70">
              <w:rPr>
                <w:b/>
                <w:lang w:val="ru-RU"/>
              </w:rPr>
              <w:t>Оригинал: английский</w:t>
            </w:r>
          </w:p>
        </w:tc>
      </w:tr>
    </w:tbl>
    <w:tbl>
      <w:tblPr>
        <w:tblpPr w:leftFromText="180" w:rightFromText="180" w:vertAnchor="page" w:horzAnchor="page" w:tblpX="1821" w:tblpY="2317"/>
        <w:tblW w:w="9214" w:type="dxa"/>
        <w:tblLayout w:type="fixed"/>
        <w:tblLook w:val="0000" w:firstRow="0" w:lastRow="0" w:firstColumn="0" w:lastColumn="0" w:noHBand="0" w:noVBand="0"/>
      </w:tblPr>
      <w:tblGrid>
        <w:gridCol w:w="9214"/>
      </w:tblGrid>
      <w:tr w:rsidR="00C54406" w:rsidRPr="004814A8" w14:paraId="57BF45FD" w14:textId="77777777" w:rsidTr="00612C98">
        <w:trPr>
          <w:cantSplit/>
          <w:trHeight w:val="23"/>
        </w:trPr>
        <w:tc>
          <w:tcPr>
            <w:tcW w:w="9214" w:type="dxa"/>
          </w:tcPr>
          <w:bookmarkEnd w:id="2"/>
          <w:bookmarkEnd w:id="4"/>
          <w:p w14:paraId="582019FF" w14:textId="57B8F438" w:rsidR="00C54406" w:rsidRPr="00BC3A70" w:rsidRDefault="00C54406" w:rsidP="00C54406">
            <w:pPr>
              <w:pStyle w:val="Title1"/>
              <w:spacing w:before="720"/>
              <w:rPr>
                <w:lang w:val="ru-RU"/>
              </w:rPr>
            </w:pPr>
            <w:r w:rsidRPr="00BC3A70">
              <w:rPr>
                <w:lang w:val="ru-RU"/>
              </w:rPr>
              <w:t>КРАТКИЙ ОТЧЕТ</w:t>
            </w:r>
          </w:p>
          <w:p w14:paraId="7D0F871C" w14:textId="00EF9B70" w:rsidR="00C54406" w:rsidRPr="00BC3A70" w:rsidRDefault="00C54406" w:rsidP="00C54406">
            <w:pPr>
              <w:pStyle w:val="Title1"/>
              <w:rPr>
                <w:lang w:val="ru-RU"/>
              </w:rPr>
            </w:pPr>
            <w:r w:rsidRPr="00BC3A70">
              <w:rPr>
                <w:lang w:val="ru-RU"/>
              </w:rPr>
              <w:t>О ПЕРВОМ ПЛЕНАРНОМ ЗАСЕДАНИИ</w:t>
            </w:r>
          </w:p>
        </w:tc>
      </w:tr>
      <w:tr w:rsidR="00C54406" w:rsidRPr="004814A8" w14:paraId="62D14993" w14:textId="77777777" w:rsidTr="00612C98">
        <w:trPr>
          <w:cantSplit/>
          <w:trHeight w:val="23"/>
        </w:trPr>
        <w:tc>
          <w:tcPr>
            <w:tcW w:w="9214" w:type="dxa"/>
          </w:tcPr>
          <w:p w14:paraId="5FECEED3" w14:textId="075C9BA5" w:rsidR="00C54406" w:rsidRPr="00BC3A70" w:rsidRDefault="00C54406" w:rsidP="00A52AC3">
            <w:pPr>
              <w:spacing w:before="360"/>
              <w:jc w:val="center"/>
              <w:rPr>
                <w:lang w:val="ru-RU"/>
              </w:rPr>
            </w:pPr>
            <w:r w:rsidRPr="00BC3A70">
              <w:rPr>
                <w:lang w:val="ru-RU"/>
              </w:rPr>
              <w:t xml:space="preserve">Вторник, 17 июня 2025 года, 14 час. 30 мин. </w:t>
            </w:r>
            <w:r w:rsidR="003E448F" w:rsidRPr="00BC3A70">
              <w:rPr>
                <w:lang w:val="ru-RU"/>
              </w:rPr>
              <w:sym w:font="Symbol" w:char="F02D"/>
            </w:r>
            <w:r w:rsidRPr="00BC3A70">
              <w:rPr>
                <w:lang w:val="ru-RU"/>
              </w:rPr>
              <w:t xml:space="preserve"> 17 час. 40 мин.</w:t>
            </w:r>
          </w:p>
          <w:p w14:paraId="1F92EE6B" w14:textId="77777777" w:rsidR="00C54406" w:rsidRPr="00BC3A70" w:rsidRDefault="00C54406" w:rsidP="00C54406">
            <w:pPr>
              <w:jc w:val="center"/>
              <w:rPr>
                <w:bCs/>
                <w:lang w:val="ru-RU"/>
              </w:rPr>
            </w:pPr>
            <w:r w:rsidRPr="00BC3A70">
              <w:rPr>
                <w:b/>
                <w:bCs/>
                <w:lang w:val="ru-RU"/>
              </w:rPr>
              <w:t>Председатель</w:t>
            </w:r>
            <w:r w:rsidRPr="00BC3A70">
              <w:rPr>
                <w:lang w:val="ru-RU"/>
              </w:rPr>
              <w:t>: г-жа К. Флутур (Румыния)</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C54406" w:rsidRPr="00BC3A70" w14:paraId="4A2E809C" w14:textId="77777777" w:rsidTr="00612C98">
        <w:tc>
          <w:tcPr>
            <w:tcW w:w="242" w:type="pct"/>
          </w:tcPr>
          <w:p w14:paraId="5030581A" w14:textId="77777777" w:rsidR="00C54406" w:rsidRPr="00BC3A70" w:rsidRDefault="00C54406" w:rsidP="00612C98">
            <w:pPr>
              <w:spacing w:before="480"/>
              <w:rPr>
                <w:b/>
                <w:bCs/>
                <w:szCs w:val="24"/>
                <w:lang w:val="ru-RU"/>
              </w:rPr>
            </w:pPr>
            <w:bookmarkStart w:id="5" w:name="_Hlk141438382"/>
            <w:r w:rsidRPr="00BC3A70">
              <w:rPr>
                <w:b/>
                <w:bCs/>
                <w:color w:val="000000"/>
                <w:szCs w:val="24"/>
                <w:lang w:val="ru-RU"/>
              </w:rPr>
              <w:br w:type="page"/>
            </w:r>
            <w:r w:rsidRPr="00BC3A70">
              <w:rPr>
                <w:b/>
                <w:bCs/>
                <w:color w:val="000000"/>
                <w:szCs w:val="24"/>
                <w:lang w:val="ru-RU"/>
              </w:rPr>
              <w:br w:type="page"/>
            </w:r>
          </w:p>
        </w:tc>
        <w:tc>
          <w:tcPr>
            <w:tcW w:w="3580" w:type="pct"/>
            <w:hideMark/>
          </w:tcPr>
          <w:p w14:paraId="69B0B183" w14:textId="77777777" w:rsidR="00C54406" w:rsidRPr="00BC3A70" w:rsidRDefault="00C54406" w:rsidP="00C54406">
            <w:pPr>
              <w:spacing w:before="720" w:after="120"/>
              <w:jc w:val="center"/>
              <w:rPr>
                <w:b/>
                <w:bCs/>
                <w:szCs w:val="24"/>
                <w:lang w:val="ru-RU"/>
              </w:rPr>
            </w:pPr>
            <w:r w:rsidRPr="00BC3A70">
              <w:rPr>
                <w:b/>
                <w:bCs/>
                <w:color w:val="000000"/>
                <w:lang w:val="ru-RU"/>
              </w:rPr>
              <w:t>Обсуждаемые вопросы</w:t>
            </w:r>
          </w:p>
        </w:tc>
        <w:tc>
          <w:tcPr>
            <w:tcW w:w="1178" w:type="pct"/>
            <w:hideMark/>
          </w:tcPr>
          <w:p w14:paraId="3A96E726" w14:textId="77777777" w:rsidR="00C54406" w:rsidRPr="00BC3A70" w:rsidRDefault="00C54406" w:rsidP="00C54406">
            <w:pPr>
              <w:spacing w:before="720"/>
              <w:jc w:val="center"/>
              <w:rPr>
                <w:b/>
                <w:bCs/>
                <w:szCs w:val="24"/>
                <w:lang w:val="ru-RU"/>
              </w:rPr>
            </w:pPr>
            <w:r w:rsidRPr="00BC3A70">
              <w:rPr>
                <w:b/>
                <w:bCs/>
                <w:color w:val="000000"/>
                <w:lang w:val="ru-RU"/>
              </w:rPr>
              <w:t>Документы</w:t>
            </w:r>
          </w:p>
        </w:tc>
      </w:tr>
      <w:tr w:rsidR="00C54406" w:rsidRPr="00BC3A70" w14:paraId="72B53238" w14:textId="77777777" w:rsidTr="00612C98">
        <w:trPr>
          <w:trHeight w:val="20"/>
        </w:trPr>
        <w:tc>
          <w:tcPr>
            <w:tcW w:w="242" w:type="pct"/>
            <w:hideMark/>
          </w:tcPr>
          <w:p w14:paraId="7508B869" w14:textId="77777777" w:rsidR="00C54406" w:rsidRPr="00BC3A70" w:rsidRDefault="00C54406" w:rsidP="00612C98">
            <w:pPr>
              <w:rPr>
                <w:szCs w:val="22"/>
                <w:lang w:val="ru-RU"/>
              </w:rPr>
            </w:pPr>
            <w:r w:rsidRPr="00BC3A70">
              <w:rPr>
                <w:color w:val="000000"/>
                <w:lang w:val="ru-RU"/>
              </w:rPr>
              <w:t>1</w:t>
            </w:r>
          </w:p>
        </w:tc>
        <w:tc>
          <w:tcPr>
            <w:tcW w:w="3580" w:type="pct"/>
          </w:tcPr>
          <w:p w14:paraId="6A9788E1" w14:textId="77777777" w:rsidR="00C54406" w:rsidRPr="00BC3A70" w:rsidRDefault="00C54406" w:rsidP="00612C98">
            <w:pPr>
              <w:rPr>
                <w:szCs w:val="22"/>
                <w:lang w:val="ru-RU"/>
              </w:rPr>
            </w:pPr>
            <w:r w:rsidRPr="00BC3A70">
              <w:rPr>
                <w:color w:val="000000"/>
                <w:lang w:val="ru-RU"/>
              </w:rPr>
              <w:t>Ежегодный отчет о выполнении Стратегического плана и о деятельности Союза, 2024 год</w:t>
            </w:r>
          </w:p>
        </w:tc>
        <w:bookmarkStart w:id="6" w:name="_Hlk201062718"/>
        <w:tc>
          <w:tcPr>
            <w:tcW w:w="1178" w:type="pct"/>
          </w:tcPr>
          <w:p w14:paraId="526B1FF1" w14:textId="77777777" w:rsidR="00C54406" w:rsidRPr="00BC3A70" w:rsidRDefault="00C54406" w:rsidP="00C54406">
            <w:pPr>
              <w:spacing w:before="80" w:after="80"/>
              <w:jc w:val="center"/>
              <w:rPr>
                <w:szCs w:val="24"/>
                <w:lang w:val="ru-RU"/>
              </w:rPr>
            </w:pPr>
            <w:r w:rsidRPr="00BC3A70">
              <w:rPr>
                <w:szCs w:val="24"/>
                <w:lang w:val="ru-RU"/>
              </w:rPr>
              <w:fldChar w:fldCharType="begin"/>
            </w:r>
            <w:r w:rsidRPr="00BC3A70">
              <w:rPr>
                <w:szCs w:val="24"/>
                <w:lang w:val="ru-RU"/>
              </w:rPr>
              <w:instrText>HYPERLINK "https://www.itu.int/md/S25-CL-C-0035/en" \t "_blank"</w:instrText>
            </w:r>
            <w:r w:rsidRPr="00BC3A70">
              <w:rPr>
                <w:szCs w:val="24"/>
                <w:lang w:val="ru-RU"/>
              </w:rPr>
            </w:r>
            <w:r w:rsidRPr="00BC3A70">
              <w:rPr>
                <w:szCs w:val="24"/>
                <w:lang w:val="ru-RU"/>
              </w:rPr>
              <w:fldChar w:fldCharType="separate"/>
            </w:r>
            <w:proofErr w:type="spellStart"/>
            <w:r w:rsidRPr="00BC3A70">
              <w:rPr>
                <w:rStyle w:val="Hyperlink"/>
                <w:rFonts w:cs="Calibri"/>
                <w:szCs w:val="24"/>
                <w:lang w:val="ru-RU" w:eastAsia="en-GB"/>
              </w:rPr>
              <w:t>C25</w:t>
            </w:r>
            <w:proofErr w:type="spellEnd"/>
            <w:r w:rsidRPr="00BC3A70">
              <w:rPr>
                <w:rStyle w:val="Hyperlink"/>
                <w:rFonts w:cs="Calibri"/>
                <w:szCs w:val="24"/>
                <w:lang w:val="ru-RU" w:eastAsia="en-GB"/>
              </w:rPr>
              <w:t>/35</w:t>
            </w:r>
            <w:r w:rsidRPr="00BC3A70">
              <w:rPr>
                <w:szCs w:val="24"/>
                <w:lang w:val="ru-RU"/>
              </w:rPr>
              <w:fldChar w:fldCharType="end"/>
            </w:r>
            <w:bookmarkEnd w:id="6"/>
          </w:p>
        </w:tc>
      </w:tr>
      <w:tr w:rsidR="00C54406" w:rsidRPr="00BC3A70" w14:paraId="2B11ED03" w14:textId="77777777" w:rsidTr="00612C98">
        <w:trPr>
          <w:trHeight w:val="20"/>
        </w:trPr>
        <w:tc>
          <w:tcPr>
            <w:tcW w:w="242" w:type="pct"/>
          </w:tcPr>
          <w:p w14:paraId="2C548E19" w14:textId="77777777" w:rsidR="00C54406" w:rsidRPr="00BC3A70" w:rsidRDefault="00C54406" w:rsidP="00612C98">
            <w:pPr>
              <w:rPr>
                <w:szCs w:val="22"/>
                <w:lang w:val="ru-RU"/>
              </w:rPr>
            </w:pPr>
            <w:r w:rsidRPr="00BC3A70">
              <w:rPr>
                <w:color w:val="000000"/>
                <w:lang w:val="ru-RU"/>
              </w:rPr>
              <w:t>2</w:t>
            </w:r>
          </w:p>
        </w:tc>
        <w:tc>
          <w:tcPr>
            <w:tcW w:w="3580" w:type="pct"/>
          </w:tcPr>
          <w:p w14:paraId="42DC2362" w14:textId="77777777" w:rsidR="00C54406" w:rsidRPr="00BC3A70" w:rsidRDefault="00C54406" w:rsidP="00612C98">
            <w:pPr>
              <w:rPr>
                <w:rFonts w:asciiTheme="minorHAnsi" w:hAnsiTheme="minorHAnsi" w:cstheme="minorHAnsi"/>
                <w:color w:val="2F2F2F"/>
                <w:szCs w:val="22"/>
                <w:shd w:val="clear" w:color="auto" w:fill="FFFFFF"/>
                <w:lang w:val="ru-RU"/>
              </w:rPr>
            </w:pPr>
            <w:r w:rsidRPr="00BC3A70">
              <w:rPr>
                <w:color w:val="000000"/>
                <w:lang w:val="ru-RU"/>
              </w:rPr>
              <w:t>Проект четырехгодичного скользящего Оперативного плана Союза на 2026−2029 годы</w:t>
            </w:r>
          </w:p>
        </w:tc>
        <w:tc>
          <w:tcPr>
            <w:tcW w:w="1178" w:type="pct"/>
            <w:vAlign w:val="center"/>
          </w:tcPr>
          <w:p w14:paraId="12463953" w14:textId="039724C2" w:rsidR="00C54406" w:rsidRPr="00BC3A70" w:rsidRDefault="00C54406" w:rsidP="00C54406">
            <w:pPr>
              <w:spacing w:before="80" w:after="80"/>
              <w:jc w:val="center"/>
              <w:rPr>
                <w:szCs w:val="24"/>
                <w:lang w:val="ru-RU"/>
              </w:rPr>
            </w:pPr>
            <w:hyperlink r:id="rId7" w:history="1">
              <w:r w:rsidRPr="00BC3A70">
                <w:rPr>
                  <w:rStyle w:val="Hyperlink"/>
                  <w:szCs w:val="24"/>
                  <w:lang w:val="ru-RU"/>
                </w:rPr>
                <w:t>C25/28</w:t>
              </w:r>
            </w:hyperlink>
          </w:p>
        </w:tc>
      </w:tr>
      <w:tr w:rsidR="00C54406" w:rsidRPr="00BC3A70" w14:paraId="7F93C581" w14:textId="77777777" w:rsidTr="00612C98">
        <w:trPr>
          <w:trHeight w:val="20"/>
        </w:trPr>
        <w:tc>
          <w:tcPr>
            <w:tcW w:w="242" w:type="pct"/>
          </w:tcPr>
          <w:p w14:paraId="69BE46FB" w14:textId="77777777" w:rsidR="00C54406" w:rsidRPr="00BC3A70" w:rsidRDefault="00C54406" w:rsidP="00612C98">
            <w:pPr>
              <w:rPr>
                <w:szCs w:val="22"/>
                <w:lang w:val="ru-RU"/>
              </w:rPr>
            </w:pPr>
            <w:r w:rsidRPr="00BC3A70">
              <w:rPr>
                <w:color w:val="000000"/>
                <w:lang w:val="ru-RU"/>
              </w:rPr>
              <w:t>3</w:t>
            </w:r>
          </w:p>
        </w:tc>
        <w:tc>
          <w:tcPr>
            <w:tcW w:w="3580" w:type="pct"/>
          </w:tcPr>
          <w:p w14:paraId="43B6028B" w14:textId="77777777" w:rsidR="00C54406" w:rsidRPr="00BC3A70" w:rsidRDefault="00C54406" w:rsidP="00612C98">
            <w:pPr>
              <w:rPr>
                <w:rFonts w:asciiTheme="minorHAnsi" w:hAnsiTheme="minorHAnsi" w:cstheme="minorHAnsi"/>
                <w:color w:val="2F2F2F"/>
                <w:szCs w:val="22"/>
                <w:shd w:val="clear" w:color="auto" w:fill="FFFFFF"/>
                <w:lang w:val="ru-RU"/>
              </w:rPr>
            </w:pPr>
            <w:r w:rsidRPr="00BC3A70">
              <w:rPr>
                <w:color w:val="000000"/>
                <w:lang w:val="ru-RU"/>
              </w:rPr>
              <w:t>Проект двухгодичного бюджета Союза на 2026−2027 годы</w:t>
            </w:r>
          </w:p>
        </w:tc>
        <w:tc>
          <w:tcPr>
            <w:tcW w:w="1178" w:type="pct"/>
          </w:tcPr>
          <w:p w14:paraId="388C75E6" w14:textId="77777777" w:rsidR="00C54406" w:rsidRPr="00BC3A70" w:rsidRDefault="00C54406" w:rsidP="00C54406">
            <w:pPr>
              <w:spacing w:before="80" w:after="80"/>
              <w:jc w:val="center"/>
              <w:rPr>
                <w:szCs w:val="24"/>
                <w:lang w:val="ru-RU"/>
              </w:rPr>
            </w:pPr>
            <w:hyperlink r:id="rId8" w:history="1">
              <w:r w:rsidRPr="00BC3A70">
                <w:rPr>
                  <w:rStyle w:val="Hyperlink"/>
                  <w:szCs w:val="24"/>
                  <w:lang w:val="ru-RU"/>
                </w:rPr>
                <w:t>C25/47</w:t>
              </w:r>
            </w:hyperlink>
          </w:p>
        </w:tc>
      </w:tr>
      <w:tr w:rsidR="00C54406" w:rsidRPr="00BC3A70" w14:paraId="2145D69F" w14:textId="77777777" w:rsidTr="00612C98">
        <w:trPr>
          <w:trHeight w:val="20"/>
        </w:trPr>
        <w:tc>
          <w:tcPr>
            <w:tcW w:w="242" w:type="pct"/>
          </w:tcPr>
          <w:p w14:paraId="630CD49B" w14:textId="77777777" w:rsidR="00C54406" w:rsidRPr="00BC3A70" w:rsidRDefault="00C54406" w:rsidP="00612C98">
            <w:pPr>
              <w:rPr>
                <w:szCs w:val="22"/>
                <w:lang w:val="ru-RU"/>
              </w:rPr>
            </w:pPr>
            <w:r w:rsidRPr="00BC3A70">
              <w:rPr>
                <w:color w:val="000000"/>
                <w:lang w:val="ru-RU"/>
              </w:rPr>
              <w:t>4</w:t>
            </w:r>
          </w:p>
        </w:tc>
        <w:tc>
          <w:tcPr>
            <w:tcW w:w="3580" w:type="pct"/>
          </w:tcPr>
          <w:p w14:paraId="7E452A20" w14:textId="77777777" w:rsidR="00C54406" w:rsidRPr="00BC3A70" w:rsidRDefault="00C54406" w:rsidP="00612C98">
            <w:pPr>
              <w:rPr>
                <w:szCs w:val="22"/>
                <w:lang w:val="ru-RU"/>
              </w:rPr>
            </w:pPr>
            <w:r w:rsidRPr="00BC3A70">
              <w:rPr>
                <w:color w:val="000000"/>
                <w:lang w:val="ru-RU"/>
              </w:rPr>
              <w:t>Обновленная информация о процессе трансформации и дорожной карте МСЭ</w:t>
            </w:r>
          </w:p>
        </w:tc>
        <w:tc>
          <w:tcPr>
            <w:tcW w:w="1178" w:type="pct"/>
          </w:tcPr>
          <w:p w14:paraId="3E6E1C70" w14:textId="77777777" w:rsidR="00C54406" w:rsidRPr="00BC3A70" w:rsidRDefault="00C54406" w:rsidP="00C54406">
            <w:pPr>
              <w:spacing w:before="80" w:after="80"/>
              <w:jc w:val="center"/>
              <w:rPr>
                <w:szCs w:val="24"/>
                <w:lang w:val="ru-RU"/>
              </w:rPr>
            </w:pPr>
            <w:hyperlink r:id="rId9" w:history="1">
              <w:r w:rsidRPr="00BC3A70">
                <w:rPr>
                  <w:rStyle w:val="Hyperlink"/>
                  <w:szCs w:val="24"/>
                  <w:lang w:val="ru-RU"/>
                </w:rPr>
                <w:t>C25/55</w:t>
              </w:r>
            </w:hyperlink>
          </w:p>
        </w:tc>
      </w:tr>
      <w:tr w:rsidR="00C54406" w:rsidRPr="00BC3A70" w14:paraId="68A517C3" w14:textId="77777777" w:rsidTr="00612C98">
        <w:trPr>
          <w:trHeight w:val="20"/>
        </w:trPr>
        <w:tc>
          <w:tcPr>
            <w:tcW w:w="242" w:type="pct"/>
          </w:tcPr>
          <w:p w14:paraId="0F4754C0" w14:textId="77777777" w:rsidR="00C54406" w:rsidRPr="00BC3A70" w:rsidRDefault="00C54406" w:rsidP="00612C98">
            <w:pPr>
              <w:rPr>
                <w:szCs w:val="22"/>
                <w:lang w:val="ru-RU"/>
              </w:rPr>
            </w:pPr>
            <w:r w:rsidRPr="00BC3A70">
              <w:rPr>
                <w:color w:val="000000"/>
                <w:lang w:val="ru-RU"/>
              </w:rPr>
              <w:t>5</w:t>
            </w:r>
          </w:p>
        </w:tc>
        <w:tc>
          <w:tcPr>
            <w:tcW w:w="3580" w:type="pct"/>
          </w:tcPr>
          <w:p w14:paraId="3E8B0C10" w14:textId="77777777" w:rsidR="00C54406" w:rsidRPr="00BC3A70" w:rsidRDefault="00C54406" w:rsidP="00612C98">
            <w:pPr>
              <w:rPr>
                <w:lang w:val="ru-RU"/>
              </w:rPr>
            </w:pPr>
            <w:r w:rsidRPr="00BC3A70">
              <w:rPr>
                <w:color w:val="000000"/>
                <w:lang w:val="ru-RU"/>
              </w:rPr>
              <w:t>Меры по повышению эффективности, принятые в 2023−2024 годах, и планы на будущее</w:t>
            </w:r>
          </w:p>
        </w:tc>
        <w:tc>
          <w:tcPr>
            <w:tcW w:w="1178" w:type="pct"/>
          </w:tcPr>
          <w:p w14:paraId="775A9222" w14:textId="77777777" w:rsidR="00C54406" w:rsidRPr="00BC3A70" w:rsidRDefault="00C54406" w:rsidP="00C54406">
            <w:pPr>
              <w:spacing w:before="80" w:after="80"/>
              <w:jc w:val="center"/>
              <w:rPr>
                <w:szCs w:val="24"/>
                <w:lang w:val="ru-RU"/>
              </w:rPr>
            </w:pPr>
            <w:hyperlink r:id="rId10" w:history="1">
              <w:r w:rsidRPr="00BC3A70">
                <w:rPr>
                  <w:rStyle w:val="Hyperlink"/>
                  <w:szCs w:val="24"/>
                  <w:lang w:val="ru-RU"/>
                </w:rPr>
                <w:t>C25/62</w:t>
              </w:r>
            </w:hyperlink>
          </w:p>
        </w:tc>
      </w:tr>
      <w:tr w:rsidR="00C54406" w:rsidRPr="00BC3A70" w14:paraId="319FD1C5" w14:textId="77777777" w:rsidTr="00612C98">
        <w:trPr>
          <w:trHeight w:val="20"/>
        </w:trPr>
        <w:tc>
          <w:tcPr>
            <w:tcW w:w="242" w:type="pct"/>
          </w:tcPr>
          <w:p w14:paraId="208D85F5" w14:textId="77777777" w:rsidR="00C54406" w:rsidRPr="00BC3A70" w:rsidRDefault="00C54406" w:rsidP="00612C98">
            <w:pPr>
              <w:rPr>
                <w:szCs w:val="22"/>
                <w:lang w:val="ru-RU"/>
              </w:rPr>
            </w:pPr>
            <w:r w:rsidRPr="00BC3A70">
              <w:rPr>
                <w:color w:val="000000"/>
                <w:lang w:val="ru-RU"/>
              </w:rPr>
              <w:t>6</w:t>
            </w:r>
          </w:p>
        </w:tc>
        <w:tc>
          <w:tcPr>
            <w:tcW w:w="3580" w:type="pct"/>
          </w:tcPr>
          <w:p w14:paraId="7058D3FB" w14:textId="77777777" w:rsidR="00C54406" w:rsidRPr="00BC3A70" w:rsidRDefault="00C54406" w:rsidP="00612C98">
            <w:pPr>
              <w:rPr>
                <w:lang w:val="ru-RU"/>
              </w:rPr>
            </w:pPr>
            <w:r w:rsidRPr="00BC3A70">
              <w:rPr>
                <w:color w:val="000000"/>
                <w:lang w:val="ru-RU"/>
              </w:rPr>
              <w:t>Заявления Советников</w:t>
            </w:r>
          </w:p>
        </w:tc>
        <w:tc>
          <w:tcPr>
            <w:tcW w:w="1178" w:type="pct"/>
          </w:tcPr>
          <w:p w14:paraId="1AC92512" w14:textId="1F71F5C9" w:rsidR="00C54406" w:rsidRPr="00BC3A70" w:rsidRDefault="00267B72" w:rsidP="00612C98">
            <w:pPr>
              <w:spacing w:before="80" w:after="80"/>
              <w:jc w:val="center"/>
              <w:rPr>
                <w:szCs w:val="22"/>
                <w:lang w:val="ru-RU"/>
              </w:rPr>
            </w:pPr>
            <w:r w:rsidRPr="00BC3A70">
              <w:rPr>
                <w:color w:val="000000"/>
                <w:szCs w:val="22"/>
                <w:lang w:val="ru-RU"/>
              </w:rPr>
              <w:sym w:font="Symbol" w:char="F02D"/>
            </w:r>
          </w:p>
        </w:tc>
      </w:tr>
      <w:bookmarkEnd w:id="5"/>
    </w:tbl>
    <w:p w14:paraId="38B86CFC" w14:textId="1639CB01" w:rsidR="00C54406" w:rsidRPr="00BC3A70" w:rsidRDefault="00C54406">
      <w:pPr>
        <w:tabs>
          <w:tab w:val="clear" w:pos="794"/>
          <w:tab w:val="clear" w:pos="1191"/>
          <w:tab w:val="clear" w:pos="1588"/>
          <w:tab w:val="clear" w:pos="1985"/>
        </w:tabs>
        <w:overflowPunct/>
        <w:autoSpaceDE/>
        <w:autoSpaceDN/>
        <w:adjustRightInd/>
        <w:spacing w:before="0"/>
        <w:textAlignment w:val="auto"/>
        <w:rPr>
          <w:lang w:val="ru-RU"/>
        </w:rPr>
      </w:pPr>
    </w:p>
    <w:p w14:paraId="50C34B25" w14:textId="6917E6BC" w:rsidR="00C54406" w:rsidRPr="00BC3A70" w:rsidRDefault="00C54406">
      <w:pPr>
        <w:tabs>
          <w:tab w:val="clear" w:pos="794"/>
          <w:tab w:val="clear" w:pos="1191"/>
          <w:tab w:val="clear" w:pos="1588"/>
          <w:tab w:val="clear" w:pos="1985"/>
        </w:tabs>
        <w:overflowPunct/>
        <w:autoSpaceDE/>
        <w:autoSpaceDN/>
        <w:adjustRightInd/>
        <w:spacing w:before="0"/>
        <w:textAlignment w:val="auto"/>
        <w:rPr>
          <w:lang w:val="ru-RU"/>
        </w:rPr>
      </w:pPr>
      <w:r w:rsidRPr="00BC3A70">
        <w:rPr>
          <w:lang w:val="ru-RU"/>
        </w:rPr>
        <w:br w:type="page"/>
      </w:r>
    </w:p>
    <w:p w14:paraId="3FC518C0" w14:textId="77777777" w:rsidR="00C54406" w:rsidRPr="00BC3A70" w:rsidRDefault="00C54406" w:rsidP="00C54406">
      <w:pPr>
        <w:pStyle w:val="Heading1"/>
        <w:rPr>
          <w:lang w:val="ru-RU"/>
        </w:rPr>
      </w:pPr>
      <w:r w:rsidRPr="00BC3A70">
        <w:rPr>
          <w:bCs/>
          <w:lang w:val="ru-RU"/>
        </w:rPr>
        <w:lastRenderedPageBreak/>
        <w:t>1</w:t>
      </w:r>
      <w:r w:rsidRPr="00BC3A70">
        <w:rPr>
          <w:lang w:val="ru-RU"/>
        </w:rPr>
        <w:tab/>
      </w:r>
      <w:r w:rsidRPr="00BC3A70">
        <w:rPr>
          <w:bCs/>
          <w:lang w:val="ru-RU"/>
        </w:rPr>
        <w:t xml:space="preserve">Ежегодный отчет о </w:t>
      </w:r>
      <w:r w:rsidRPr="00BC3A70">
        <w:rPr>
          <w:lang w:val="ru-RU"/>
        </w:rPr>
        <w:t>выполнении</w:t>
      </w:r>
      <w:r w:rsidRPr="00BC3A70">
        <w:rPr>
          <w:bCs/>
          <w:lang w:val="ru-RU"/>
        </w:rPr>
        <w:t xml:space="preserve"> Стратегического плана и о деятельности Союза, 2024 год (Документ</w:t>
      </w:r>
      <w:r w:rsidRPr="00BC3A70">
        <w:rPr>
          <w:lang w:val="ru-RU"/>
        </w:rPr>
        <w:t xml:space="preserve"> </w:t>
      </w:r>
      <w:hyperlink r:id="rId11" w:tgtFrame="_blank" w:history="1">
        <w:proofErr w:type="spellStart"/>
        <w:r w:rsidRPr="00BC3A70">
          <w:rPr>
            <w:rStyle w:val="Hyperlink"/>
            <w:lang w:val="ru-RU"/>
          </w:rPr>
          <w:t>C25</w:t>
        </w:r>
        <w:proofErr w:type="spellEnd"/>
        <w:r w:rsidRPr="00BC3A70">
          <w:rPr>
            <w:rStyle w:val="Hyperlink"/>
            <w:lang w:val="ru-RU"/>
          </w:rPr>
          <w:t>/35</w:t>
        </w:r>
      </w:hyperlink>
      <w:r w:rsidRPr="00BC3A70">
        <w:rPr>
          <w:lang w:val="ru-RU"/>
        </w:rPr>
        <w:t>)</w:t>
      </w:r>
      <w:hyperlink r:id="rId12" w:tgtFrame="_blank" w:history="1"/>
    </w:p>
    <w:p w14:paraId="075351E6" w14:textId="77777777" w:rsidR="00C54406" w:rsidRPr="00BC3A70" w:rsidRDefault="00C54406" w:rsidP="004814A8">
      <w:pPr>
        <w:jc w:val="both"/>
        <w:rPr>
          <w:lang w:val="ru-RU"/>
        </w:rPr>
      </w:pPr>
      <w:bookmarkStart w:id="7" w:name="_Hlk201404443"/>
      <w:r w:rsidRPr="00BC3A70">
        <w:rPr>
          <w:lang w:val="ru-RU"/>
        </w:rPr>
        <w:t>1.1</w:t>
      </w:r>
      <w:r w:rsidRPr="00BC3A70">
        <w:rPr>
          <w:lang w:val="ru-RU"/>
        </w:rPr>
        <w:tab/>
        <w:t>Заместитель Генерального секретаря представляет Документ C25/35, в котором содержится ежегодный отчет о выполнении Стратегического плана на 2024−2027 годы и о деятельности Союза. Отчетный период впервые приведен в соответствие с календарным годом и теперь совпадает с финансовым циклом, что способствует управлению, ориентированному на результаты. Несмотря на достигнутый прогресс, сохраняются цифровые разрывы, а также проблемы приемлемости в ценовом отношении и воздействия на окружающую среду. Деятельность в области появляющихся технологий, таких как искусственный интеллект (ИИ), квантовые технологии и метавселенная, осуществляется совместными усилиями в рамках всей системы Организации Объединенных Наций. Деятельность по развитию потенциала и предоставлению технической помощи оказывает непосредственное воздействие на страны, а такие платформы, как "ИИ во благо", обеспечивают возможность многостороннего взаимодействия. Применение Регламента радиосвязи и обработка заявок остаются основными видами деятельности Союза и обеспечивают возмещение затрат. Новый инструмент для навигации в Регламенте радиосвязи МСЭ и Руководство по морской службе служат вспомогательными средствами для обеспечения соответствия требованиям. Выступающий приветствует Палау в качестве 194-го Государства – Члена Союза и с удовлетворением отмечает увеличение членского состава Секторов.</w:t>
      </w:r>
    </w:p>
    <w:p w14:paraId="2279975C" w14:textId="5643A42D" w:rsidR="00C54406" w:rsidRPr="00BC3A70" w:rsidRDefault="00C54406" w:rsidP="004814A8">
      <w:pPr>
        <w:jc w:val="both"/>
        <w:rPr>
          <w:lang w:val="ru-RU"/>
        </w:rPr>
      </w:pPr>
      <w:r w:rsidRPr="00BC3A70">
        <w:rPr>
          <w:lang w:val="ru-RU"/>
        </w:rPr>
        <w:t>1.2</w:t>
      </w:r>
      <w:r w:rsidRPr="00BC3A70">
        <w:rPr>
          <w:lang w:val="ru-RU"/>
        </w:rPr>
        <w:tab/>
        <w:t>В соответствии с решениями Совета, в рамках 29-й Конференции Организации Объединенных Наций по изменению климата (КС-29) был проведен круглый стол высокого уровня, посвященный роли цифровых технологий в борьбе с изменением климата, а инициатива "Системы раннего оповещения для всех" теперь относится к сфере охвата деятельности в области экологической устойчивости. В 2024 году работа на основе партнерских отношений включала проведение первого Форума по устойчивости космической деятельности, а также начало реализации Инициативы по инвестициям в цифровую инфраструктуру и создание Международного консультативного органа по устойчивости подводных кабелей. Цифровая коалиция "Партнерства для подключения" продолжает расти, и ее цель по привлечению обязательств в объеме 100</w:t>
      </w:r>
      <w:r w:rsidR="002A1EE9">
        <w:rPr>
          <w:lang w:val="en-US"/>
        </w:rPr>
        <w:t> </w:t>
      </w:r>
      <w:r w:rsidRPr="00BC3A70">
        <w:rPr>
          <w:lang w:val="ru-RU"/>
        </w:rPr>
        <w:t>млрд. долларов США уже близка к достижению. Подтвердив неизменную приверженность задаче по оптимизации ресурсов, выступающий отмечает, что кадровые и организационные реформы укрепили организацию и способствуют обновлению кадрового потенциала. Завершая выступление, он объявляет о наличии надежного плана по модернизации веб-сайта.</w:t>
      </w:r>
    </w:p>
    <w:bookmarkEnd w:id="7"/>
    <w:p w14:paraId="2DB05DBE" w14:textId="1F2EDAED" w:rsidR="00C54406" w:rsidRPr="00BC3A70" w:rsidRDefault="00C54406" w:rsidP="004814A8">
      <w:pPr>
        <w:jc w:val="both"/>
        <w:rPr>
          <w:lang w:val="ru-RU"/>
        </w:rPr>
      </w:pPr>
      <w:r w:rsidRPr="00BC3A70">
        <w:rPr>
          <w:lang w:val="ru-RU"/>
        </w:rPr>
        <w:t>1.3</w:t>
      </w:r>
      <w:r w:rsidRPr="00BC3A70">
        <w:rPr>
          <w:lang w:val="ru-RU"/>
        </w:rPr>
        <w:tab/>
        <w:t>Советники дают высокую оценку всеобъемлющему отчету и приветствуют его соответствие стратегическим приоритетам и подходу, ориентированному на результаты, а также прогресс, достигнутый в выполнении Стратегического плана. Один из Советников предлагает добавить в документ ссылки на отчеты консультативных групп для доступа к более подробной информации. Другой Советник запрашивает информацию о проблемах, связанных с реализацией, чтобы учесть их при разработке следующего стратегического плана. Третий</w:t>
      </w:r>
      <w:r w:rsidR="00A52AC3" w:rsidRPr="00BC3A70">
        <w:rPr>
          <w:lang w:val="ru-RU"/>
        </w:rPr>
        <w:t> </w:t>
      </w:r>
      <w:r w:rsidRPr="00BC3A70">
        <w:rPr>
          <w:lang w:val="ru-RU"/>
        </w:rPr>
        <w:t>Советник предлагает расширить тематический приоритет по международным ресурсам нумерации в следующем стратегическом плане с целью более широкого охвата разработки международных стандартов.</w:t>
      </w:r>
    </w:p>
    <w:p w14:paraId="62091A23" w14:textId="18E0DF39" w:rsidR="00C54406" w:rsidRPr="00BC3A70" w:rsidRDefault="00C54406" w:rsidP="004814A8">
      <w:pPr>
        <w:jc w:val="both"/>
        <w:rPr>
          <w:lang w:val="ru-RU"/>
        </w:rPr>
      </w:pPr>
      <w:r w:rsidRPr="00BC3A70">
        <w:rPr>
          <w:lang w:val="ru-RU"/>
        </w:rPr>
        <w:t>1.4</w:t>
      </w:r>
      <w:r w:rsidRPr="00BC3A70">
        <w:rPr>
          <w:lang w:val="ru-RU"/>
        </w:rPr>
        <w:tab/>
        <w:t>Два Советника подчеркивают ключевую роль МСЭ в области информационно-коммуникационных технологий (ИКТ) и электросвязи в рамках многосторонней экосистемы. Советники одобрительно высказываются в отношении инициатив МСЭ в области ИИ, включая "ИИ во благо", признавая ключевую роль ИИ в решении глобальных проблем развития. Один</w:t>
      </w:r>
      <w:r w:rsidR="00827C04" w:rsidRPr="00BC3A70">
        <w:rPr>
          <w:lang w:val="ru-RU"/>
        </w:rPr>
        <w:t> </w:t>
      </w:r>
      <w:r w:rsidRPr="00BC3A70">
        <w:rPr>
          <w:lang w:val="ru-RU"/>
        </w:rPr>
        <w:t>из Советников выражает поддержку инициативе "Квантовые технологии во благо", отмечая как проблемы, так и возможности, связанные с квантовыми технологиями. Несколько</w:t>
      </w:r>
      <w:r w:rsidR="00827C04" w:rsidRPr="00BC3A70">
        <w:rPr>
          <w:lang w:val="ru-RU"/>
        </w:rPr>
        <w:t> </w:t>
      </w:r>
      <w:r w:rsidRPr="00BC3A70">
        <w:rPr>
          <w:lang w:val="ru-RU"/>
        </w:rPr>
        <w:t xml:space="preserve">Советников приветствуют процесс трансформации и поощрения партнерских отношений. Советники </w:t>
      </w:r>
      <w:r w:rsidRPr="00BC3A70">
        <w:rPr>
          <w:lang w:val="ru-RU"/>
        </w:rPr>
        <w:lastRenderedPageBreak/>
        <w:t>обращают внимание на сохраняющуюся проблему приемлемости в ценовом отношении и разрыва в цифровых навыках, в особенности в наименее развитых странах, при этом один из Советников приветствует предложенную Северной и Южной Америкой региональную инициативу по содействию национальной оценке цифровых навыков, а другой Советник высоко оценивает то, что вопросам гендерного равенства, вовлечения молодежи и доступности уделяется особое внимание.</w:t>
      </w:r>
    </w:p>
    <w:p w14:paraId="123CA1EF" w14:textId="614347C1" w:rsidR="00C54406" w:rsidRPr="00BC3A70" w:rsidRDefault="00C54406" w:rsidP="004814A8">
      <w:pPr>
        <w:jc w:val="both"/>
        <w:rPr>
          <w:lang w:val="ru-RU"/>
        </w:rPr>
      </w:pPr>
      <w:r w:rsidRPr="00BC3A70">
        <w:rPr>
          <w:lang w:val="ru-RU"/>
        </w:rPr>
        <w:t>1.5</w:t>
      </w:r>
      <w:r w:rsidRPr="00BC3A70">
        <w:rPr>
          <w:lang w:val="ru-RU"/>
        </w:rPr>
        <w:tab/>
        <w:t>Несколько Советников подчеркивают решающую роль МСЭ в разработке международных стандартов и в обеспечении оптимального сочетания инноваций с требованиями безопасности и управления. Приверженность МСЭ-D обеспечению универсальной, значимой и приемлемой в ценовом отношении доступности удостаивается высокой оценки; вместе с тем один из Советников подчеркивает необходимость в адаптации процессов мобилизации ресурсов и создания потенциала к возможностям малых стран, включая масштабируемые, адаптируемые и скоординированные на региональном уровне</w:t>
      </w:r>
      <w:r w:rsidR="00A52AC3" w:rsidRPr="00BC3A70">
        <w:rPr>
          <w:lang w:val="ru-RU"/>
        </w:rPr>
        <w:t> </w:t>
      </w:r>
      <w:r w:rsidRPr="00BC3A70">
        <w:rPr>
          <w:lang w:val="ru-RU"/>
        </w:rPr>
        <w:t>решения.</w:t>
      </w:r>
    </w:p>
    <w:p w14:paraId="3B1D12E9" w14:textId="77777777" w:rsidR="00C54406" w:rsidRPr="00BC3A70" w:rsidRDefault="00C54406" w:rsidP="004814A8">
      <w:pPr>
        <w:jc w:val="both"/>
        <w:rPr>
          <w:lang w:val="ru-RU"/>
        </w:rPr>
      </w:pPr>
      <w:r w:rsidRPr="00BC3A70">
        <w:rPr>
          <w:lang w:val="ru-RU"/>
        </w:rPr>
        <w:t>1.6</w:t>
      </w:r>
      <w:r w:rsidRPr="00BC3A70">
        <w:rPr>
          <w:lang w:val="ru-RU"/>
        </w:rPr>
        <w:tab/>
        <w:t>Один из наблюдателей подчеркивает, что МСЭ не следует расширять Генеральный секретариат в ущерб техническим Секторам или проводить международные симпозиумы в ущерб основной технической работе. Государства-Члены исходят из того, что МСЭ на основе консенсуса выработает рекомендации и технические стандарты по конкретным техническим вопросам. В отсутствие согласованных в МСЭ международных правовых механизмов регулирования в области стремительно появляющихся технологий страны разрабатывают условия для использования таких технологий на национальном уровне, не имея согласованных международных рекомендаций или критериев. Он призывает создать независимую группу экспертов высокого уровня для разработки предложений по оптимизации, а также повышению эффективности и результативности деятельности Союза.</w:t>
      </w:r>
    </w:p>
    <w:p w14:paraId="656B3A40" w14:textId="77777777" w:rsidR="00C54406" w:rsidRPr="00BC3A70" w:rsidRDefault="00C54406" w:rsidP="004814A8">
      <w:pPr>
        <w:jc w:val="both"/>
        <w:rPr>
          <w:lang w:val="ru-RU"/>
        </w:rPr>
      </w:pPr>
      <w:r w:rsidRPr="00BC3A70">
        <w:rPr>
          <w:lang w:val="ru-RU"/>
        </w:rPr>
        <w:t>1.7</w:t>
      </w:r>
      <w:r w:rsidRPr="00BC3A70">
        <w:rPr>
          <w:lang w:val="ru-RU"/>
        </w:rPr>
        <w:tab/>
        <w:t>Наблюдатель от Исламской Республики Иран в своем выступлении осуждает акты агрессии со стороны другого государства против ее важнейшей инфраструктуры электросвязи, нарушающие работу гражданских служб и ставящие под угрозу здоровье и безопасность гражданских лиц. Наблюдатель от Палестины отмечает, что необходимо в срочном порядке переосмыслить ситуацию с соединениями, чтобы гарантировать, что никто не будет забыт как в условиях конфликта, так и в мирное время. Наблюдатель от Израиля предостерегает от политизации Союза, являющегося технической организацией.</w:t>
      </w:r>
    </w:p>
    <w:p w14:paraId="5DA69FA3" w14:textId="77777777" w:rsidR="00C54406" w:rsidRPr="00BC3A70" w:rsidRDefault="00C54406" w:rsidP="004814A8">
      <w:pPr>
        <w:jc w:val="both"/>
        <w:rPr>
          <w:lang w:val="ru-RU"/>
        </w:rPr>
      </w:pPr>
      <w:bookmarkStart w:id="8" w:name="_Hlk201330354"/>
      <w:r w:rsidRPr="00BC3A70">
        <w:rPr>
          <w:lang w:val="ru-RU"/>
        </w:rPr>
        <w:t>1.8</w:t>
      </w:r>
      <w:r w:rsidRPr="00BC3A70">
        <w:rPr>
          <w:lang w:val="ru-RU"/>
        </w:rPr>
        <w:tab/>
        <w:t xml:space="preserve">Заместитель Генерального секретаря подчеркивает, что отмеченного в отчете прогресса удалось добиться во взаимодействии с Государствами-Членами. Он принимает к сведению просьбы об улучшении отчетности и включении в отчет данных по Секторам, а также приветствует призывы к выявлению проблем, связанных с реализацией, чтобы учесть их при будущем планировании; эти вопросы будут рассмотрены на собрании Рабочей группы Совета по разработке Стратегического и Финансового планов. Признавая существование конкурирующих приоритетных задач в странах, находящихся в сложной экономической ситуации, он отмечает, что для обеспечения устойчивого прогресса в области универсального цифрового развития необходимо, чтобы МСЭ с его уникальным мандатом находился на переднем крае, поскольку цифровые вопросы охватывают множество организаций. Секретариат принимает меры по повышению внутренней эффективности и по трансформации, как подробно описано в Документах </w:t>
      </w:r>
      <w:hyperlink r:id="rId13" w:history="1">
        <w:proofErr w:type="spellStart"/>
        <w:r w:rsidRPr="00BC3A70">
          <w:rPr>
            <w:rStyle w:val="Hyperlink"/>
            <w:lang w:val="ru-RU"/>
          </w:rPr>
          <w:t>C25</w:t>
        </w:r>
        <w:proofErr w:type="spellEnd"/>
        <w:r w:rsidRPr="00BC3A70">
          <w:rPr>
            <w:rStyle w:val="Hyperlink"/>
            <w:lang w:val="ru-RU"/>
          </w:rPr>
          <w:t>/62</w:t>
        </w:r>
      </w:hyperlink>
      <w:r w:rsidRPr="00BC3A70">
        <w:rPr>
          <w:lang w:val="ru-RU"/>
        </w:rPr>
        <w:t xml:space="preserve"> и </w:t>
      </w:r>
      <w:hyperlink r:id="rId14" w:history="1">
        <w:proofErr w:type="spellStart"/>
        <w:r w:rsidRPr="00BC3A70">
          <w:rPr>
            <w:rStyle w:val="Hyperlink"/>
            <w:lang w:val="ru-RU"/>
          </w:rPr>
          <w:t>C25</w:t>
        </w:r>
        <w:proofErr w:type="spellEnd"/>
        <w:r w:rsidRPr="00BC3A70">
          <w:rPr>
            <w:rStyle w:val="Hyperlink"/>
            <w:lang w:val="ru-RU"/>
          </w:rPr>
          <w:t>/55</w:t>
        </w:r>
      </w:hyperlink>
      <w:r w:rsidRPr="00BC3A70">
        <w:rPr>
          <w:lang w:val="ru-RU"/>
        </w:rPr>
        <w:t>, и принимает участие в совместной деятельности в рамках всей системы Организации Объединенных Наций.</w:t>
      </w:r>
      <w:hyperlink r:id="rId15" w:history="1"/>
      <w:hyperlink r:id="rId16" w:history="1"/>
    </w:p>
    <w:bookmarkEnd w:id="8"/>
    <w:p w14:paraId="5C4709C1" w14:textId="5EA9E72B" w:rsidR="00C54406" w:rsidRPr="00BC3A70" w:rsidRDefault="00C54406" w:rsidP="004814A8">
      <w:pPr>
        <w:jc w:val="both"/>
        <w:rPr>
          <w:lang w:val="ru-RU"/>
        </w:rPr>
      </w:pPr>
      <w:r w:rsidRPr="00BC3A70">
        <w:rPr>
          <w:lang w:val="ru-RU"/>
        </w:rPr>
        <w:t>1.9</w:t>
      </w:r>
      <w:r w:rsidRPr="00BC3A70">
        <w:rPr>
          <w:lang w:val="ru-RU"/>
        </w:rPr>
        <w:tab/>
        <w:t>Отвечая на вопросы об усилиях, предпринимаемых для устранения пробелов в данных, в частности по целевым показателям 2.3 и 2.4 Повестки дня Союза "Соединим к 2030</w:t>
      </w:r>
      <w:r w:rsidR="00A52AC3" w:rsidRPr="00BC3A70">
        <w:rPr>
          <w:lang w:val="ru-RU"/>
        </w:rPr>
        <w:t> </w:t>
      </w:r>
      <w:r w:rsidRPr="00BC3A70">
        <w:rPr>
          <w:lang w:val="ru-RU"/>
        </w:rPr>
        <w:t xml:space="preserve">году", Директор Бюро развития электросвязи отмечает, что секретариат работает с заинтересованными сторонами над устранением таких пробелов. Он упоминает сотрудничество с другими учреждениями Организации Объединенных Наций в рамках партнерства под со-председательством Департамента по экономическим и социальным вопросам Организации </w:t>
      </w:r>
      <w:r w:rsidRPr="00BC3A70">
        <w:rPr>
          <w:lang w:val="ru-RU"/>
        </w:rPr>
        <w:lastRenderedPageBreak/>
        <w:t>Объединенных Наций, в центре внимания которого находится измерение развития ИКТ. Глобальный проект по установлению соединений, со</w:t>
      </w:r>
      <w:r w:rsidR="00A52AC3" w:rsidRPr="00BC3A70">
        <w:rPr>
          <w:lang w:val="ru-RU"/>
        </w:rPr>
        <w:t>­</w:t>
      </w:r>
      <w:r w:rsidRPr="00BC3A70">
        <w:rPr>
          <w:lang w:val="ru-RU"/>
        </w:rPr>
        <w:t>финансируемый Европейской комиссией, позволит понять, как используются соединения. Статистическая комиссия Организации Объединенных Наций, к которой относятся все организации системы, обеспечивает выполнение стандартов и методик сбора данных. Секретариат принимает активное участие в выполнении Резолюции 8 (Пересм. Кигали, 2022 г.) Всемирной конференции по развитию электросвязи и Резолюции 131 (Пересм. Бухарест, 2022</w:t>
      </w:r>
      <w:r w:rsidR="00A52AC3" w:rsidRPr="00BC3A70">
        <w:rPr>
          <w:lang w:val="ru-RU"/>
        </w:rPr>
        <w:t> </w:t>
      </w:r>
      <w:r w:rsidRPr="00BC3A70">
        <w:rPr>
          <w:lang w:val="ru-RU"/>
        </w:rPr>
        <w:t>г.) Полномочной конференции и призывает Государства-Члены обеспечить участие экспертов в работе исследовательских комиссий для содействия сбору достоверных данных.</w:t>
      </w:r>
    </w:p>
    <w:p w14:paraId="2C4E0D47" w14:textId="77777777" w:rsidR="00C54406" w:rsidRPr="00BC3A70" w:rsidRDefault="00C54406" w:rsidP="00C54406">
      <w:pPr>
        <w:rPr>
          <w:lang w:val="ru-RU"/>
        </w:rPr>
      </w:pPr>
      <w:r w:rsidRPr="00BC3A70">
        <w:rPr>
          <w:lang w:val="ru-RU"/>
        </w:rPr>
        <w:t>1.10</w:t>
      </w:r>
      <w:r w:rsidRPr="00BC3A70">
        <w:rPr>
          <w:lang w:val="ru-RU"/>
        </w:rPr>
        <w:tab/>
        <w:t xml:space="preserve">Совет </w:t>
      </w:r>
      <w:r w:rsidRPr="00BC3A70">
        <w:rPr>
          <w:b/>
          <w:bCs/>
          <w:lang w:val="ru-RU"/>
        </w:rPr>
        <w:t>принимает к сведению</w:t>
      </w:r>
      <w:r w:rsidRPr="00BC3A70">
        <w:rPr>
          <w:lang w:val="ru-RU"/>
        </w:rPr>
        <w:t xml:space="preserve"> отчет, содержащийся в Документе C 25/35.</w:t>
      </w:r>
    </w:p>
    <w:p w14:paraId="4960204E" w14:textId="77777777" w:rsidR="00C54406" w:rsidRPr="00BC3A70" w:rsidRDefault="00C54406" w:rsidP="00C54406">
      <w:pPr>
        <w:pStyle w:val="Heading1"/>
        <w:rPr>
          <w:szCs w:val="28"/>
          <w:lang w:val="ru-RU"/>
        </w:rPr>
      </w:pPr>
      <w:r w:rsidRPr="00BC3A70">
        <w:rPr>
          <w:bCs/>
          <w:lang w:val="ru-RU"/>
        </w:rPr>
        <w:t>2</w:t>
      </w:r>
      <w:r w:rsidRPr="00BC3A70">
        <w:rPr>
          <w:lang w:val="ru-RU"/>
        </w:rPr>
        <w:tab/>
      </w:r>
      <w:r w:rsidRPr="00BC3A70">
        <w:rPr>
          <w:bCs/>
          <w:lang w:val="ru-RU"/>
        </w:rPr>
        <w:t>Проект четырехгодичного скользящего Оперативного плана Союза на 2026−2029 годы (Документ</w:t>
      </w:r>
      <w:r w:rsidRPr="00BC3A70">
        <w:rPr>
          <w:lang w:val="ru-RU"/>
        </w:rPr>
        <w:t xml:space="preserve"> </w:t>
      </w:r>
      <w:hyperlink r:id="rId17" w:history="1">
        <w:proofErr w:type="spellStart"/>
        <w:r w:rsidRPr="00BC3A70">
          <w:rPr>
            <w:rStyle w:val="Hyperlink"/>
            <w:szCs w:val="28"/>
            <w:lang w:val="ru-RU"/>
          </w:rPr>
          <w:t>C25</w:t>
        </w:r>
        <w:proofErr w:type="spellEnd"/>
        <w:r w:rsidRPr="00BC3A70">
          <w:rPr>
            <w:rStyle w:val="Hyperlink"/>
            <w:szCs w:val="28"/>
            <w:lang w:val="ru-RU"/>
          </w:rPr>
          <w:t>/28</w:t>
        </w:r>
      </w:hyperlink>
      <w:r w:rsidRPr="00BC3A70">
        <w:rPr>
          <w:lang w:val="ru-RU"/>
        </w:rPr>
        <w:t>)</w:t>
      </w:r>
      <w:hyperlink r:id="rId18" w:history="1"/>
    </w:p>
    <w:p w14:paraId="07C41D11" w14:textId="6D7437D9" w:rsidR="00C54406" w:rsidRPr="00BC3A70" w:rsidRDefault="00C54406" w:rsidP="00BD4C2C">
      <w:pPr>
        <w:jc w:val="both"/>
        <w:rPr>
          <w:lang w:val="ru-RU"/>
        </w:rPr>
      </w:pPr>
      <w:r w:rsidRPr="00BC3A70">
        <w:rPr>
          <w:lang w:val="ru-RU"/>
        </w:rPr>
        <w:t>2.1</w:t>
      </w:r>
      <w:r w:rsidRPr="00BC3A70">
        <w:rPr>
          <w:lang w:val="ru-RU"/>
        </w:rPr>
        <w:tab/>
        <w:t>Руководитель Департамента администрирования и финансов представляет Документ</w:t>
      </w:r>
      <w:r w:rsidR="00A52AC3" w:rsidRPr="00BC3A70">
        <w:rPr>
          <w:lang w:val="ru-RU"/>
        </w:rPr>
        <w:t> </w:t>
      </w:r>
      <w:r w:rsidRPr="00BC3A70">
        <w:rPr>
          <w:lang w:val="ru-RU"/>
        </w:rPr>
        <w:t>C25/28, в котором содержится проект Оперативного плана Союза на 2026−2029 годы, а также проект Резолюции по его утверждению, приведенный в Приложении А. Проект плана следует структуре Стратегического плана Союза на 2024−2027 годы и затрагивает вопросы реализации пяти тематических приоритетов и 43 намеченных результатов деятельности. В</w:t>
      </w:r>
      <w:r w:rsidR="00A52AC3" w:rsidRPr="00BC3A70">
        <w:rPr>
          <w:lang w:val="ru-RU"/>
        </w:rPr>
        <w:t> </w:t>
      </w:r>
      <w:r w:rsidRPr="00BC3A70">
        <w:rPr>
          <w:lang w:val="ru-RU"/>
        </w:rPr>
        <w:t>проекте оперативного плана описывается механизм дальнейшего использования ресурсов МСЭ на осуществление стратегических инициатив, содержащий подробный анализ на 2026 год и краткий анализ на три последующих года. Используемая методика распределения затрат изложена в Решении 535 (C04, последнее изменение C14) Совета. В 2026 году наибольшая доля ресурсов МСЭ будет выделена на тематический приоритет 1 "Спектр и спутниковые орбиты", остальные ресурсы будут распределены между тематическими приоритетами 5, 3, 4 и 2.</w:t>
      </w:r>
    </w:p>
    <w:p w14:paraId="099BC8A8" w14:textId="0A2297DE" w:rsidR="00C54406" w:rsidRPr="00BD4C2C" w:rsidRDefault="00C54406" w:rsidP="00BD4C2C">
      <w:pPr>
        <w:jc w:val="both"/>
        <w:rPr>
          <w:spacing w:val="-2"/>
          <w:lang w:val="ru-RU"/>
        </w:rPr>
      </w:pPr>
      <w:r w:rsidRPr="00BD4C2C">
        <w:rPr>
          <w:spacing w:val="-2"/>
          <w:lang w:val="ru-RU"/>
        </w:rPr>
        <w:t>2.2</w:t>
      </w:r>
      <w:r w:rsidRPr="00BD4C2C">
        <w:rPr>
          <w:spacing w:val="-2"/>
          <w:lang w:val="ru-RU"/>
        </w:rPr>
        <w:tab/>
        <w:t>Отмечая неравномерное распределение ресурсов между пятью тематическими приоритетами, Советники просят предоставить дополнительную информацию и обеспечить большую прозрачность в отношении механизмов определения приоритетов. Ежегодное обновление информации о ходе выполнения оперативного плана также повысит прозрачность и обеспечит необходимый уровень информированности и вовлеченности Государств-Членов. Советники подчеркивают свою твердую приверженность делу обеспечения согласования на стратегическом уровне, финансовой дисциплины и управления, ориентированного на результаты, изложенному в проекте плана, и поддерживают идею о том, что Генеральному секретарю и директорам Бюро необходима гибкость при осуществлении плана, как указано в проекте резолюции. Тем не менее, один из Советников предлагает дать определение понятию "гибкость". Поддерживая проект плана, Советники подчеркивают необходимость составления гораздо более детального бюджета в соответствии с рекомендациями, содержащимися в докладах Объединенной инспекционной группы системы Организации Объединенных Наций, поскольку это внесет ясность в отношении структуры расходов и позволит Государствам</w:t>
      </w:r>
      <w:r w:rsidR="00827C04" w:rsidRPr="00BD4C2C">
        <w:rPr>
          <w:spacing w:val="-2"/>
          <w:lang w:val="ru-RU"/>
        </w:rPr>
        <w:t>­</w:t>
      </w:r>
      <w:r w:rsidRPr="00BD4C2C">
        <w:rPr>
          <w:spacing w:val="-2"/>
          <w:lang w:val="ru-RU"/>
        </w:rPr>
        <w:t>Членам принимать более обоснованные решения, в частности в ситуациях, когда приходится идти на уступки. Высоко оценивая твердую приверженность составлению бюджета, ориентированного на результаты, один из Советников просит предоставить разъяснения в отношении тенденции к увеличению объема ресурсов, выделяемых на централизованные административные услуги, и установить более четкие связи между оперативной деятельностью и региональными инициативами.</w:t>
      </w:r>
    </w:p>
    <w:p w14:paraId="386D8057" w14:textId="6E121B07" w:rsidR="00C54406" w:rsidRPr="00BD4C2C" w:rsidRDefault="00C54406" w:rsidP="00BD4C2C">
      <w:pPr>
        <w:jc w:val="both"/>
        <w:rPr>
          <w:spacing w:val="-2"/>
          <w:lang w:val="ru-RU"/>
        </w:rPr>
      </w:pPr>
      <w:r w:rsidRPr="00BD4C2C">
        <w:rPr>
          <w:spacing w:val="-2"/>
          <w:lang w:val="ru-RU"/>
        </w:rPr>
        <w:t>2.3</w:t>
      </w:r>
      <w:r w:rsidRPr="00BD4C2C">
        <w:rPr>
          <w:spacing w:val="-2"/>
          <w:lang w:val="ru-RU"/>
        </w:rPr>
        <w:tab/>
        <w:t xml:space="preserve">Отвечая на вопросы, Руководитель Департамента администрирования и финансов признает факт неравномерного распределения ресурсов между стратегическими приоритетами, </w:t>
      </w:r>
      <w:r w:rsidR="003F30F3" w:rsidRPr="00BD4C2C">
        <w:rPr>
          <w:spacing w:val="-2"/>
          <w:lang w:val="ru-RU"/>
        </w:rPr>
        <w:t xml:space="preserve">что </w:t>
      </w:r>
      <w:r w:rsidRPr="00BD4C2C">
        <w:rPr>
          <w:spacing w:val="-2"/>
          <w:lang w:val="ru-RU"/>
        </w:rPr>
        <w:t>является отражением реальности и характера работы, проводимой различными Секторами. В будущем при стратегическом планировании целесообразно рассмотреть вопрос о том, насколько правильно расставлены стратегические приоритеты</w:t>
      </w:r>
      <w:r w:rsidR="003F30F3" w:rsidRPr="00BD4C2C">
        <w:rPr>
          <w:spacing w:val="-2"/>
          <w:lang w:val="ru-RU"/>
        </w:rPr>
        <w:t>, и скорректировать их относительную значимость</w:t>
      </w:r>
      <w:r w:rsidR="00631D2B" w:rsidRPr="00BD4C2C">
        <w:rPr>
          <w:spacing w:val="-2"/>
          <w:lang w:val="ru-RU"/>
        </w:rPr>
        <w:t>, если будет сочтено, что распределение ресурсов не соответствует задачам</w:t>
      </w:r>
      <w:r w:rsidRPr="00BD4C2C">
        <w:rPr>
          <w:spacing w:val="-2"/>
          <w:lang w:val="ru-RU"/>
        </w:rPr>
        <w:t xml:space="preserve">. Кроме </w:t>
      </w:r>
      <w:r w:rsidRPr="00BD4C2C">
        <w:rPr>
          <w:spacing w:val="-2"/>
          <w:lang w:val="ru-RU"/>
        </w:rPr>
        <w:lastRenderedPageBreak/>
        <w:t xml:space="preserve">того, важно более четко просчитывать переход от стратегического и финансового планирования к оперативному планированию, а затем к составлению бюджета. Более подробная информация о согласовании оперативного плана и бюджета содержится в проекте двухгодичного бюджета на </w:t>
      </w:r>
      <w:proofErr w:type="gramStart"/>
      <w:r w:rsidRPr="00BD4C2C">
        <w:rPr>
          <w:spacing w:val="-2"/>
          <w:lang w:val="ru-RU"/>
        </w:rPr>
        <w:t>2026−2027</w:t>
      </w:r>
      <w:proofErr w:type="gramEnd"/>
      <w:r w:rsidRPr="00BD4C2C">
        <w:rPr>
          <w:spacing w:val="-2"/>
          <w:lang w:val="ru-RU"/>
        </w:rPr>
        <w:t xml:space="preserve"> годы (Документ </w:t>
      </w:r>
      <w:hyperlink r:id="rId19" w:history="1">
        <w:proofErr w:type="spellStart"/>
        <w:r w:rsidRPr="00BD4C2C">
          <w:rPr>
            <w:rStyle w:val="Hyperlink"/>
            <w:spacing w:val="-2"/>
            <w:lang w:val="ru-RU"/>
          </w:rPr>
          <w:t>C25</w:t>
        </w:r>
        <w:proofErr w:type="spellEnd"/>
        <w:r w:rsidRPr="00BD4C2C">
          <w:rPr>
            <w:rStyle w:val="Hyperlink"/>
            <w:spacing w:val="-2"/>
            <w:lang w:val="ru-RU"/>
          </w:rPr>
          <w:t>/47</w:t>
        </w:r>
      </w:hyperlink>
      <w:r w:rsidRPr="00BD4C2C">
        <w:rPr>
          <w:spacing w:val="-2"/>
          <w:lang w:val="ru-RU"/>
        </w:rPr>
        <w:t>). При установлении приоритетов проводилась оценка актуальности областей и запросов со стороны Государств</w:t>
      </w:r>
      <w:r w:rsidR="003E448F" w:rsidRPr="00BD4C2C">
        <w:rPr>
          <w:spacing w:val="-2"/>
          <w:lang w:val="ru-RU"/>
        </w:rPr>
        <w:t>­</w:t>
      </w:r>
      <w:r w:rsidRPr="00BD4C2C">
        <w:rPr>
          <w:spacing w:val="-2"/>
          <w:lang w:val="ru-RU"/>
        </w:rPr>
        <w:t xml:space="preserve">Членов с учетом более широкого контекста и с использованием статистических данных, а также определение и распределение людских ресурсов с последующим расчетом соответствующих затрат. Более </w:t>
      </w:r>
      <w:r w:rsidR="00631D2B" w:rsidRPr="00BD4C2C">
        <w:rPr>
          <w:spacing w:val="-2"/>
          <w:lang w:val="ru-RU"/>
        </w:rPr>
        <w:t xml:space="preserve">четкие руководящие указания стратегического уровня со стороны </w:t>
      </w:r>
      <w:r w:rsidRPr="00BD4C2C">
        <w:rPr>
          <w:spacing w:val="-2"/>
          <w:lang w:val="ru-RU"/>
        </w:rPr>
        <w:t>Государств-Членов могл</w:t>
      </w:r>
      <w:r w:rsidR="00631D2B" w:rsidRPr="00BD4C2C">
        <w:rPr>
          <w:spacing w:val="-2"/>
          <w:lang w:val="ru-RU"/>
        </w:rPr>
        <w:t>и</w:t>
      </w:r>
      <w:r w:rsidRPr="00BD4C2C">
        <w:rPr>
          <w:spacing w:val="-2"/>
          <w:lang w:val="ru-RU"/>
        </w:rPr>
        <w:t xml:space="preserve"> бы способствовать данному процессу, осуществляемому главным образом усилиями секретариата. В </w:t>
      </w:r>
      <w:r w:rsidR="00C27556" w:rsidRPr="00BD4C2C">
        <w:rPr>
          <w:spacing w:val="-2"/>
          <w:lang w:val="ru-RU"/>
        </w:rPr>
        <w:t>рамках текущего</w:t>
      </w:r>
      <w:r w:rsidRPr="00BD4C2C">
        <w:rPr>
          <w:spacing w:val="-2"/>
          <w:lang w:val="ru-RU"/>
        </w:rPr>
        <w:t xml:space="preserve"> процесса стратегического планирования основное внимание уже уделяется совершенствованию проводимого измерения направлений деятельности и их увязке конечными результатами. В целом затраты Генерального секретариата за последние годы сократились, при этом значительные сокращения расходов стали результатом процесса трансформации. Кажущееся увеличение затрат в соответствии с планом объясняется тем, что в период </w:t>
      </w:r>
      <w:r w:rsidR="00C27556" w:rsidRPr="00BD4C2C">
        <w:rPr>
          <w:spacing w:val="-2"/>
          <w:lang w:val="ru-RU"/>
        </w:rPr>
        <w:t xml:space="preserve">2026−2027 годов </w:t>
      </w:r>
      <w:r w:rsidRPr="00BD4C2C">
        <w:rPr>
          <w:spacing w:val="-2"/>
          <w:lang w:val="ru-RU"/>
        </w:rPr>
        <w:t>предусмотрено проведение двух крупных конференций</w:t>
      </w:r>
      <w:r w:rsidR="00C27556" w:rsidRPr="00BD4C2C">
        <w:rPr>
          <w:spacing w:val="-2"/>
          <w:lang w:val="ru-RU"/>
        </w:rPr>
        <w:t xml:space="preserve"> (ПК-26 и ВКР</w:t>
      </w:r>
      <w:r w:rsidR="00DF666D" w:rsidRPr="00BD4C2C">
        <w:rPr>
          <w:spacing w:val="-2"/>
          <w:lang w:val="ru-RU"/>
        </w:rPr>
        <w:t>­</w:t>
      </w:r>
      <w:r w:rsidR="00C27556" w:rsidRPr="00BD4C2C">
        <w:rPr>
          <w:spacing w:val="-2"/>
          <w:lang w:val="ru-RU"/>
        </w:rPr>
        <w:t>27)</w:t>
      </w:r>
      <w:r w:rsidRPr="00BD4C2C">
        <w:rPr>
          <w:spacing w:val="-2"/>
          <w:lang w:val="ru-RU"/>
        </w:rPr>
        <w:t xml:space="preserve">, </w:t>
      </w:r>
      <w:r w:rsidR="00C27556" w:rsidRPr="00BD4C2C">
        <w:rPr>
          <w:spacing w:val="-2"/>
          <w:lang w:val="ru-RU"/>
        </w:rPr>
        <w:t xml:space="preserve">ресурсное обеспечение </w:t>
      </w:r>
      <w:r w:rsidRPr="00BD4C2C">
        <w:rPr>
          <w:spacing w:val="-2"/>
          <w:lang w:val="ru-RU"/>
        </w:rPr>
        <w:t xml:space="preserve">которых в значительной степени </w:t>
      </w:r>
      <w:r w:rsidR="00C27556" w:rsidRPr="00BD4C2C">
        <w:rPr>
          <w:spacing w:val="-2"/>
          <w:lang w:val="ru-RU"/>
        </w:rPr>
        <w:t xml:space="preserve">осуществляется за счет услуг, предоставляемых </w:t>
      </w:r>
      <w:r w:rsidRPr="00BD4C2C">
        <w:rPr>
          <w:spacing w:val="-2"/>
          <w:lang w:val="ru-RU"/>
        </w:rPr>
        <w:t>Генеральн</w:t>
      </w:r>
      <w:r w:rsidR="00C27556" w:rsidRPr="00BD4C2C">
        <w:rPr>
          <w:spacing w:val="-2"/>
          <w:lang w:val="ru-RU"/>
        </w:rPr>
        <w:t>ым</w:t>
      </w:r>
      <w:r w:rsidRPr="00BD4C2C">
        <w:rPr>
          <w:spacing w:val="-2"/>
          <w:lang w:val="ru-RU"/>
        </w:rPr>
        <w:t xml:space="preserve"> секретариат</w:t>
      </w:r>
      <w:r w:rsidR="00C27556" w:rsidRPr="00BD4C2C">
        <w:rPr>
          <w:spacing w:val="-2"/>
          <w:lang w:val="ru-RU"/>
        </w:rPr>
        <w:t>ом</w:t>
      </w:r>
      <w:r w:rsidRPr="00BD4C2C">
        <w:rPr>
          <w:spacing w:val="-2"/>
          <w:lang w:val="ru-RU"/>
        </w:rPr>
        <w:t>.</w:t>
      </w:r>
      <w:hyperlink r:id="rId20" w:history="1"/>
    </w:p>
    <w:p w14:paraId="5BE162FE" w14:textId="77777777" w:rsidR="00C54406" w:rsidRPr="00BC3A70" w:rsidRDefault="00C54406" w:rsidP="00BD4C2C">
      <w:pPr>
        <w:jc w:val="both"/>
        <w:rPr>
          <w:lang w:val="ru-RU"/>
        </w:rPr>
      </w:pPr>
      <w:r w:rsidRPr="00BC3A70">
        <w:rPr>
          <w:lang w:val="ru-RU"/>
        </w:rPr>
        <w:t>2.4</w:t>
      </w:r>
      <w:r w:rsidRPr="00BC3A70">
        <w:rPr>
          <w:lang w:val="ru-RU"/>
        </w:rPr>
        <w:tab/>
        <w:t>Руководитель Департамента управления финансовыми ресурсами (FRMD) отмечает, что региональные программы осуществляются через МСЭ-D, и прикладываются усилия к обеспечению справедливого распределения ресурсов и инициатив между регионами. Секретариат обеспечивает начальное финансирование, а также дополнительно выступает с призывами к донорам, предлагая предоставить добровольные взносы. Он добавляет, что просьба о предоставлении "гибкости" Генеральному секретарю и директорам Бюро является обычной практикой в резолюциях, утверждающих проекты бюджетов и оперативных планов.</w:t>
      </w:r>
    </w:p>
    <w:p w14:paraId="709F9EDC" w14:textId="77777777" w:rsidR="00C54406" w:rsidRPr="00BC3A70" w:rsidRDefault="00C54406" w:rsidP="00BD4C2C">
      <w:pPr>
        <w:jc w:val="both"/>
        <w:rPr>
          <w:lang w:val="ru-RU"/>
        </w:rPr>
      </w:pPr>
      <w:r w:rsidRPr="00BC3A70">
        <w:rPr>
          <w:lang w:val="ru-RU"/>
        </w:rPr>
        <w:t>2.5</w:t>
      </w:r>
      <w:r w:rsidRPr="00BC3A70">
        <w:rPr>
          <w:lang w:val="ru-RU"/>
        </w:rPr>
        <w:tab/>
        <w:t xml:space="preserve">Совет </w:t>
      </w:r>
      <w:r w:rsidRPr="00BC3A70">
        <w:rPr>
          <w:b/>
          <w:bCs/>
          <w:lang w:val="ru-RU"/>
        </w:rPr>
        <w:t xml:space="preserve">утверждает </w:t>
      </w:r>
      <w:r w:rsidRPr="00BC3A70">
        <w:rPr>
          <w:lang w:val="ru-RU"/>
        </w:rPr>
        <w:t xml:space="preserve">Документ C25/28 и </w:t>
      </w:r>
      <w:r w:rsidRPr="00BC3A70">
        <w:rPr>
          <w:b/>
          <w:bCs/>
          <w:lang w:val="ru-RU"/>
        </w:rPr>
        <w:t xml:space="preserve">принимает </w:t>
      </w:r>
      <w:r w:rsidRPr="00BC3A70">
        <w:rPr>
          <w:lang w:val="ru-RU"/>
        </w:rPr>
        <w:t>проект Резолюции, содержащийся в приложении к нему.</w:t>
      </w:r>
    </w:p>
    <w:p w14:paraId="369E500A" w14:textId="5908391B" w:rsidR="00C54406" w:rsidRPr="00BC3A70" w:rsidRDefault="00C54406" w:rsidP="00C54406">
      <w:pPr>
        <w:pStyle w:val="Heading1"/>
        <w:rPr>
          <w:lang w:val="ru-RU"/>
        </w:rPr>
      </w:pPr>
      <w:r w:rsidRPr="00BC3A70">
        <w:rPr>
          <w:bCs/>
          <w:lang w:val="ru-RU"/>
        </w:rPr>
        <w:t>3</w:t>
      </w:r>
      <w:r w:rsidRPr="00BC3A70">
        <w:rPr>
          <w:lang w:val="ru-RU"/>
        </w:rPr>
        <w:tab/>
      </w:r>
      <w:r w:rsidRPr="00BC3A70">
        <w:rPr>
          <w:bCs/>
          <w:lang w:val="ru-RU"/>
        </w:rPr>
        <w:t>Проект двухгодичного бюджета Союза на 2026−2027 годы (Документ</w:t>
      </w:r>
      <w:r w:rsidRPr="00BC3A70">
        <w:rPr>
          <w:lang w:val="ru-RU"/>
        </w:rPr>
        <w:t> </w:t>
      </w:r>
      <w:proofErr w:type="spellStart"/>
      <w:r>
        <w:fldChar w:fldCharType="begin"/>
      </w:r>
      <w:r>
        <w:instrText>HYPERLINK</w:instrText>
      </w:r>
      <w:r w:rsidRPr="004814A8">
        <w:rPr>
          <w:lang w:val="ru-RU"/>
        </w:rPr>
        <w:instrText xml:space="preserve"> "</w:instrText>
      </w:r>
      <w:r>
        <w:instrText>https</w:instrText>
      </w:r>
      <w:r w:rsidRPr="004814A8">
        <w:rPr>
          <w:lang w:val="ru-RU"/>
        </w:rPr>
        <w:instrText>://</w:instrText>
      </w:r>
      <w:r>
        <w:instrText>www</w:instrText>
      </w:r>
      <w:r w:rsidRPr="004814A8">
        <w:rPr>
          <w:lang w:val="ru-RU"/>
        </w:rPr>
        <w:instrText>.</w:instrText>
      </w:r>
      <w:r>
        <w:instrText>itu</w:instrText>
      </w:r>
      <w:r w:rsidRPr="004814A8">
        <w:rPr>
          <w:lang w:val="ru-RU"/>
        </w:rPr>
        <w:instrText>.</w:instrText>
      </w:r>
      <w:r>
        <w:instrText>int</w:instrText>
      </w:r>
      <w:r w:rsidRPr="004814A8">
        <w:rPr>
          <w:lang w:val="ru-RU"/>
        </w:rPr>
        <w:instrText>/</w:instrText>
      </w:r>
      <w:r>
        <w:instrText>md</w:instrText>
      </w:r>
      <w:r w:rsidRPr="004814A8">
        <w:rPr>
          <w:lang w:val="ru-RU"/>
        </w:rPr>
        <w:instrText>/</w:instrText>
      </w:r>
      <w:r>
        <w:instrText>S</w:instrText>
      </w:r>
      <w:r w:rsidRPr="004814A8">
        <w:rPr>
          <w:lang w:val="ru-RU"/>
        </w:rPr>
        <w:instrText>25-</w:instrText>
      </w:r>
      <w:r>
        <w:instrText>CL</w:instrText>
      </w:r>
      <w:r w:rsidRPr="004814A8">
        <w:rPr>
          <w:lang w:val="ru-RU"/>
        </w:rPr>
        <w:instrText>-</w:instrText>
      </w:r>
      <w:r>
        <w:instrText>C</w:instrText>
      </w:r>
      <w:r w:rsidRPr="004814A8">
        <w:rPr>
          <w:lang w:val="ru-RU"/>
        </w:rPr>
        <w:instrText>-0047/</w:instrText>
      </w:r>
      <w:r>
        <w:instrText>en</w:instrText>
      </w:r>
      <w:r w:rsidRPr="004814A8">
        <w:rPr>
          <w:lang w:val="ru-RU"/>
        </w:rPr>
        <w:instrText>"</w:instrText>
      </w:r>
      <w:r>
        <w:fldChar w:fldCharType="separate"/>
      </w:r>
      <w:r w:rsidRPr="00BC3A70">
        <w:rPr>
          <w:rStyle w:val="Hyperlink"/>
          <w:lang w:val="ru-RU"/>
        </w:rPr>
        <w:t>C25</w:t>
      </w:r>
      <w:proofErr w:type="spellEnd"/>
      <w:r w:rsidRPr="00BC3A70">
        <w:rPr>
          <w:rStyle w:val="Hyperlink"/>
          <w:lang w:val="ru-RU"/>
        </w:rPr>
        <w:t>/47</w:t>
      </w:r>
      <w:r>
        <w:fldChar w:fldCharType="end"/>
      </w:r>
      <w:r w:rsidRPr="00BC3A70">
        <w:rPr>
          <w:lang w:val="ru-RU"/>
        </w:rPr>
        <w:t>)</w:t>
      </w:r>
      <w:hyperlink r:id="rId21" w:history="1"/>
    </w:p>
    <w:p w14:paraId="72715BAF" w14:textId="6B9DF6A9" w:rsidR="00C54406" w:rsidRPr="00BC3A70" w:rsidRDefault="00C54406" w:rsidP="00BD4C2C">
      <w:pPr>
        <w:jc w:val="both"/>
        <w:rPr>
          <w:lang w:val="ru-RU"/>
        </w:rPr>
      </w:pPr>
      <w:r w:rsidRPr="00BC3A70">
        <w:rPr>
          <w:lang w:val="ru-RU"/>
        </w:rPr>
        <w:t>3.1</w:t>
      </w:r>
      <w:r w:rsidRPr="00BC3A70">
        <w:rPr>
          <w:lang w:val="ru-RU"/>
        </w:rPr>
        <w:tab/>
        <w:t xml:space="preserve">Руководитель FRMD, представляя Документ C25/47, в котором изложен проект двухгодичного бюджета на 2026−2027 годы, говорит, что он был подготовлен в соответствии с Решением 5 (Пересм. Бухарест, 2022 г.) Полномочной конференции на основе бюджетных представлений трех Секторов и Генерального секретариата. Это сбалансированный проект бюджета, сумма доходов которого соответствует сумме расходов; в нем наблюдается отрицательный рост на 2,66% по сравнению с бюджетом на 2024–2025 годы, что в значительной степени объясняется мерами по повышению эффективности, описанными в документе. Ожидается, что доходы по линии возмещения затрат на обработку заявок на регистрацию спутниковых сетей (SNF) возрастут до 18 млн. швейцарских франков, хотя полные затраты на работу в этой области оцениваются в 22,8 млн. швейцарских франков. Предлагаемая методика расчета возмещения затрат на обработку заявок на регистрацию спутниковых сетей представлена в Документе </w:t>
      </w:r>
      <w:hyperlink r:id="rId22" w:history="1">
        <w:proofErr w:type="spellStart"/>
        <w:r w:rsidRPr="00BC3A70">
          <w:rPr>
            <w:rStyle w:val="Hyperlink"/>
            <w:lang w:val="ru-RU"/>
          </w:rPr>
          <w:t>C25</w:t>
        </w:r>
        <w:proofErr w:type="spellEnd"/>
        <w:r w:rsidRPr="00BC3A70">
          <w:rPr>
            <w:rStyle w:val="Hyperlink"/>
            <w:lang w:val="ru-RU"/>
          </w:rPr>
          <w:t>/64</w:t>
        </w:r>
      </w:hyperlink>
      <w:r w:rsidRPr="00BC3A70">
        <w:rPr>
          <w:lang w:val="ru-RU"/>
        </w:rPr>
        <w:t>. При исполнении бюджета Секретариат будет и далее действовать в соответствии с принятым подходом к управлению, ориентированному на результаты, и принимать меры по повышению эффективности. В проекте бюджета содержится подробная информация о финансовом планировании, количестве предусмотренных в бюджете должностей, расходах на лингвистические услуги</w:t>
      </w:r>
      <w:r w:rsidR="00A52AC3" w:rsidRPr="00BC3A70">
        <w:rPr>
          <w:lang w:val="ru-RU"/>
        </w:rPr>
        <w:t> </w:t>
      </w:r>
      <w:r w:rsidRPr="00BC3A70">
        <w:rPr>
          <w:lang w:val="ru-RU"/>
        </w:rPr>
        <w:t>и</w:t>
      </w:r>
      <w:r w:rsidR="00A52AC3" w:rsidRPr="00BC3A70">
        <w:rPr>
          <w:lang w:val="ru-RU"/>
        </w:rPr>
        <w:t> </w:t>
      </w:r>
      <w:r w:rsidRPr="00BC3A70">
        <w:rPr>
          <w:lang w:val="ru-RU"/>
        </w:rPr>
        <w:t>инфраструктуру.</w:t>
      </w:r>
      <w:hyperlink r:id="rId23" w:history="1"/>
    </w:p>
    <w:p w14:paraId="01D7306E" w14:textId="77777777" w:rsidR="00C54406" w:rsidRPr="00BC3A70" w:rsidRDefault="00C54406" w:rsidP="00BD4C2C">
      <w:pPr>
        <w:jc w:val="both"/>
        <w:rPr>
          <w:lang w:val="ru-RU"/>
        </w:rPr>
      </w:pPr>
      <w:r w:rsidRPr="00BC3A70">
        <w:rPr>
          <w:lang w:val="ru-RU"/>
        </w:rPr>
        <w:t>3.2</w:t>
      </w:r>
      <w:r w:rsidRPr="00BC3A70">
        <w:rPr>
          <w:lang w:val="ru-RU"/>
        </w:rPr>
        <w:tab/>
        <w:t>Председатель предлагает передать этот документ для обсуждения в Постоянный комитет по администрированию и управлению (Комитет ADM).</w:t>
      </w:r>
    </w:p>
    <w:p w14:paraId="37699625" w14:textId="77777777" w:rsidR="00C54406" w:rsidRPr="00BC3A70" w:rsidRDefault="00C54406" w:rsidP="00C54406">
      <w:pPr>
        <w:rPr>
          <w:lang w:val="ru-RU"/>
        </w:rPr>
      </w:pPr>
      <w:r w:rsidRPr="00BC3A70">
        <w:rPr>
          <w:lang w:val="ru-RU"/>
        </w:rPr>
        <w:t>3.3</w:t>
      </w:r>
      <w:r w:rsidRPr="00BC3A70">
        <w:rPr>
          <w:lang w:val="ru-RU"/>
        </w:rPr>
        <w:tab/>
        <w:t xml:space="preserve">Предложение </w:t>
      </w:r>
      <w:r w:rsidRPr="00BC3A70">
        <w:rPr>
          <w:b/>
          <w:bCs/>
          <w:lang w:val="ru-RU"/>
        </w:rPr>
        <w:t>принимается</w:t>
      </w:r>
      <w:r w:rsidRPr="00BC3A70">
        <w:rPr>
          <w:lang w:val="ru-RU"/>
        </w:rPr>
        <w:t>.</w:t>
      </w:r>
    </w:p>
    <w:p w14:paraId="68B1ED65" w14:textId="77777777" w:rsidR="00C54406" w:rsidRPr="00BC3A70" w:rsidRDefault="00C54406" w:rsidP="00C54406">
      <w:pPr>
        <w:pStyle w:val="Heading1"/>
        <w:rPr>
          <w:lang w:val="ru-RU"/>
        </w:rPr>
      </w:pPr>
      <w:r w:rsidRPr="00BC3A70">
        <w:rPr>
          <w:bCs/>
          <w:lang w:val="ru-RU"/>
        </w:rPr>
        <w:lastRenderedPageBreak/>
        <w:t>4</w:t>
      </w:r>
      <w:r w:rsidRPr="00BC3A70">
        <w:rPr>
          <w:lang w:val="ru-RU"/>
        </w:rPr>
        <w:tab/>
      </w:r>
      <w:r w:rsidRPr="00BC3A70">
        <w:rPr>
          <w:bCs/>
          <w:lang w:val="ru-RU"/>
        </w:rPr>
        <w:t xml:space="preserve">Обновленная информация о процессе трансформации и дорожной карте МСЭ (Документ </w:t>
      </w:r>
      <w:hyperlink r:id="rId24" w:history="1">
        <w:proofErr w:type="spellStart"/>
        <w:r w:rsidRPr="00BC3A70">
          <w:rPr>
            <w:rStyle w:val="Hyperlink"/>
            <w:lang w:val="ru-RU"/>
          </w:rPr>
          <w:t>C25</w:t>
        </w:r>
        <w:proofErr w:type="spellEnd"/>
        <w:r w:rsidRPr="00BC3A70">
          <w:rPr>
            <w:rStyle w:val="Hyperlink"/>
            <w:lang w:val="ru-RU"/>
          </w:rPr>
          <w:t>/55</w:t>
        </w:r>
      </w:hyperlink>
      <w:r w:rsidRPr="00BC3A70">
        <w:rPr>
          <w:lang w:val="ru-RU"/>
        </w:rPr>
        <w:t>)</w:t>
      </w:r>
      <w:hyperlink r:id="rId25" w:history="1"/>
    </w:p>
    <w:p w14:paraId="0CED3860" w14:textId="71D37B58" w:rsidR="00C54406" w:rsidRPr="00BC3A70" w:rsidRDefault="00C54406" w:rsidP="00BD4C2C">
      <w:pPr>
        <w:jc w:val="both"/>
        <w:rPr>
          <w:lang w:val="ru-RU"/>
        </w:rPr>
      </w:pPr>
      <w:r w:rsidRPr="00BC3A70">
        <w:rPr>
          <w:lang w:val="ru-RU"/>
        </w:rPr>
        <w:t>4.1</w:t>
      </w:r>
      <w:r w:rsidRPr="00BC3A70">
        <w:rPr>
          <w:lang w:val="ru-RU"/>
        </w:rPr>
        <w:tab/>
        <w:t>Руководитель Группы по трансформации представляет Документ C25/55, в котором рассказывается об усилиях МСЭ по достижению организационной эффективности и об уже достигнутых результатах в этом направлении. По результатам обсуждений в Рабочей группе Совета по финансовым и людским ресурсам (РГС-ФЛР) и Рабочей группе Совета по использованию шести официальных языков (РГС-Яз), а также в ответ на просьбы Государств</w:t>
      </w:r>
      <w:r w:rsidR="00827C04" w:rsidRPr="00BC3A70">
        <w:rPr>
          <w:lang w:val="ru-RU"/>
        </w:rPr>
        <w:t>­</w:t>
      </w:r>
      <w:r w:rsidRPr="00BC3A70">
        <w:rPr>
          <w:lang w:val="ru-RU"/>
        </w:rPr>
        <w:t>Членов, в приложении представлен отчет о ходе работы по созданию веб-сайта. С</w:t>
      </w:r>
      <w:r w:rsidR="00DF666D" w:rsidRPr="00BC3A70">
        <w:rPr>
          <w:lang w:val="ru-RU"/>
        </w:rPr>
        <w:t> </w:t>
      </w:r>
      <w:r w:rsidRPr="00BC3A70">
        <w:rPr>
          <w:lang w:val="ru-RU"/>
        </w:rPr>
        <w:t>момента публикации был достигнут важный рубеж, а именно была завершена техническая и коммерческая оценка, что позволило приступить к этапу реализации.</w:t>
      </w:r>
    </w:p>
    <w:p w14:paraId="039877F2" w14:textId="3BBBC5A8" w:rsidR="00C54406" w:rsidRPr="00BC3A70" w:rsidRDefault="00C54406" w:rsidP="00BD4C2C">
      <w:pPr>
        <w:jc w:val="both"/>
        <w:rPr>
          <w:lang w:val="ru-RU"/>
        </w:rPr>
      </w:pPr>
      <w:r w:rsidRPr="00BC3A70">
        <w:rPr>
          <w:lang w:val="ru-RU"/>
        </w:rPr>
        <w:t>4.2</w:t>
      </w:r>
      <w:r w:rsidRPr="00BC3A70">
        <w:rPr>
          <w:lang w:val="ru-RU"/>
        </w:rPr>
        <w:tab/>
        <w:t>В рамках пяти основных направлений процесса трансформации были определены шесть инициатив для ускоренно</w:t>
      </w:r>
      <w:r w:rsidR="000F1FEF" w:rsidRPr="00BC3A70">
        <w:rPr>
          <w:lang w:val="ru-RU"/>
        </w:rPr>
        <w:t>й реализации</w:t>
      </w:r>
      <w:r w:rsidRPr="00BC3A70">
        <w:rPr>
          <w:lang w:val="ru-RU"/>
        </w:rPr>
        <w:t xml:space="preserve">: управление показателями деятельности, </w:t>
      </w:r>
      <w:r w:rsidR="00C27556" w:rsidRPr="00BC3A70">
        <w:rPr>
          <w:lang w:val="ru-RU"/>
        </w:rPr>
        <w:t>набор персонала</w:t>
      </w:r>
      <w:r w:rsidRPr="00BC3A70">
        <w:rPr>
          <w:lang w:val="ru-RU"/>
        </w:rPr>
        <w:t>, организаци</w:t>
      </w:r>
      <w:r w:rsidR="000F1FEF" w:rsidRPr="00BC3A70">
        <w:rPr>
          <w:lang w:val="ru-RU"/>
        </w:rPr>
        <w:t>я</w:t>
      </w:r>
      <w:r w:rsidRPr="00BC3A70">
        <w:rPr>
          <w:lang w:val="ru-RU"/>
        </w:rPr>
        <w:t xml:space="preserve"> поездок</w:t>
      </w:r>
      <w:r w:rsidR="000F1FEF" w:rsidRPr="00BC3A70">
        <w:rPr>
          <w:lang w:val="ru-RU"/>
        </w:rPr>
        <w:t>,</w:t>
      </w:r>
      <w:r w:rsidRPr="00BC3A70">
        <w:rPr>
          <w:lang w:val="ru-RU"/>
        </w:rPr>
        <w:t xml:space="preserve"> </w:t>
      </w:r>
      <w:r w:rsidR="00C27556" w:rsidRPr="00BC3A70">
        <w:rPr>
          <w:lang w:val="ru-RU"/>
        </w:rPr>
        <w:t>внутренн</w:t>
      </w:r>
      <w:r w:rsidR="000F1FEF" w:rsidRPr="00BC3A70">
        <w:rPr>
          <w:lang w:val="ru-RU"/>
        </w:rPr>
        <w:t>яя</w:t>
      </w:r>
      <w:r w:rsidR="00C27556" w:rsidRPr="00BC3A70">
        <w:rPr>
          <w:lang w:val="ru-RU"/>
        </w:rPr>
        <w:t xml:space="preserve"> </w:t>
      </w:r>
      <w:r w:rsidRPr="00BC3A70">
        <w:rPr>
          <w:lang w:val="ru-RU"/>
        </w:rPr>
        <w:t>мобильност</w:t>
      </w:r>
      <w:r w:rsidR="000F1FEF" w:rsidRPr="00BC3A70">
        <w:rPr>
          <w:lang w:val="ru-RU"/>
        </w:rPr>
        <w:t>ь</w:t>
      </w:r>
      <w:r w:rsidRPr="00BC3A70">
        <w:rPr>
          <w:lang w:val="ru-RU"/>
        </w:rPr>
        <w:t xml:space="preserve">, </w:t>
      </w:r>
      <w:r w:rsidR="00C27556" w:rsidRPr="00BC3A70">
        <w:rPr>
          <w:lang w:val="ru-RU"/>
        </w:rPr>
        <w:t xml:space="preserve">внедрение ИИ в </w:t>
      </w:r>
      <w:r w:rsidR="000F1FEF" w:rsidRPr="00BC3A70">
        <w:rPr>
          <w:lang w:val="ru-RU"/>
        </w:rPr>
        <w:t xml:space="preserve">Организации </w:t>
      </w:r>
      <w:r w:rsidRPr="00BC3A70">
        <w:rPr>
          <w:lang w:val="ru-RU"/>
        </w:rPr>
        <w:t xml:space="preserve">и культура </w:t>
      </w:r>
      <w:r w:rsidR="000F1FEF" w:rsidRPr="00BC3A70">
        <w:rPr>
          <w:lang w:val="ru-RU"/>
        </w:rPr>
        <w:t>лидерства</w:t>
      </w:r>
      <w:r w:rsidRPr="00BC3A70">
        <w:rPr>
          <w:lang w:val="ru-RU"/>
        </w:rPr>
        <w:t xml:space="preserve">. </w:t>
      </w:r>
      <w:r w:rsidR="000F1FEF" w:rsidRPr="00BC3A70">
        <w:rPr>
          <w:lang w:val="ru-RU"/>
        </w:rPr>
        <w:t>Продолжается также работа по реализации остальных инициатив по направлениям в рамках Дорожной карты трансформации</w:t>
      </w:r>
      <w:r w:rsidRPr="00BC3A70">
        <w:rPr>
          <w:lang w:val="ru-RU"/>
        </w:rPr>
        <w:t xml:space="preserve">. Важнейшей предпосылкой трансформации является наличие структурированного и четкого коммуникационного процесса. Группа по трансформации обеспечивает активное управление последствиями изменений через группу "Проводники перемен" и путем проведения </w:t>
      </w:r>
      <w:r w:rsidR="00AD6BD7" w:rsidRPr="00BC3A70">
        <w:rPr>
          <w:lang w:val="ru-RU"/>
        </w:rPr>
        <w:t xml:space="preserve">более широких </w:t>
      </w:r>
      <w:r w:rsidRPr="00BC3A70">
        <w:rPr>
          <w:lang w:val="ru-RU"/>
        </w:rPr>
        <w:t>консультаций с персонал</w:t>
      </w:r>
      <w:r w:rsidR="00AD6BD7" w:rsidRPr="00BC3A70">
        <w:rPr>
          <w:lang w:val="ru-RU"/>
        </w:rPr>
        <w:t>ом всех Бюро</w:t>
      </w:r>
      <w:r w:rsidRPr="00BC3A70">
        <w:rPr>
          <w:lang w:val="ru-RU"/>
        </w:rPr>
        <w:t>. Подобное сотрудничество имеет первостепенное значение для достижения прогресса</w:t>
      </w:r>
      <w:r w:rsidR="00AD6BD7" w:rsidRPr="00BC3A70">
        <w:rPr>
          <w:lang w:val="ru-RU"/>
        </w:rPr>
        <w:t xml:space="preserve"> и должно быть продолжено</w:t>
      </w:r>
      <w:r w:rsidRPr="00BC3A70">
        <w:rPr>
          <w:lang w:val="ru-RU"/>
        </w:rPr>
        <w:t>.</w:t>
      </w:r>
    </w:p>
    <w:p w14:paraId="0B3E33D1" w14:textId="60B0177F" w:rsidR="00C54406" w:rsidRPr="00BC3A70" w:rsidRDefault="00C54406" w:rsidP="00BD4C2C">
      <w:pPr>
        <w:jc w:val="both"/>
        <w:rPr>
          <w:lang w:val="ru-RU"/>
        </w:rPr>
      </w:pPr>
      <w:r w:rsidRPr="00BC3A70">
        <w:rPr>
          <w:lang w:val="ru-RU"/>
        </w:rPr>
        <w:t>4.3</w:t>
      </w:r>
      <w:r w:rsidRPr="00BC3A70">
        <w:rPr>
          <w:lang w:val="ru-RU"/>
        </w:rPr>
        <w:tab/>
        <w:t xml:space="preserve">Советники приветствуют представленный отчет и подчеркивают важность участия персонала в этом процессе. </w:t>
      </w:r>
      <w:r w:rsidR="0022553F" w:rsidRPr="00BC3A70">
        <w:rPr>
          <w:lang w:val="ru-RU"/>
        </w:rPr>
        <w:t xml:space="preserve">Они выражают </w:t>
      </w:r>
      <w:r w:rsidR="00205ADD" w:rsidRPr="00BC3A70">
        <w:rPr>
          <w:lang w:val="ru-RU"/>
        </w:rPr>
        <w:t>признательность</w:t>
      </w:r>
      <w:r w:rsidR="0022553F" w:rsidRPr="00BC3A70">
        <w:rPr>
          <w:lang w:val="ru-RU"/>
        </w:rPr>
        <w:t xml:space="preserve"> Секретариату </w:t>
      </w:r>
      <w:r w:rsidR="00205ADD" w:rsidRPr="00BC3A70">
        <w:rPr>
          <w:lang w:val="ru-RU"/>
        </w:rPr>
        <w:t xml:space="preserve">за широкомасштабные инициативы по трансформации, реализуемые в рамках всей Организации. </w:t>
      </w:r>
      <w:r w:rsidRPr="00BC3A70">
        <w:rPr>
          <w:lang w:val="ru-RU"/>
        </w:rPr>
        <w:t xml:space="preserve">Трансформация имеет решающее значение для обеспечения конкурентоспособности и эффективности операционной деятельности Союза, однако данный процесс является </w:t>
      </w:r>
      <w:r w:rsidR="00205ADD" w:rsidRPr="00BC3A70">
        <w:rPr>
          <w:lang w:val="ru-RU"/>
        </w:rPr>
        <w:t>постепенным</w:t>
      </w:r>
      <w:r w:rsidRPr="00BC3A70">
        <w:rPr>
          <w:lang w:val="ru-RU"/>
        </w:rPr>
        <w:t xml:space="preserve"> и постоянно меняющимся. </w:t>
      </w:r>
      <w:r w:rsidR="00205ADD" w:rsidRPr="00BC3A70">
        <w:rPr>
          <w:lang w:val="ru-RU"/>
        </w:rPr>
        <w:t xml:space="preserve">Советники </w:t>
      </w:r>
      <w:r w:rsidRPr="00BC3A70">
        <w:rPr>
          <w:lang w:val="ru-RU"/>
        </w:rPr>
        <w:t>просят предоставить более подробную информацию о текущих и возникающих инициативах</w:t>
      </w:r>
      <w:r w:rsidR="00205ADD" w:rsidRPr="00BC3A70">
        <w:rPr>
          <w:lang w:val="ru-RU"/>
        </w:rPr>
        <w:t xml:space="preserve">, чтобы убедиться в их </w:t>
      </w:r>
      <w:r w:rsidRPr="00BC3A70">
        <w:rPr>
          <w:lang w:val="ru-RU"/>
        </w:rPr>
        <w:t xml:space="preserve">согласованности с </w:t>
      </w:r>
      <w:r w:rsidR="00205ADD" w:rsidRPr="00BC3A70">
        <w:rPr>
          <w:lang w:val="ru-RU"/>
        </w:rPr>
        <w:t xml:space="preserve">последними </w:t>
      </w:r>
      <w:r w:rsidRPr="00BC3A70">
        <w:rPr>
          <w:lang w:val="ru-RU"/>
        </w:rPr>
        <w:t xml:space="preserve">решениями Совета. Особое значение имеет </w:t>
      </w:r>
      <w:r w:rsidR="00205ADD" w:rsidRPr="00BC3A70">
        <w:rPr>
          <w:lang w:val="ru-RU"/>
        </w:rPr>
        <w:t xml:space="preserve">предоставление </w:t>
      </w:r>
      <w:r w:rsidRPr="00BC3A70">
        <w:rPr>
          <w:lang w:val="ru-RU"/>
        </w:rPr>
        <w:t>информаци</w:t>
      </w:r>
      <w:r w:rsidR="00205ADD" w:rsidRPr="00BC3A70">
        <w:rPr>
          <w:lang w:val="ru-RU"/>
        </w:rPr>
        <w:t>и</w:t>
      </w:r>
      <w:r w:rsidRPr="00BC3A70">
        <w:rPr>
          <w:lang w:val="ru-RU"/>
        </w:rPr>
        <w:t xml:space="preserve"> о приоритетах</w:t>
      </w:r>
      <w:r w:rsidR="00205ADD" w:rsidRPr="00BC3A70">
        <w:rPr>
          <w:lang w:val="ru-RU"/>
        </w:rPr>
        <w:t xml:space="preserve"> и</w:t>
      </w:r>
      <w:r w:rsidRPr="00BC3A70">
        <w:rPr>
          <w:lang w:val="ru-RU"/>
        </w:rPr>
        <w:t xml:space="preserve"> финансовых последствиях. Отображение процента выполнения позволит повысить наглядность и упростить процессы отслеживания и измерения; проведение оценки завершенных инициатив поможет оценить долгосрочную эффективность и определить области, требующие улучшения. По-прежнему сохраняется потребность в комплексной дорожной карте, плане работы и сроках выполнения. Один из Советников просит, чтобы в отчетах четко отражалось наличие связи инициатив с рекомендациями Внешнего аудитора. Учитывая финансовый климат, другой Советник предлагает отдавать приоритет инициативам, приносящим быстрые и ощутимые выгоды. Следует также рассмотреть количество, продолжительность, место и сферу охвата ежегодных собраний.</w:t>
      </w:r>
    </w:p>
    <w:p w14:paraId="6C56958A" w14:textId="5BD3F79C" w:rsidR="00C54406" w:rsidRPr="00BC3A70" w:rsidRDefault="00C54406" w:rsidP="00BD4C2C">
      <w:pPr>
        <w:jc w:val="both"/>
        <w:rPr>
          <w:lang w:val="ru-RU"/>
        </w:rPr>
      </w:pPr>
      <w:r w:rsidRPr="00BC3A70">
        <w:rPr>
          <w:lang w:val="ru-RU"/>
        </w:rPr>
        <w:t>4.4</w:t>
      </w:r>
      <w:r w:rsidRPr="00BC3A70">
        <w:rPr>
          <w:lang w:val="ru-RU"/>
        </w:rPr>
        <w:tab/>
        <w:t>Советники и один из наблюдателей повторно отмечают наличие потребности в современном, безопасном, хорошо структурированном, удобном для пользователя и многоязычном веб-сайте</w:t>
      </w:r>
      <w:r w:rsidR="00205ADD" w:rsidRPr="00BC3A70">
        <w:rPr>
          <w:lang w:val="ru-RU"/>
        </w:rPr>
        <w:t xml:space="preserve"> МСЭ</w:t>
      </w:r>
      <w:r w:rsidRPr="00BC3A70">
        <w:rPr>
          <w:lang w:val="ru-RU"/>
        </w:rPr>
        <w:t>. Одн</w:t>
      </w:r>
      <w:r w:rsidR="000E4998" w:rsidRPr="00BC3A70">
        <w:rPr>
          <w:lang w:val="ru-RU"/>
        </w:rPr>
        <w:t>а</w:t>
      </w:r>
      <w:r w:rsidRPr="00BC3A70">
        <w:rPr>
          <w:lang w:val="ru-RU"/>
        </w:rPr>
        <w:t xml:space="preserve"> из Советников утверждает, что существующая версия устарела и затрудняет доступ к информации. Несколько Советников просят представить разъяснения по вопросу о финансировании проекта, поскольку финансирование для его полного выполнения представляется неопределенным. Один из наблюдателей предлагает разработать приложение для мероприятий по аналогии с другими базирующимися в Женеве организациями.</w:t>
      </w:r>
    </w:p>
    <w:p w14:paraId="50B3CD50" w14:textId="66485803" w:rsidR="00C54406" w:rsidRPr="00BC3A70" w:rsidRDefault="00C54406" w:rsidP="00BD4C2C">
      <w:pPr>
        <w:jc w:val="both"/>
        <w:rPr>
          <w:lang w:val="ru-RU"/>
        </w:rPr>
      </w:pPr>
      <w:r w:rsidRPr="00BC3A70">
        <w:rPr>
          <w:lang w:val="ru-RU"/>
        </w:rPr>
        <w:t>4.5</w:t>
      </w:r>
      <w:r w:rsidRPr="00BC3A70">
        <w:rPr>
          <w:lang w:val="ru-RU"/>
        </w:rPr>
        <w:tab/>
        <w:t>Многие Советники подчеркивают важность обеспечения финансирования трансформации из регулярного бюджета</w:t>
      </w:r>
      <w:r w:rsidR="00205ADD" w:rsidRPr="00BC3A70">
        <w:rPr>
          <w:lang w:val="ru-RU"/>
        </w:rPr>
        <w:t>, а не за счет полученной экономии.</w:t>
      </w:r>
      <w:r w:rsidRPr="00BC3A70">
        <w:rPr>
          <w:lang w:val="ru-RU"/>
        </w:rPr>
        <w:t xml:space="preserve"> Учитывая</w:t>
      </w:r>
      <w:r w:rsidR="00AE0D88" w:rsidRPr="00BC3A70">
        <w:rPr>
          <w:lang w:val="ru-RU"/>
        </w:rPr>
        <w:t> </w:t>
      </w:r>
      <w:r w:rsidRPr="00BC3A70">
        <w:rPr>
          <w:lang w:val="ru-RU"/>
        </w:rPr>
        <w:t>значимость трансформации и ее потенциал в сфере экономии средств, для данного процесса необходимо предсказуемое финансирование. Одн</w:t>
      </w:r>
      <w:r w:rsidR="000E4998" w:rsidRPr="00BC3A70">
        <w:rPr>
          <w:lang w:val="ru-RU"/>
        </w:rPr>
        <w:t>а</w:t>
      </w:r>
      <w:r w:rsidRPr="00BC3A70">
        <w:rPr>
          <w:lang w:val="ru-RU"/>
        </w:rPr>
        <w:t xml:space="preserve"> из Советников отмечает, что рост краткосрочных инвестиций может привести к снижению долгосрочных затрат. </w:t>
      </w:r>
      <w:r w:rsidRPr="00BC3A70">
        <w:rPr>
          <w:lang w:val="ru-RU"/>
        </w:rPr>
        <w:lastRenderedPageBreak/>
        <w:t>Несколько</w:t>
      </w:r>
      <w:r w:rsidR="00187970" w:rsidRPr="00BC3A70">
        <w:rPr>
          <w:lang w:val="ru-RU"/>
        </w:rPr>
        <w:t> </w:t>
      </w:r>
      <w:r w:rsidRPr="00BC3A70">
        <w:rPr>
          <w:lang w:val="ru-RU"/>
        </w:rPr>
        <w:t>Советников также поддерживают финансирование проекта по созданию веб-сайта из регулярного бюджета.</w:t>
      </w:r>
    </w:p>
    <w:p w14:paraId="1CD84B69" w14:textId="48BBC881" w:rsidR="00C54406" w:rsidRPr="00BC3A70" w:rsidRDefault="00C54406" w:rsidP="00BD4C2C">
      <w:pPr>
        <w:jc w:val="both"/>
        <w:rPr>
          <w:lang w:val="ru-RU"/>
        </w:rPr>
      </w:pPr>
      <w:r w:rsidRPr="00BC3A70">
        <w:rPr>
          <w:lang w:val="ru-RU"/>
        </w:rPr>
        <w:t>4.6</w:t>
      </w:r>
      <w:r w:rsidRPr="00BC3A70">
        <w:rPr>
          <w:lang w:val="ru-RU"/>
        </w:rPr>
        <w:tab/>
        <w:t>Отвечая на вопросы и замечания, руководитель Группы по трансформации напоминает, что пятое основное направление трансформации было добавлено по итогам предложения, поступившего на собрании РГС-ФЛР в феврале 2025 года, об объединении в одну группу инициатив, направленных на привлечение к более активному участию. Она</w:t>
      </w:r>
      <w:r w:rsidR="00A52AC3" w:rsidRPr="00BC3A70">
        <w:rPr>
          <w:lang w:val="ru-RU"/>
        </w:rPr>
        <w:t> </w:t>
      </w:r>
      <w:r w:rsidRPr="00BC3A70">
        <w:rPr>
          <w:lang w:val="ru-RU"/>
        </w:rPr>
        <w:t>соглашается с тем, что для трансформации необходимы четкое видение и эффективная расстановка приоритетов</w:t>
      </w:r>
      <w:r w:rsidR="00976C14" w:rsidRPr="00BC3A70">
        <w:rPr>
          <w:lang w:val="ru-RU"/>
        </w:rPr>
        <w:t xml:space="preserve">. Она отмечает, что эти </w:t>
      </w:r>
      <w:r w:rsidRPr="00BC3A70">
        <w:rPr>
          <w:lang w:val="ru-RU"/>
        </w:rPr>
        <w:t>инициативы</w:t>
      </w:r>
      <w:r w:rsidR="00976C14" w:rsidRPr="00BC3A70">
        <w:rPr>
          <w:lang w:val="ru-RU"/>
        </w:rPr>
        <w:t xml:space="preserve"> </w:t>
      </w:r>
      <w:r w:rsidRPr="00BC3A70">
        <w:rPr>
          <w:lang w:val="ru-RU"/>
        </w:rPr>
        <w:t>даю</w:t>
      </w:r>
      <w:r w:rsidR="00976C14" w:rsidRPr="00BC3A70">
        <w:rPr>
          <w:lang w:val="ru-RU"/>
        </w:rPr>
        <w:t xml:space="preserve">т как осязаемые, так и неосязаемые </w:t>
      </w:r>
      <w:r w:rsidRPr="00BC3A70">
        <w:rPr>
          <w:lang w:val="ru-RU"/>
        </w:rPr>
        <w:t xml:space="preserve">результаты, </w:t>
      </w:r>
      <w:r w:rsidR="00976C14" w:rsidRPr="00BC3A70">
        <w:rPr>
          <w:lang w:val="ru-RU"/>
        </w:rPr>
        <w:t>такие как изменения в мышлении и организационной культуре</w:t>
      </w:r>
      <w:r w:rsidRPr="00BC3A70">
        <w:rPr>
          <w:lang w:val="ru-RU"/>
        </w:rPr>
        <w:t>. Оценка и отбор инициатив проводится на основе их бизнес-готовности, потребностей в ресурсах и ожидаемого воздействия, при этом ход осуществления инициатив отслеживается на протяжении всего срока реализации проекта. Потребности в финансировании проекта по созданию веб-сайта не изменились. Из утвержденного бюджета в размере 600</w:t>
      </w:r>
      <w:r w:rsidR="00DF666D" w:rsidRPr="00BC3A70">
        <w:rPr>
          <w:lang w:val="ru-RU"/>
        </w:rPr>
        <w:t> </w:t>
      </w:r>
      <w:r w:rsidRPr="00BC3A70">
        <w:rPr>
          <w:lang w:val="ru-RU"/>
        </w:rPr>
        <w:t>000</w:t>
      </w:r>
      <w:r w:rsidR="00DF666D" w:rsidRPr="00BC3A70">
        <w:rPr>
          <w:lang w:val="ru-RU"/>
        </w:rPr>
        <w:t> </w:t>
      </w:r>
      <w:r w:rsidRPr="00BC3A70">
        <w:rPr>
          <w:lang w:val="ru-RU"/>
        </w:rPr>
        <w:t>швейцарских франков 350</w:t>
      </w:r>
      <w:r w:rsidR="00187970" w:rsidRPr="00BC3A70">
        <w:rPr>
          <w:lang w:val="ru-RU"/>
        </w:rPr>
        <w:t> </w:t>
      </w:r>
      <w:r w:rsidRPr="00BC3A70">
        <w:rPr>
          <w:lang w:val="ru-RU"/>
        </w:rPr>
        <w:t>000 швейцарских франков уже выделены, а оставшиеся 250</w:t>
      </w:r>
      <w:r w:rsidR="00DF666D" w:rsidRPr="00BC3A70">
        <w:rPr>
          <w:lang w:val="ru-RU"/>
        </w:rPr>
        <w:t> </w:t>
      </w:r>
      <w:r w:rsidRPr="00BC3A70">
        <w:rPr>
          <w:lang w:val="ru-RU"/>
        </w:rPr>
        <w:t>000 швейцарских франков были запрошены из средств, сэкономленных в 2024</w:t>
      </w:r>
      <w:r w:rsidR="00A52AC3" w:rsidRPr="00BC3A70">
        <w:rPr>
          <w:lang w:val="ru-RU"/>
        </w:rPr>
        <w:t> </w:t>
      </w:r>
      <w:r w:rsidRPr="00BC3A70">
        <w:rPr>
          <w:lang w:val="ru-RU"/>
        </w:rPr>
        <w:t>году. Ожидается, что сайт начнет работать в 2026 году. Участие персонала действительно является ключом к трансформации, выходящей за пределы инструментов и систем и охватывающей организационную культуру. Программа повышения квалификации сотрудников уже началась, она включает работу с приложениями на основе ИИ и создание потенциала лидерства. ИИ</w:t>
      </w:r>
      <w:r w:rsidR="00DF666D" w:rsidRPr="00BC3A70">
        <w:rPr>
          <w:lang w:val="ru-RU"/>
        </w:rPr>
        <w:t> </w:t>
      </w:r>
      <w:r w:rsidRPr="00BC3A70">
        <w:rPr>
          <w:lang w:val="ru-RU"/>
        </w:rPr>
        <w:t>будет поддерживать работу персонала, а не замещать его. Планируется проведение информационн</w:t>
      </w:r>
      <w:r w:rsidR="00976C14" w:rsidRPr="00BC3A70">
        <w:rPr>
          <w:lang w:val="ru-RU"/>
        </w:rPr>
        <w:t>ой</w:t>
      </w:r>
      <w:r w:rsidRPr="00BC3A70">
        <w:rPr>
          <w:lang w:val="ru-RU"/>
        </w:rPr>
        <w:t xml:space="preserve"> сесси</w:t>
      </w:r>
      <w:r w:rsidR="00976C14" w:rsidRPr="00BC3A70">
        <w:rPr>
          <w:lang w:val="ru-RU"/>
        </w:rPr>
        <w:t>и</w:t>
      </w:r>
      <w:r w:rsidRPr="00BC3A70">
        <w:rPr>
          <w:lang w:val="ru-RU"/>
        </w:rPr>
        <w:t xml:space="preserve"> для Государств-Членов, а конкретный контент может быть предоставлен по запросу.</w:t>
      </w:r>
    </w:p>
    <w:p w14:paraId="30D1AA5A" w14:textId="77777777" w:rsidR="00C54406" w:rsidRPr="00BD4C2C" w:rsidRDefault="00C54406" w:rsidP="00BD4C2C">
      <w:pPr>
        <w:jc w:val="both"/>
        <w:rPr>
          <w:spacing w:val="-2"/>
          <w:lang w:val="ru-RU"/>
        </w:rPr>
      </w:pPr>
      <w:r w:rsidRPr="00BD4C2C">
        <w:rPr>
          <w:spacing w:val="-2"/>
          <w:lang w:val="ru-RU"/>
        </w:rPr>
        <w:t>4.7</w:t>
      </w:r>
      <w:r w:rsidRPr="00BD4C2C">
        <w:rPr>
          <w:spacing w:val="-2"/>
          <w:lang w:val="ru-RU"/>
        </w:rPr>
        <w:tab/>
        <w:t>Руководитель Департамента администрирования и финансов отмечает, что в отсутствие значительного первоначального бюджета на трансформацию было принято решение о внедрении портфельного подхода к управлению данным проектом. Этот подход предполагает строгую расстановку приоритетов и опирается на такие параметры, как срочность, доступные внутренние ресурсы и объем затрат на полное выполнение. Хотя этот подход не полностью соответствует процедуре составления бюджета на двухгодичный период, он позволяет эффективно использовать сэкономленные средства. В ответ на представленные вклады Советников Секретариат изучит вопрос о том, как обеспечить финансирование процесса трансформации из регулярного бюджета, хотя это и потребует дальнейшей приоритизации и внесения изменений в двухгодичный бюджет. Взаимодействие Секретариата с Государствами-Членами по вопросам определения приоритетов возможно через РГС-ФЛР; пока же сэкономленные средства могут быть использованы для реализации ключевых инициатив на 2025 год.</w:t>
      </w:r>
    </w:p>
    <w:p w14:paraId="768102CD" w14:textId="77777777" w:rsidR="00C54406" w:rsidRPr="00BC3A70" w:rsidRDefault="00C54406" w:rsidP="00C54406">
      <w:pPr>
        <w:rPr>
          <w:lang w:val="ru-RU"/>
        </w:rPr>
      </w:pPr>
      <w:r w:rsidRPr="00BC3A70">
        <w:rPr>
          <w:lang w:val="ru-RU"/>
        </w:rPr>
        <w:t>4.8</w:t>
      </w:r>
      <w:r w:rsidRPr="00BC3A70">
        <w:rPr>
          <w:lang w:val="ru-RU"/>
        </w:rPr>
        <w:tab/>
        <w:t xml:space="preserve">Совет </w:t>
      </w:r>
      <w:r w:rsidRPr="00BC3A70">
        <w:rPr>
          <w:b/>
          <w:bCs/>
          <w:lang w:val="ru-RU"/>
        </w:rPr>
        <w:t>принимает к сведению</w:t>
      </w:r>
      <w:r w:rsidRPr="00BC3A70">
        <w:rPr>
          <w:lang w:val="ru-RU"/>
        </w:rPr>
        <w:t xml:space="preserve"> отчет, содержащийся в Документе C25/55.</w:t>
      </w:r>
    </w:p>
    <w:p w14:paraId="4E5576F2" w14:textId="77777777" w:rsidR="00C54406" w:rsidRPr="00BC3A70" w:rsidRDefault="00C54406" w:rsidP="00C54406">
      <w:pPr>
        <w:pStyle w:val="Heading1"/>
        <w:rPr>
          <w:lang w:val="ru-RU"/>
        </w:rPr>
      </w:pPr>
      <w:r w:rsidRPr="00BC3A70">
        <w:rPr>
          <w:bCs/>
          <w:lang w:val="ru-RU"/>
        </w:rPr>
        <w:t>5</w:t>
      </w:r>
      <w:r w:rsidRPr="00BC3A70">
        <w:rPr>
          <w:lang w:val="ru-RU"/>
        </w:rPr>
        <w:tab/>
      </w:r>
      <w:r w:rsidRPr="00BC3A70">
        <w:rPr>
          <w:bCs/>
          <w:lang w:val="ru-RU"/>
        </w:rPr>
        <w:t>Меры по повышению эффективности, принятые в 2023−2024 годах, и планы на будущее (Документ</w:t>
      </w:r>
      <w:r w:rsidRPr="00BC3A70">
        <w:rPr>
          <w:lang w:val="ru-RU"/>
        </w:rPr>
        <w:t xml:space="preserve"> </w:t>
      </w:r>
      <w:hyperlink r:id="rId26" w:history="1">
        <w:proofErr w:type="spellStart"/>
        <w:r w:rsidRPr="00BC3A70">
          <w:rPr>
            <w:rStyle w:val="Hyperlink"/>
            <w:lang w:val="ru-RU"/>
          </w:rPr>
          <w:t>C25</w:t>
        </w:r>
        <w:proofErr w:type="spellEnd"/>
        <w:r w:rsidRPr="00BC3A70">
          <w:rPr>
            <w:rStyle w:val="Hyperlink"/>
            <w:lang w:val="ru-RU"/>
          </w:rPr>
          <w:t>/62</w:t>
        </w:r>
      </w:hyperlink>
      <w:r w:rsidRPr="00BC3A70">
        <w:rPr>
          <w:lang w:val="ru-RU"/>
        </w:rPr>
        <w:t>)</w:t>
      </w:r>
      <w:hyperlink r:id="rId27" w:history="1"/>
    </w:p>
    <w:p w14:paraId="3FC10126" w14:textId="5AF2FE77" w:rsidR="00C54406" w:rsidRPr="00BC3A70" w:rsidRDefault="00C54406" w:rsidP="00BD4C2C">
      <w:pPr>
        <w:jc w:val="both"/>
        <w:rPr>
          <w:b/>
          <w:bCs/>
          <w:lang w:val="ru-RU"/>
        </w:rPr>
      </w:pPr>
      <w:r w:rsidRPr="00BC3A70">
        <w:rPr>
          <w:lang w:val="ru-RU"/>
        </w:rPr>
        <w:t>5.1</w:t>
      </w:r>
      <w:r w:rsidRPr="00BC3A70">
        <w:rPr>
          <w:lang w:val="ru-RU"/>
        </w:rPr>
        <w:tab/>
        <w:t>Руководитель Департамента финансов и администрирования представляет Документ</w:t>
      </w:r>
      <w:r w:rsidR="00A52AC3" w:rsidRPr="00BC3A70">
        <w:rPr>
          <w:lang w:val="ru-RU"/>
        </w:rPr>
        <w:t> </w:t>
      </w:r>
      <w:r w:rsidRPr="00BC3A70">
        <w:rPr>
          <w:lang w:val="ru-RU"/>
        </w:rPr>
        <w:t>C25/62, в котором изложены меры по повышению эффективности, принятые в 2023 и 2024</w:t>
      </w:r>
      <w:r w:rsidR="00A52AC3" w:rsidRPr="00BC3A70">
        <w:rPr>
          <w:lang w:val="ru-RU"/>
        </w:rPr>
        <w:t> </w:t>
      </w:r>
      <w:r w:rsidRPr="00BC3A70">
        <w:rPr>
          <w:lang w:val="ru-RU"/>
        </w:rPr>
        <w:t>годах, а также планы на будущее по поддержанию эффективности деятельности Союза в условиях сокращения ресурсов. Данная задача послужила стимулом для проведения реформ в рамках всего МСЭ, в частности для инициативы по трансформации, что позволяет повысить эффективность деятельности и подотчетность. В связи с недавними инициативами Организации Объединенных Наций данные реформы оказались в более широком, глобальном контексте. В отчете подробно описываются меры по оптимизации структуры и процессов, финансовой трансформации, модернизации информационных технологий и управлению людскими ресурсами, направленные на то, чтобы МСЭ соответствовала своему назначению и требованиям будущего. Заключение без оговорок, вынесенное Внешним аудитором, свидетельствует о том, что эти меры уже приносят свои плоды.</w:t>
      </w:r>
    </w:p>
    <w:p w14:paraId="6A55E379" w14:textId="77777777" w:rsidR="00C54406" w:rsidRPr="00BC3A70" w:rsidRDefault="00C54406" w:rsidP="00BD4C2C">
      <w:pPr>
        <w:jc w:val="both"/>
        <w:rPr>
          <w:lang w:val="ru-RU"/>
        </w:rPr>
      </w:pPr>
      <w:r w:rsidRPr="00BC3A70">
        <w:rPr>
          <w:lang w:val="ru-RU"/>
        </w:rPr>
        <w:lastRenderedPageBreak/>
        <w:t>5.2</w:t>
      </w:r>
      <w:r w:rsidRPr="00BC3A70">
        <w:rPr>
          <w:lang w:val="ru-RU"/>
        </w:rPr>
        <w:tab/>
        <w:t>Председатель предлагает передать этот документ для обсуждения в Комитет ADM.</w:t>
      </w:r>
    </w:p>
    <w:p w14:paraId="7C047C89" w14:textId="77777777" w:rsidR="00C54406" w:rsidRPr="00BC3A70" w:rsidRDefault="00C54406" w:rsidP="00C54406">
      <w:pPr>
        <w:rPr>
          <w:lang w:val="ru-RU"/>
        </w:rPr>
      </w:pPr>
      <w:r w:rsidRPr="00BC3A70">
        <w:rPr>
          <w:lang w:val="ru-RU"/>
        </w:rPr>
        <w:t>5.3</w:t>
      </w:r>
      <w:r w:rsidRPr="00BC3A70">
        <w:rPr>
          <w:lang w:val="ru-RU"/>
        </w:rPr>
        <w:tab/>
        <w:t xml:space="preserve">Предложение </w:t>
      </w:r>
      <w:r w:rsidRPr="00BC3A70">
        <w:rPr>
          <w:b/>
          <w:bCs/>
          <w:lang w:val="ru-RU"/>
        </w:rPr>
        <w:t>принимается</w:t>
      </w:r>
      <w:r w:rsidRPr="00BC3A70">
        <w:rPr>
          <w:lang w:val="ru-RU"/>
        </w:rPr>
        <w:t>.</w:t>
      </w:r>
    </w:p>
    <w:p w14:paraId="532A7CF8" w14:textId="77777777" w:rsidR="00C54406" w:rsidRPr="00BC3A70" w:rsidRDefault="00C54406" w:rsidP="00C54406">
      <w:pPr>
        <w:pStyle w:val="Heading1"/>
        <w:rPr>
          <w:lang w:val="ru-RU"/>
        </w:rPr>
      </w:pPr>
      <w:r w:rsidRPr="00BC3A70">
        <w:rPr>
          <w:lang w:val="ru-RU"/>
        </w:rPr>
        <w:t>6</w:t>
      </w:r>
      <w:r w:rsidRPr="00BC3A70">
        <w:rPr>
          <w:lang w:val="ru-RU"/>
        </w:rPr>
        <w:tab/>
        <w:t>Заявления Советников</w:t>
      </w:r>
    </w:p>
    <w:p w14:paraId="200910D6" w14:textId="77777777" w:rsidR="00C54406" w:rsidRPr="00BC3A70" w:rsidRDefault="00C54406" w:rsidP="00BD4C2C">
      <w:pPr>
        <w:jc w:val="both"/>
        <w:rPr>
          <w:lang w:val="ru-RU"/>
        </w:rPr>
      </w:pPr>
      <w:r w:rsidRPr="00BC3A70">
        <w:rPr>
          <w:lang w:val="ru-RU"/>
        </w:rPr>
        <w:t>6.1</w:t>
      </w:r>
      <w:r w:rsidRPr="00BC3A70">
        <w:rPr>
          <w:lang w:val="ru-RU"/>
        </w:rPr>
        <w:tab/>
        <w:t>Советник от Соединенного Королевства объявляет о выдвижении кандидатуры своей страны для переизбрания в Совет.</w:t>
      </w:r>
    </w:p>
    <w:p w14:paraId="16D793F2" w14:textId="77777777" w:rsidR="00C54406" w:rsidRPr="00BC3A70" w:rsidRDefault="00C54406" w:rsidP="00A52AC3">
      <w:pPr>
        <w:tabs>
          <w:tab w:val="left" w:pos="6237"/>
        </w:tabs>
        <w:spacing w:before="720"/>
        <w:jc w:val="both"/>
        <w:rPr>
          <w:szCs w:val="24"/>
          <w:lang w:val="ru-RU"/>
        </w:rPr>
      </w:pPr>
      <w:r w:rsidRPr="00BC3A70">
        <w:rPr>
          <w:lang w:val="ru-RU"/>
        </w:rPr>
        <w:t>Генеральный секретарь:</w:t>
      </w:r>
      <w:r w:rsidRPr="00BC3A70">
        <w:rPr>
          <w:lang w:val="ru-RU"/>
        </w:rPr>
        <w:tab/>
        <w:t>Председатель:</w:t>
      </w:r>
    </w:p>
    <w:p w14:paraId="67537936" w14:textId="214A6FE7" w:rsidR="00C54406" w:rsidRPr="00BC3A70" w:rsidRDefault="00C54406" w:rsidP="00A52AC3">
      <w:pPr>
        <w:tabs>
          <w:tab w:val="left" w:pos="6237"/>
        </w:tabs>
        <w:spacing w:before="0" w:after="120"/>
        <w:jc w:val="both"/>
        <w:rPr>
          <w:szCs w:val="24"/>
          <w:lang w:val="ru-RU"/>
        </w:rPr>
      </w:pPr>
      <w:r w:rsidRPr="00BC3A70">
        <w:rPr>
          <w:lang w:val="ru-RU"/>
        </w:rPr>
        <w:t>Д. БОГДАН-МАРТИН</w:t>
      </w:r>
      <w:r w:rsidRPr="00BC3A70">
        <w:rPr>
          <w:lang w:val="ru-RU"/>
        </w:rPr>
        <w:tab/>
      </w:r>
      <w:r w:rsidRPr="00BC3A70">
        <w:rPr>
          <w:lang w:val="ru-RU"/>
        </w:rPr>
        <w:tab/>
        <w:t>К. ФЛУТУР</w:t>
      </w:r>
    </w:p>
    <w:sectPr w:rsidR="00C54406" w:rsidRPr="00BC3A70" w:rsidSect="00796BD3">
      <w:footerReference w:type="default" r:id="rId28"/>
      <w:headerReference w:type="first" r:id="rId29"/>
      <w:footerReference w:type="first" r:id="rId3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DE0C" w14:textId="77777777" w:rsidR="00B76801" w:rsidRDefault="00B76801">
      <w:r>
        <w:separator/>
      </w:r>
    </w:p>
  </w:endnote>
  <w:endnote w:type="continuationSeparator" w:id="0">
    <w:p w14:paraId="0D6694D8" w14:textId="77777777" w:rsidR="00B76801" w:rsidRDefault="00B7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2DF9C12D" w14:textId="77777777" w:rsidTr="00E31DCE">
      <w:trPr>
        <w:jc w:val="center"/>
      </w:trPr>
      <w:tc>
        <w:tcPr>
          <w:tcW w:w="1803" w:type="dxa"/>
          <w:vAlign w:val="center"/>
        </w:tcPr>
        <w:p w14:paraId="46C8C63A" w14:textId="7E481031" w:rsidR="00672F8A" w:rsidRDefault="00672F8A" w:rsidP="00672F8A">
          <w:pPr>
            <w:pStyle w:val="Header"/>
            <w:jc w:val="left"/>
            <w:rPr>
              <w:noProof/>
            </w:rPr>
          </w:pPr>
        </w:p>
      </w:tc>
      <w:tc>
        <w:tcPr>
          <w:tcW w:w="8261" w:type="dxa"/>
        </w:tcPr>
        <w:p w14:paraId="1F698400" w14:textId="1FD30A8A"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345D2A">
            <w:rPr>
              <w:bCs/>
            </w:rPr>
            <w:t>5</w:t>
          </w:r>
          <w:proofErr w:type="spellEnd"/>
          <w:r w:rsidRPr="00623AE3">
            <w:rPr>
              <w:bCs/>
            </w:rPr>
            <w:t>/</w:t>
          </w:r>
          <w:r w:rsidR="00C54406">
            <w:rPr>
              <w:bCs/>
            </w:rPr>
            <w:t>107</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174B8A2"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F0A90CB" w14:textId="77777777" w:rsidTr="00E31DCE">
      <w:trPr>
        <w:jc w:val="center"/>
      </w:trPr>
      <w:tc>
        <w:tcPr>
          <w:tcW w:w="1803" w:type="dxa"/>
          <w:vAlign w:val="center"/>
        </w:tcPr>
        <w:p w14:paraId="27D68D37" w14:textId="77777777" w:rsidR="00672F8A" w:rsidRDefault="00D631AA" w:rsidP="00672F8A">
          <w:pPr>
            <w:pStyle w:val="Header"/>
            <w:jc w:val="left"/>
            <w:rPr>
              <w:noProof/>
            </w:rPr>
          </w:pPr>
          <w:proofErr w:type="spellStart"/>
          <w:r w:rsidRPr="00D631AA">
            <w:rPr>
              <w:color w:val="0563C1"/>
              <w:szCs w:val="14"/>
            </w:rPr>
            <w:t>council.itu.int</w:t>
          </w:r>
          <w:proofErr w:type="spellEnd"/>
          <w:r w:rsidRPr="00D631AA">
            <w:rPr>
              <w:color w:val="0563C1"/>
              <w:szCs w:val="14"/>
            </w:rPr>
            <w:t>/2025</w:t>
          </w:r>
        </w:p>
      </w:tc>
      <w:tc>
        <w:tcPr>
          <w:tcW w:w="8261" w:type="dxa"/>
        </w:tcPr>
        <w:p w14:paraId="6CF4310C" w14:textId="218A36C9"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345D2A">
            <w:rPr>
              <w:bCs/>
            </w:rPr>
            <w:t>5</w:t>
          </w:r>
          <w:proofErr w:type="spellEnd"/>
          <w:r w:rsidRPr="00623AE3">
            <w:rPr>
              <w:bCs/>
            </w:rPr>
            <w:t>/</w:t>
          </w:r>
          <w:r w:rsidR="00C54406">
            <w:rPr>
              <w:bCs/>
            </w:rPr>
            <w:t>107</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0361AA45"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445E" w14:textId="77777777" w:rsidR="00B76801" w:rsidRDefault="00B76801">
      <w:r>
        <w:t>____________________</w:t>
      </w:r>
    </w:p>
  </w:footnote>
  <w:footnote w:type="continuationSeparator" w:id="0">
    <w:p w14:paraId="7F170439" w14:textId="77777777" w:rsidR="00B76801" w:rsidRDefault="00B7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156890" w:rsidRPr="00784011" w14:paraId="14693E03" w14:textId="77777777" w:rsidTr="00156890">
      <w:trPr>
        <w:trHeight w:val="1104"/>
        <w:jc w:val="center"/>
      </w:trPr>
      <w:tc>
        <w:tcPr>
          <w:tcW w:w="6359" w:type="dxa"/>
          <w:vAlign w:val="center"/>
        </w:tcPr>
        <w:p w14:paraId="73B24687" w14:textId="77777777" w:rsidR="00156890" w:rsidRDefault="00156890"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73213962" wp14:editId="5CA34A47">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1948AEDE" w14:textId="77777777" w:rsidR="00156890" w:rsidRDefault="00156890" w:rsidP="00796BD3">
          <w:pPr>
            <w:pStyle w:val="Header"/>
            <w:jc w:val="right"/>
            <w:rPr>
              <w:rFonts w:ascii="Arial" w:hAnsi="Arial" w:cs="Arial"/>
              <w:b/>
              <w:bCs/>
              <w:color w:val="009CD6"/>
              <w:szCs w:val="18"/>
            </w:rPr>
          </w:pPr>
        </w:p>
      </w:tc>
    </w:tr>
  </w:tbl>
  <w:p w14:paraId="247CB7E2" w14:textId="77777777" w:rsidR="0014229E" w:rsidRDefault="00796BD3"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F65725C" wp14:editId="71E13B30">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B4B28"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06"/>
    <w:rsid w:val="00005BE0"/>
    <w:rsid w:val="0002183E"/>
    <w:rsid w:val="000569B4"/>
    <w:rsid w:val="0006007D"/>
    <w:rsid w:val="00080E82"/>
    <w:rsid w:val="000B2DE7"/>
    <w:rsid w:val="000E4998"/>
    <w:rsid w:val="000E568E"/>
    <w:rsid w:val="000F1FEF"/>
    <w:rsid w:val="0014229E"/>
    <w:rsid w:val="0014734F"/>
    <w:rsid w:val="00156890"/>
    <w:rsid w:val="0015710D"/>
    <w:rsid w:val="00163A32"/>
    <w:rsid w:val="00165D06"/>
    <w:rsid w:val="00187970"/>
    <w:rsid w:val="00192B41"/>
    <w:rsid w:val="001B7B09"/>
    <w:rsid w:val="001E6719"/>
    <w:rsid w:val="001E7F50"/>
    <w:rsid w:val="00205ADD"/>
    <w:rsid w:val="00225368"/>
    <w:rsid w:val="0022553F"/>
    <w:rsid w:val="00227FF0"/>
    <w:rsid w:val="00267B72"/>
    <w:rsid w:val="00291EB6"/>
    <w:rsid w:val="002A1EE9"/>
    <w:rsid w:val="002C3F32"/>
    <w:rsid w:val="002D2F57"/>
    <w:rsid w:val="002D48C5"/>
    <w:rsid w:val="002F123E"/>
    <w:rsid w:val="0033025A"/>
    <w:rsid w:val="00345D2A"/>
    <w:rsid w:val="003D6F72"/>
    <w:rsid w:val="003E448F"/>
    <w:rsid w:val="003F099E"/>
    <w:rsid w:val="003F235E"/>
    <w:rsid w:val="003F30F3"/>
    <w:rsid w:val="00401FD7"/>
    <w:rsid w:val="004023E0"/>
    <w:rsid w:val="00403DD8"/>
    <w:rsid w:val="00442515"/>
    <w:rsid w:val="0045686C"/>
    <w:rsid w:val="004814A8"/>
    <w:rsid w:val="004918C4"/>
    <w:rsid w:val="00497703"/>
    <w:rsid w:val="004A0374"/>
    <w:rsid w:val="004A45B5"/>
    <w:rsid w:val="004D0129"/>
    <w:rsid w:val="00515795"/>
    <w:rsid w:val="005A64D5"/>
    <w:rsid w:val="005B3DEC"/>
    <w:rsid w:val="00601994"/>
    <w:rsid w:val="00631D2B"/>
    <w:rsid w:val="00660449"/>
    <w:rsid w:val="00672F8A"/>
    <w:rsid w:val="006E2D42"/>
    <w:rsid w:val="00703676"/>
    <w:rsid w:val="00707304"/>
    <w:rsid w:val="00732269"/>
    <w:rsid w:val="00762555"/>
    <w:rsid w:val="0077110E"/>
    <w:rsid w:val="00785ABD"/>
    <w:rsid w:val="00796BD3"/>
    <w:rsid w:val="007A2DD4"/>
    <w:rsid w:val="007D38B5"/>
    <w:rsid w:val="007E7EA0"/>
    <w:rsid w:val="00807255"/>
    <w:rsid w:val="0081023E"/>
    <w:rsid w:val="008173AA"/>
    <w:rsid w:val="00827C04"/>
    <w:rsid w:val="00840A14"/>
    <w:rsid w:val="00864A60"/>
    <w:rsid w:val="008B62B4"/>
    <w:rsid w:val="008D2D7B"/>
    <w:rsid w:val="008E0737"/>
    <w:rsid w:val="008F7C2C"/>
    <w:rsid w:val="00940E96"/>
    <w:rsid w:val="00950A82"/>
    <w:rsid w:val="00976C14"/>
    <w:rsid w:val="009B0BAE"/>
    <w:rsid w:val="009B38FE"/>
    <w:rsid w:val="009C1C89"/>
    <w:rsid w:val="009F3448"/>
    <w:rsid w:val="00A01CF9"/>
    <w:rsid w:val="00A20B63"/>
    <w:rsid w:val="00A52AC3"/>
    <w:rsid w:val="00A71773"/>
    <w:rsid w:val="00AD6BD7"/>
    <w:rsid w:val="00AE0D88"/>
    <w:rsid w:val="00AE2C85"/>
    <w:rsid w:val="00B0107F"/>
    <w:rsid w:val="00B10DE1"/>
    <w:rsid w:val="00B12A37"/>
    <w:rsid w:val="00B41837"/>
    <w:rsid w:val="00B63EF2"/>
    <w:rsid w:val="00B76801"/>
    <w:rsid w:val="00BA7D89"/>
    <w:rsid w:val="00BC0D39"/>
    <w:rsid w:val="00BC3A70"/>
    <w:rsid w:val="00BC7BC0"/>
    <w:rsid w:val="00BD4C2C"/>
    <w:rsid w:val="00BD57B7"/>
    <w:rsid w:val="00BD64FD"/>
    <w:rsid w:val="00BE63E2"/>
    <w:rsid w:val="00C27556"/>
    <w:rsid w:val="00C462C5"/>
    <w:rsid w:val="00C54406"/>
    <w:rsid w:val="00CD2009"/>
    <w:rsid w:val="00CF629C"/>
    <w:rsid w:val="00D631AA"/>
    <w:rsid w:val="00D92EEA"/>
    <w:rsid w:val="00DA5D4E"/>
    <w:rsid w:val="00DA770A"/>
    <w:rsid w:val="00DF666D"/>
    <w:rsid w:val="00E05752"/>
    <w:rsid w:val="00E176BA"/>
    <w:rsid w:val="00E423EC"/>
    <w:rsid w:val="00E55121"/>
    <w:rsid w:val="00EB4FCB"/>
    <w:rsid w:val="00EC0463"/>
    <w:rsid w:val="00EC6BC5"/>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AFC88"/>
  <w15:docId w15:val="{34EDC239-6260-42A8-9C7B-5CCAF501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40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814A8"/>
    <w:rPr>
      <w:color w:val="0070C0"/>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47/en" TargetMode="External"/><Relationship Id="rId13" Type="http://schemas.openxmlformats.org/officeDocument/2006/relationships/hyperlink" Target="https://www.itu.int/md/S25-CL-C-0062/en" TargetMode="External"/><Relationship Id="rId18" Type="http://schemas.openxmlformats.org/officeDocument/2006/relationships/hyperlink" Target="https://www.itu.int/md/S25-CL-C-0028/en" TargetMode="External"/><Relationship Id="rId26" Type="http://schemas.openxmlformats.org/officeDocument/2006/relationships/hyperlink" Target="https://www.itu.int/md/S25-CL-C-0062/en" TargetMode="External"/><Relationship Id="rId3" Type="http://schemas.openxmlformats.org/officeDocument/2006/relationships/settings" Target="settings.xml"/><Relationship Id="rId21" Type="http://schemas.openxmlformats.org/officeDocument/2006/relationships/hyperlink" Target="https://www.itu.int/md/S25-CL-C-0047/en" TargetMode="External"/><Relationship Id="rId7" Type="http://schemas.openxmlformats.org/officeDocument/2006/relationships/hyperlink" Target="https://www.itu.int/md/S25-CL-C-0028/en" TargetMode="External"/><Relationship Id="rId12" Type="http://schemas.openxmlformats.org/officeDocument/2006/relationships/hyperlink" Target="https://www.itu.int/md/S25-CL-C-0035/en" TargetMode="External"/><Relationship Id="rId17" Type="http://schemas.openxmlformats.org/officeDocument/2006/relationships/hyperlink" Target="https://www.itu.int/md/S25-CL-C-0028/en" TargetMode="External"/><Relationship Id="rId25" Type="http://schemas.openxmlformats.org/officeDocument/2006/relationships/hyperlink" Target="https://www.itu.int/md/S25-CL-C-0055/en" TargetMode="External"/><Relationship Id="rId2" Type="http://schemas.openxmlformats.org/officeDocument/2006/relationships/styles" Target="styles.xml"/><Relationship Id="rId16" Type="http://schemas.openxmlformats.org/officeDocument/2006/relationships/hyperlink" Target="https://www.itu.int/md/S25-CL-C-0055/en" TargetMode="External"/><Relationship Id="rId20" Type="http://schemas.openxmlformats.org/officeDocument/2006/relationships/hyperlink" Target="https://www.itu.int/md/S25-CL-C-0047/e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35/en" TargetMode="External"/><Relationship Id="rId24" Type="http://schemas.openxmlformats.org/officeDocument/2006/relationships/hyperlink" Target="https://www.itu.int/md/S25-CL-C-0055/e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S25-CL-C-0062/en" TargetMode="External"/><Relationship Id="rId23" Type="http://schemas.openxmlformats.org/officeDocument/2006/relationships/hyperlink" Target="https://www.itu.int/md/S25-CL-C-0064/en" TargetMode="External"/><Relationship Id="rId28" Type="http://schemas.openxmlformats.org/officeDocument/2006/relationships/footer" Target="footer1.xml"/><Relationship Id="rId10" Type="http://schemas.openxmlformats.org/officeDocument/2006/relationships/hyperlink" Target="https://www.itu.int/md/S25-CL-C-0062/en" TargetMode="External"/><Relationship Id="rId19" Type="http://schemas.openxmlformats.org/officeDocument/2006/relationships/hyperlink" Target="https://www.itu.int/md/S25-CL-C-0047/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md/S25-CL-C-0055/en" TargetMode="External"/><Relationship Id="rId14" Type="http://schemas.openxmlformats.org/officeDocument/2006/relationships/hyperlink" Target="https://www.itu.int/md/S25-CL-C-0055/en" TargetMode="External"/><Relationship Id="rId22" Type="http://schemas.openxmlformats.org/officeDocument/2006/relationships/hyperlink" Target="https://www.itu.int/md/S25-CL-C-0064/en" TargetMode="External"/><Relationship Id="rId27" Type="http://schemas.openxmlformats.org/officeDocument/2006/relationships/hyperlink" Target="https://www.itu.int/md/S25-CL-C-0062/en"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GS\PR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PR_Council25.dotx</Template>
  <TotalTime>0</TotalTime>
  <Pages>8</Pages>
  <Words>2953</Words>
  <Characters>22444</Characters>
  <Application>Microsoft Office Word</Application>
  <DocSecurity>0</DocSecurity>
  <Lines>187</Lines>
  <Paragraphs>50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25347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first Plenary meeting</dc:title>
  <dc:subject>ITU Council 2025</dc:subject>
  <cp:keywords>C2025, C25, Council-25</cp:keywords>
  <dc:description/>
  <cp:lastPrinted>2006-03-28T16:12:00Z</cp:lastPrinted>
  <dcterms:created xsi:type="dcterms:W3CDTF">2025-08-15T10:05:00Z</dcterms:created>
  <dcterms:modified xsi:type="dcterms:W3CDTF">2025-08-15T10:05:00Z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