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17645" w14:paraId="0043AC80" w14:textId="77777777" w:rsidTr="00AD3606">
        <w:trPr>
          <w:cantSplit/>
          <w:trHeight w:val="23"/>
        </w:trPr>
        <w:tc>
          <w:tcPr>
            <w:tcW w:w="3969" w:type="dxa"/>
            <w:vMerge w:val="restart"/>
            <w:tcMar>
              <w:left w:w="0" w:type="dxa"/>
            </w:tcMar>
          </w:tcPr>
          <w:p w14:paraId="60A806D3" w14:textId="33A86F31" w:rsidR="00AD3606" w:rsidRPr="0021764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BC374B9" w:rsidR="00AD3606" w:rsidRPr="00217645" w:rsidRDefault="00AD3606" w:rsidP="00472BAD">
            <w:pPr>
              <w:tabs>
                <w:tab w:val="left" w:pos="851"/>
              </w:tabs>
              <w:spacing w:before="0" w:line="240" w:lineRule="atLeast"/>
              <w:jc w:val="right"/>
              <w:rPr>
                <w:b/>
              </w:rPr>
            </w:pPr>
            <w:r w:rsidRPr="00217645">
              <w:rPr>
                <w:b/>
              </w:rPr>
              <w:t xml:space="preserve">Document </w:t>
            </w:r>
            <w:proofErr w:type="spellStart"/>
            <w:r w:rsidRPr="00217645">
              <w:rPr>
                <w:b/>
              </w:rPr>
              <w:t>C2</w:t>
            </w:r>
            <w:r w:rsidR="000C76A9" w:rsidRPr="00217645">
              <w:rPr>
                <w:b/>
              </w:rPr>
              <w:t>5</w:t>
            </w:r>
            <w:proofErr w:type="spellEnd"/>
            <w:r w:rsidRPr="00217645">
              <w:rPr>
                <w:b/>
              </w:rPr>
              <w:t>/</w:t>
            </w:r>
            <w:r w:rsidR="00EE2977">
              <w:rPr>
                <w:b/>
              </w:rPr>
              <w:t>107</w:t>
            </w:r>
            <w:r w:rsidRPr="00217645">
              <w:rPr>
                <w:b/>
              </w:rPr>
              <w:t>-E</w:t>
            </w:r>
          </w:p>
        </w:tc>
      </w:tr>
      <w:tr w:rsidR="00AD3606" w:rsidRPr="00217645" w14:paraId="789B45BA" w14:textId="77777777" w:rsidTr="00AD3606">
        <w:trPr>
          <w:cantSplit/>
        </w:trPr>
        <w:tc>
          <w:tcPr>
            <w:tcW w:w="3969" w:type="dxa"/>
            <w:vMerge/>
          </w:tcPr>
          <w:p w14:paraId="3F3D4E17" w14:textId="77777777" w:rsidR="00AD3606" w:rsidRPr="0021764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33043E83" w:rsidR="00AD3606" w:rsidRPr="00217645" w:rsidRDefault="000B0B79" w:rsidP="00AD3606">
            <w:pPr>
              <w:tabs>
                <w:tab w:val="left" w:pos="851"/>
              </w:tabs>
              <w:spacing w:before="0"/>
              <w:jc w:val="right"/>
              <w:rPr>
                <w:b/>
              </w:rPr>
            </w:pPr>
            <w:r>
              <w:rPr>
                <w:b/>
              </w:rPr>
              <w:t>15</w:t>
            </w:r>
            <w:r w:rsidR="00452606">
              <w:rPr>
                <w:b/>
              </w:rPr>
              <w:t xml:space="preserve"> </w:t>
            </w:r>
            <w:r w:rsidR="008B4B7F">
              <w:rPr>
                <w:b/>
              </w:rPr>
              <w:t>August</w:t>
            </w:r>
            <w:r w:rsidR="00611253" w:rsidRPr="00217645">
              <w:rPr>
                <w:b/>
              </w:rPr>
              <w:t xml:space="preserve"> </w:t>
            </w:r>
            <w:r w:rsidR="00AD3606" w:rsidRPr="00217645">
              <w:rPr>
                <w:b/>
              </w:rPr>
              <w:t>202</w:t>
            </w:r>
            <w:r w:rsidR="000C76A9" w:rsidRPr="00217645">
              <w:rPr>
                <w:b/>
              </w:rPr>
              <w:t>5</w:t>
            </w:r>
          </w:p>
        </w:tc>
      </w:tr>
      <w:tr w:rsidR="00AD3606" w:rsidRPr="00217645" w14:paraId="58A84C4A" w14:textId="77777777" w:rsidTr="00AD3606">
        <w:trPr>
          <w:cantSplit/>
          <w:trHeight w:val="23"/>
        </w:trPr>
        <w:tc>
          <w:tcPr>
            <w:tcW w:w="3969" w:type="dxa"/>
            <w:vMerge/>
          </w:tcPr>
          <w:p w14:paraId="77CEDDAA" w14:textId="77777777" w:rsidR="00AD3606" w:rsidRPr="00217645"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217645" w:rsidRDefault="00AD3606" w:rsidP="00AD3606">
            <w:pPr>
              <w:tabs>
                <w:tab w:val="left" w:pos="851"/>
              </w:tabs>
              <w:spacing w:before="0" w:line="240" w:lineRule="atLeast"/>
              <w:jc w:val="right"/>
              <w:rPr>
                <w:b/>
              </w:rPr>
            </w:pPr>
            <w:r w:rsidRPr="00217645">
              <w:rPr>
                <w:b/>
              </w:rPr>
              <w:t>Original: English</w:t>
            </w:r>
          </w:p>
        </w:tc>
      </w:tr>
      <w:tr w:rsidR="00472BAD" w:rsidRPr="00217645" w14:paraId="12C5EF5F" w14:textId="77777777" w:rsidTr="00AD3606">
        <w:trPr>
          <w:cantSplit/>
          <w:trHeight w:val="23"/>
        </w:trPr>
        <w:tc>
          <w:tcPr>
            <w:tcW w:w="3969" w:type="dxa"/>
          </w:tcPr>
          <w:p w14:paraId="4B839BA2" w14:textId="77777777" w:rsidR="00472BAD" w:rsidRPr="00217645" w:rsidRDefault="00472BAD" w:rsidP="00AD3606">
            <w:pPr>
              <w:tabs>
                <w:tab w:val="left" w:pos="851"/>
              </w:tabs>
              <w:spacing w:line="240" w:lineRule="atLeast"/>
              <w:rPr>
                <w:b/>
              </w:rPr>
            </w:pPr>
          </w:p>
        </w:tc>
        <w:tc>
          <w:tcPr>
            <w:tcW w:w="5245" w:type="dxa"/>
          </w:tcPr>
          <w:p w14:paraId="12F66D25" w14:textId="77777777" w:rsidR="00472BAD" w:rsidRPr="00217645" w:rsidRDefault="00472BAD" w:rsidP="00AD3606">
            <w:pPr>
              <w:tabs>
                <w:tab w:val="left" w:pos="851"/>
              </w:tabs>
              <w:spacing w:before="0" w:line="240" w:lineRule="atLeast"/>
              <w:jc w:val="right"/>
              <w:rPr>
                <w:b/>
              </w:rPr>
            </w:pPr>
          </w:p>
        </w:tc>
      </w:tr>
      <w:tr w:rsidR="007244B9" w:rsidRPr="00217645" w14:paraId="54F40449" w14:textId="77777777" w:rsidTr="003243AE">
        <w:trPr>
          <w:cantSplit/>
          <w:trHeight w:val="23"/>
        </w:trPr>
        <w:tc>
          <w:tcPr>
            <w:tcW w:w="9214" w:type="dxa"/>
            <w:gridSpan w:val="2"/>
          </w:tcPr>
          <w:p w14:paraId="26A57B8C" w14:textId="77777777" w:rsidR="007244B9" w:rsidRPr="00217645"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217645">
              <w:rPr>
                <w:b/>
                <w:bCs/>
                <w:sz w:val="34"/>
                <w:szCs w:val="34"/>
              </w:rPr>
              <w:t>SUMMARY RECORD</w:t>
            </w:r>
          </w:p>
          <w:p w14:paraId="35817936" w14:textId="77777777" w:rsidR="007244B9" w:rsidRPr="00217645"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217645">
              <w:rPr>
                <w:b/>
                <w:bCs/>
                <w:sz w:val="34"/>
                <w:szCs w:val="34"/>
              </w:rPr>
              <w:t>OF THE</w:t>
            </w:r>
          </w:p>
          <w:p w14:paraId="3C599D4A" w14:textId="1BAE8243" w:rsidR="007244B9" w:rsidRPr="00217645" w:rsidRDefault="00944AE7" w:rsidP="0051181E">
            <w:pPr>
              <w:tabs>
                <w:tab w:val="left" w:pos="851"/>
              </w:tabs>
              <w:spacing w:after="240" w:line="240" w:lineRule="atLeast"/>
              <w:jc w:val="center"/>
              <w:rPr>
                <w:b/>
              </w:rPr>
            </w:pPr>
            <w:r w:rsidRPr="00217645">
              <w:rPr>
                <w:b/>
                <w:bCs/>
                <w:sz w:val="34"/>
                <w:szCs w:val="34"/>
              </w:rPr>
              <w:t>FIRST</w:t>
            </w:r>
            <w:r w:rsidR="007244B9" w:rsidRPr="00217645">
              <w:rPr>
                <w:b/>
                <w:bCs/>
                <w:sz w:val="34"/>
                <w:szCs w:val="34"/>
              </w:rPr>
              <w:t xml:space="preserve"> PLENARY MEETING</w:t>
            </w:r>
          </w:p>
        </w:tc>
      </w:tr>
      <w:tr w:rsidR="007244B9" w:rsidRPr="00217645" w14:paraId="66DF5894" w14:textId="77777777" w:rsidTr="003243AE">
        <w:trPr>
          <w:cantSplit/>
          <w:trHeight w:val="23"/>
        </w:trPr>
        <w:tc>
          <w:tcPr>
            <w:tcW w:w="9214" w:type="dxa"/>
            <w:gridSpan w:val="2"/>
          </w:tcPr>
          <w:p w14:paraId="75F88B8B" w14:textId="2EBEB5C1" w:rsidR="007244B9" w:rsidRPr="00217645" w:rsidRDefault="000C76A9"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217645">
              <w:rPr>
                <w:rFonts w:cs="Calibri"/>
                <w:szCs w:val="24"/>
                <w:lang w:eastAsia="en-GB"/>
              </w:rPr>
              <w:t xml:space="preserve">Tuesday, 17 June 2025, from </w:t>
            </w:r>
            <w:r w:rsidR="00944AE7" w:rsidRPr="00217645">
              <w:rPr>
                <w:rFonts w:cs="Calibri"/>
                <w:szCs w:val="24"/>
                <w:lang w:eastAsia="en-GB"/>
              </w:rPr>
              <w:t>1430</w:t>
            </w:r>
            <w:r w:rsidRPr="00217645">
              <w:rPr>
                <w:rFonts w:cs="Calibri"/>
                <w:szCs w:val="24"/>
                <w:lang w:eastAsia="en-GB"/>
              </w:rPr>
              <w:t xml:space="preserve"> to </w:t>
            </w:r>
            <w:r w:rsidR="00944AE7" w:rsidRPr="00217645">
              <w:rPr>
                <w:rFonts w:cs="Calibri"/>
                <w:szCs w:val="24"/>
                <w:lang w:eastAsia="en-GB"/>
              </w:rPr>
              <w:t>17</w:t>
            </w:r>
            <w:r w:rsidR="00560281" w:rsidRPr="00217645">
              <w:rPr>
                <w:rFonts w:cs="Calibri"/>
                <w:szCs w:val="24"/>
                <w:lang w:eastAsia="en-GB"/>
              </w:rPr>
              <w:t>4</w:t>
            </w:r>
            <w:r w:rsidR="00944AE7" w:rsidRPr="00217645">
              <w:rPr>
                <w:rFonts w:cs="Calibri"/>
                <w:szCs w:val="24"/>
                <w:lang w:eastAsia="en-GB"/>
              </w:rPr>
              <w:t>0</w:t>
            </w:r>
            <w:r w:rsidRPr="00217645">
              <w:rPr>
                <w:rFonts w:cs="Calibri"/>
                <w:szCs w:val="24"/>
                <w:lang w:eastAsia="en-GB"/>
              </w:rPr>
              <w:t xml:space="preserve"> hours</w:t>
            </w:r>
          </w:p>
          <w:p w14:paraId="7C47BB0A" w14:textId="33978A91" w:rsidR="007244B9" w:rsidRPr="00217645" w:rsidRDefault="007244B9" w:rsidP="007244B9">
            <w:pPr>
              <w:tabs>
                <w:tab w:val="left" w:pos="851"/>
              </w:tabs>
              <w:spacing w:after="240" w:line="240" w:lineRule="atLeast"/>
              <w:jc w:val="center"/>
              <w:rPr>
                <w:bCs/>
              </w:rPr>
            </w:pPr>
            <w:r w:rsidRPr="00217645">
              <w:rPr>
                <w:b/>
                <w:bCs/>
              </w:rPr>
              <w:t>Chair</w:t>
            </w:r>
            <w:r w:rsidRPr="00217645">
              <w:t xml:space="preserve">: </w:t>
            </w:r>
            <w:r w:rsidR="000C76A9" w:rsidRPr="00217645">
              <w:rPr>
                <w:rFonts w:cs="Calibri"/>
                <w:szCs w:val="24"/>
                <w:lang w:eastAsia="en-GB"/>
              </w:rPr>
              <w:t>Ms 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217645" w14:paraId="14B76029" w14:textId="77777777" w:rsidTr="7FF38753">
        <w:tc>
          <w:tcPr>
            <w:tcW w:w="242" w:type="pct"/>
          </w:tcPr>
          <w:p w14:paraId="7F154504" w14:textId="77777777" w:rsidR="007244B9" w:rsidRPr="00217645" w:rsidRDefault="007244B9" w:rsidP="007244B9">
            <w:pPr>
              <w:spacing w:before="480"/>
              <w:rPr>
                <w:b/>
                <w:bCs/>
                <w:szCs w:val="24"/>
              </w:rPr>
            </w:pPr>
            <w:bookmarkStart w:id="8" w:name="_Hlk141438382"/>
            <w:bookmarkStart w:id="9" w:name="_Hlk133421428"/>
            <w:bookmarkEnd w:id="2"/>
            <w:bookmarkEnd w:id="7"/>
            <w:r w:rsidRPr="00217645">
              <w:rPr>
                <w:b/>
                <w:bCs/>
                <w:szCs w:val="24"/>
              </w:rPr>
              <w:br w:type="page"/>
            </w:r>
            <w:r w:rsidRPr="00217645">
              <w:rPr>
                <w:b/>
                <w:bCs/>
                <w:szCs w:val="24"/>
              </w:rPr>
              <w:br w:type="page"/>
            </w:r>
          </w:p>
        </w:tc>
        <w:tc>
          <w:tcPr>
            <w:tcW w:w="3580" w:type="pct"/>
            <w:hideMark/>
          </w:tcPr>
          <w:p w14:paraId="6E059BF8" w14:textId="77777777" w:rsidR="007244B9" w:rsidRPr="00217645" w:rsidRDefault="007244B9" w:rsidP="007244B9">
            <w:pPr>
              <w:spacing w:before="480" w:after="120"/>
              <w:rPr>
                <w:b/>
                <w:bCs/>
                <w:szCs w:val="24"/>
              </w:rPr>
            </w:pPr>
            <w:r w:rsidRPr="00217645">
              <w:rPr>
                <w:b/>
                <w:bCs/>
                <w:szCs w:val="24"/>
              </w:rPr>
              <w:t>Subjects discussed</w:t>
            </w:r>
          </w:p>
        </w:tc>
        <w:tc>
          <w:tcPr>
            <w:tcW w:w="1178" w:type="pct"/>
            <w:hideMark/>
          </w:tcPr>
          <w:p w14:paraId="683D5A20" w14:textId="35ED7D84" w:rsidR="007244B9" w:rsidRPr="00217645" w:rsidRDefault="007244B9" w:rsidP="005B766E">
            <w:pPr>
              <w:spacing w:before="480"/>
              <w:jc w:val="center"/>
              <w:rPr>
                <w:b/>
                <w:bCs/>
                <w:szCs w:val="24"/>
              </w:rPr>
            </w:pPr>
            <w:r w:rsidRPr="00217645">
              <w:rPr>
                <w:b/>
                <w:bCs/>
                <w:szCs w:val="24"/>
              </w:rPr>
              <w:t>Documents</w:t>
            </w:r>
          </w:p>
        </w:tc>
      </w:tr>
      <w:tr w:rsidR="00944AE7" w:rsidRPr="00217645" w14:paraId="21752EA8" w14:textId="77777777" w:rsidTr="7FF38753">
        <w:trPr>
          <w:trHeight w:val="20"/>
        </w:trPr>
        <w:tc>
          <w:tcPr>
            <w:tcW w:w="242" w:type="pct"/>
            <w:hideMark/>
          </w:tcPr>
          <w:p w14:paraId="59F0B2E6" w14:textId="77777777" w:rsidR="00944AE7" w:rsidRPr="00217645" w:rsidRDefault="00944AE7" w:rsidP="00944AE7">
            <w:pPr>
              <w:rPr>
                <w:sz w:val="22"/>
                <w:szCs w:val="22"/>
              </w:rPr>
            </w:pPr>
            <w:r w:rsidRPr="00217645">
              <w:rPr>
                <w:sz w:val="22"/>
                <w:szCs w:val="22"/>
              </w:rPr>
              <w:t>1</w:t>
            </w:r>
          </w:p>
        </w:tc>
        <w:tc>
          <w:tcPr>
            <w:tcW w:w="3580" w:type="pct"/>
          </w:tcPr>
          <w:p w14:paraId="020C0FA1" w14:textId="5D181EA9" w:rsidR="00944AE7" w:rsidRPr="00217645" w:rsidRDefault="00944AE7" w:rsidP="00944AE7">
            <w:pPr>
              <w:rPr>
                <w:sz w:val="22"/>
                <w:szCs w:val="22"/>
              </w:rPr>
            </w:pPr>
            <w:r w:rsidRPr="00217645">
              <w:rPr>
                <w:lang w:eastAsia="en-GB"/>
              </w:rPr>
              <w:t>Annual report on the implementation of the strategic plan and the activities of the Union, 2024</w:t>
            </w:r>
          </w:p>
        </w:tc>
        <w:bookmarkStart w:id="10" w:name="_Hlk201062718"/>
        <w:tc>
          <w:tcPr>
            <w:tcW w:w="1178" w:type="pct"/>
          </w:tcPr>
          <w:p w14:paraId="23C04073" w14:textId="7F9CB152" w:rsidR="00944AE7" w:rsidRPr="00217645" w:rsidRDefault="00944AE7" w:rsidP="00944AE7">
            <w:pPr>
              <w:spacing w:before="80" w:after="80"/>
              <w:jc w:val="center"/>
              <w:rPr>
                <w:szCs w:val="24"/>
              </w:rPr>
            </w:pPr>
            <w:r w:rsidRPr="00217645">
              <w:rPr>
                <w:szCs w:val="24"/>
              </w:rPr>
              <w:fldChar w:fldCharType="begin"/>
            </w:r>
            <w:r w:rsidRPr="00217645">
              <w:rPr>
                <w:szCs w:val="24"/>
              </w:rPr>
              <w:instrText>HYPERLINK "https://www.itu.int/md/S25-CL-C-0035/en" \t "_blank"</w:instrText>
            </w:r>
            <w:r w:rsidRPr="00217645">
              <w:rPr>
                <w:szCs w:val="24"/>
              </w:rPr>
            </w:r>
            <w:r w:rsidRPr="00217645">
              <w:rPr>
                <w:szCs w:val="24"/>
              </w:rPr>
              <w:fldChar w:fldCharType="separate"/>
            </w:r>
            <w:proofErr w:type="spellStart"/>
            <w:r w:rsidRPr="00217645">
              <w:rPr>
                <w:rStyle w:val="Hyperlink"/>
                <w:rFonts w:cs="Calibri"/>
                <w:szCs w:val="24"/>
                <w:lang w:eastAsia="en-GB"/>
              </w:rPr>
              <w:t>C25</w:t>
            </w:r>
            <w:proofErr w:type="spellEnd"/>
            <w:r w:rsidRPr="00217645">
              <w:rPr>
                <w:rStyle w:val="Hyperlink"/>
                <w:rFonts w:cs="Calibri"/>
                <w:szCs w:val="24"/>
                <w:lang w:eastAsia="en-GB"/>
              </w:rPr>
              <w:t>/35</w:t>
            </w:r>
            <w:r w:rsidRPr="00217645">
              <w:rPr>
                <w:szCs w:val="24"/>
              </w:rPr>
              <w:fldChar w:fldCharType="end"/>
            </w:r>
            <w:bookmarkEnd w:id="10"/>
          </w:p>
        </w:tc>
      </w:tr>
      <w:tr w:rsidR="00944AE7" w:rsidRPr="00217645" w14:paraId="6EA0EA1D" w14:textId="77777777" w:rsidTr="00D24BF6">
        <w:trPr>
          <w:trHeight w:val="20"/>
        </w:trPr>
        <w:tc>
          <w:tcPr>
            <w:tcW w:w="242" w:type="pct"/>
          </w:tcPr>
          <w:p w14:paraId="771A6319" w14:textId="0113AA58" w:rsidR="00944AE7" w:rsidRPr="00217645" w:rsidRDefault="00944AE7" w:rsidP="00944AE7">
            <w:pPr>
              <w:rPr>
                <w:sz w:val="22"/>
                <w:szCs w:val="22"/>
              </w:rPr>
            </w:pPr>
            <w:r w:rsidRPr="00217645">
              <w:rPr>
                <w:sz w:val="22"/>
                <w:szCs w:val="22"/>
              </w:rPr>
              <w:t>2</w:t>
            </w:r>
          </w:p>
        </w:tc>
        <w:tc>
          <w:tcPr>
            <w:tcW w:w="3580" w:type="pct"/>
          </w:tcPr>
          <w:p w14:paraId="4A58AA98" w14:textId="00D45F05" w:rsidR="00944AE7" w:rsidRPr="00217645" w:rsidRDefault="00944AE7" w:rsidP="00944AE7">
            <w:pPr>
              <w:rPr>
                <w:rFonts w:asciiTheme="minorHAnsi" w:hAnsiTheme="minorHAnsi" w:cstheme="minorHAnsi"/>
                <w:color w:val="2F2F2F"/>
                <w:sz w:val="22"/>
                <w:szCs w:val="22"/>
                <w:shd w:val="clear" w:color="auto" w:fill="FFFFFF"/>
              </w:rPr>
            </w:pPr>
            <w:r w:rsidRPr="00217645">
              <w:t>Draft four</w:t>
            </w:r>
            <w:r w:rsidR="00E84F82" w:rsidRPr="00217645">
              <w:t>-</w:t>
            </w:r>
            <w:r w:rsidRPr="00217645">
              <w:t>year rolling operational plan for the Union for 2026-2029</w:t>
            </w:r>
          </w:p>
        </w:tc>
        <w:tc>
          <w:tcPr>
            <w:tcW w:w="1178" w:type="pct"/>
            <w:vAlign w:val="center"/>
          </w:tcPr>
          <w:p w14:paraId="46957471" w14:textId="79180ECF" w:rsidR="00944AE7" w:rsidRPr="00217645" w:rsidRDefault="00944AE7" w:rsidP="00944AE7">
            <w:pPr>
              <w:spacing w:before="80" w:after="80"/>
              <w:jc w:val="center"/>
              <w:rPr>
                <w:szCs w:val="24"/>
              </w:rPr>
            </w:pPr>
            <w:hyperlink r:id="rId11" w:history="1">
              <w:proofErr w:type="spellStart"/>
              <w:r w:rsidRPr="00217645">
                <w:rPr>
                  <w:rStyle w:val="Hyperlink"/>
                  <w:szCs w:val="24"/>
                </w:rPr>
                <w:t>C25</w:t>
              </w:r>
              <w:proofErr w:type="spellEnd"/>
              <w:r w:rsidRPr="00217645">
                <w:rPr>
                  <w:rStyle w:val="Hyperlink"/>
                  <w:szCs w:val="24"/>
                </w:rPr>
                <w:t>/28</w:t>
              </w:r>
            </w:hyperlink>
          </w:p>
        </w:tc>
      </w:tr>
      <w:tr w:rsidR="00944AE7" w:rsidRPr="00217645" w14:paraId="3C347C19" w14:textId="77777777" w:rsidTr="7FF38753">
        <w:trPr>
          <w:trHeight w:val="20"/>
        </w:trPr>
        <w:tc>
          <w:tcPr>
            <w:tcW w:w="242" w:type="pct"/>
          </w:tcPr>
          <w:p w14:paraId="40F71A4C" w14:textId="6A7AA66B" w:rsidR="00944AE7" w:rsidRPr="00217645" w:rsidRDefault="00944AE7" w:rsidP="00944AE7">
            <w:pPr>
              <w:rPr>
                <w:sz w:val="22"/>
                <w:szCs w:val="22"/>
              </w:rPr>
            </w:pPr>
            <w:r w:rsidRPr="00217645">
              <w:rPr>
                <w:sz w:val="22"/>
                <w:szCs w:val="22"/>
              </w:rPr>
              <w:t>3</w:t>
            </w:r>
          </w:p>
        </w:tc>
        <w:tc>
          <w:tcPr>
            <w:tcW w:w="3580" w:type="pct"/>
          </w:tcPr>
          <w:p w14:paraId="62B8BF42" w14:textId="4760394F" w:rsidR="00944AE7" w:rsidRPr="00217645" w:rsidRDefault="00944AE7" w:rsidP="00944AE7">
            <w:pPr>
              <w:rPr>
                <w:rFonts w:asciiTheme="minorHAnsi" w:hAnsiTheme="minorHAnsi" w:cstheme="minorHAnsi"/>
                <w:color w:val="2F2F2F"/>
                <w:sz w:val="22"/>
                <w:szCs w:val="22"/>
                <w:shd w:val="clear" w:color="auto" w:fill="FFFFFF"/>
              </w:rPr>
            </w:pPr>
            <w:r w:rsidRPr="00217645">
              <w:t>Draft biennial budget of the Union for 2026-2027</w:t>
            </w:r>
          </w:p>
        </w:tc>
        <w:tc>
          <w:tcPr>
            <w:tcW w:w="1178" w:type="pct"/>
          </w:tcPr>
          <w:p w14:paraId="648E2529" w14:textId="2AFD0F31" w:rsidR="00944AE7" w:rsidRPr="00217645" w:rsidRDefault="00944AE7" w:rsidP="00944AE7">
            <w:pPr>
              <w:spacing w:before="80" w:after="80"/>
              <w:jc w:val="center"/>
              <w:rPr>
                <w:szCs w:val="24"/>
              </w:rPr>
            </w:pPr>
            <w:hyperlink r:id="rId12" w:history="1">
              <w:proofErr w:type="spellStart"/>
              <w:r w:rsidRPr="00217645">
                <w:rPr>
                  <w:rStyle w:val="Hyperlink"/>
                  <w:szCs w:val="24"/>
                </w:rPr>
                <w:t>C25</w:t>
              </w:r>
              <w:proofErr w:type="spellEnd"/>
              <w:r w:rsidRPr="00217645">
                <w:rPr>
                  <w:rStyle w:val="Hyperlink"/>
                  <w:szCs w:val="24"/>
                </w:rPr>
                <w:t>/47</w:t>
              </w:r>
            </w:hyperlink>
          </w:p>
        </w:tc>
      </w:tr>
      <w:tr w:rsidR="00944AE7" w:rsidRPr="00217645" w14:paraId="32447FA9" w14:textId="77777777" w:rsidTr="7FF38753">
        <w:trPr>
          <w:trHeight w:val="20"/>
        </w:trPr>
        <w:tc>
          <w:tcPr>
            <w:tcW w:w="242" w:type="pct"/>
          </w:tcPr>
          <w:p w14:paraId="6EF8B845" w14:textId="51DD8AF8" w:rsidR="00944AE7" w:rsidRPr="00217645" w:rsidRDefault="00944AE7" w:rsidP="00944AE7">
            <w:pPr>
              <w:rPr>
                <w:sz w:val="22"/>
                <w:szCs w:val="22"/>
              </w:rPr>
            </w:pPr>
            <w:r w:rsidRPr="00217645">
              <w:rPr>
                <w:sz w:val="22"/>
                <w:szCs w:val="22"/>
              </w:rPr>
              <w:t>4</w:t>
            </w:r>
          </w:p>
        </w:tc>
        <w:tc>
          <w:tcPr>
            <w:tcW w:w="3580" w:type="pct"/>
          </w:tcPr>
          <w:p w14:paraId="56C21617" w14:textId="629F75AF" w:rsidR="00944AE7" w:rsidRPr="00217645" w:rsidRDefault="00944AE7" w:rsidP="00944AE7">
            <w:pPr>
              <w:rPr>
                <w:sz w:val="22"/>
                <w:szCs w:val="22"/>
              </w:rPr>
            </w:pPr>
            <w:r w:rsidRPr="00217645">
              <w:t>Update on ITU transformation process and roadmap</w:t>
            </w:r>
          </w:p>
        </w:tc>
        <w:tc>
          <w:tcPr>
            <w:tcW w:w="1178" w:type="pct"/>
          </w:tcPr>
          <w:p w14:paraId="6ED66744" w14:textId="493C852B" w:rsidR="00944AE7" w:rsidRPr="00217645" w:rsidRDefault="00944AE7" w:rsidP="00944AE7">
            <w:pPr>
              <w:spacing w:before="80" w:after="80"/>
              <w:jc w:val="center"/>
              <w:rPr>
                <w:szCs w:val="24"/>
              </w:rPr>
            </w:pPr>
            <w:hyperlink r:id="rId13" w:history="1">
              <w:proofErr w:type="spellStart"/>
              <w:r w:rsidRPr="00217645">
                <w:rPr>
                  <w:rStyle w:val="Hyperlink"/>
                  <w:szCs w:val="24"/>
                </w:rPr>
                <w:t>C25</w:t>
              </w:r>
              <w:proofErr w:type="spellEnd"/>
              <w:r w:rsidRPr="00217645">
                <w:rPr>
                  <w:rStyle w:val="Hyperlink"/>
                  <w:szCs w:val="24"/>
                </w:rPr>
                <w:t>/55</w:t>
              </w:r>
            </w:hyperlink>
          </w:p>
        </w:tc>
      </w:tr>
      <w:tr w:rsidR="00944AE7" w:rsidRPr="00217645" w14:paraId="7C3EDDF6" w14:textId="77777777" w:rsidTr="7FF38753">
        <w:trPr>
          <w:trHeight w:val="20"/>
        </w:trPr>
        <w:tc>
          <w:tcPr>
            <w:tcW w:w="242" w:type="pct"/>
          </w:tcPr>
          <w:p w14:paraId="3C4B7AA3" w14:textId="303885AB" w:rsidR="00944AE7" w:rsidRPr="00217645" w:rsidRDefault="00944AE7" w:rsidP="00944AE7">
            <w:pPr>
              <w:rPr>
                <w:sz w:val="22"/>
                <w:szCs w:val="22"/>
              </w:rPr>
            </w:pPr>
            <w:r w:rsidRPr="00217645">
              <w:rPr>
                <w:sz w:val="22"/>
                <w:szCs w:val="22"/>
              </w:rPr>
              <w:t>5</w:t>
            </w:r>
          </w:p>
        </w:tc>
        <w:tc>
          <w:tcPr>
            <w:tcW w:w="3580" w:type="pct"/>
          </w:tcPr>
          <w:p w14:paraId="36ACA1E5" w14:textId="75B62C6D" w:rsidR="00944AE7" w:rsidRPr="00217645" w:rsidRDefault="00944AE7" w:rsidP="00944AE7">
            <w:pPr>
              <w:rPr>
                <w:lang w:eastAsia="en-GB"/>
              </w:rPr>
            </w:pPr>
            <w:r w:rsidRPr="00217645">
              <w:t>Efficiency measures implemented in 2023-</w:t>
            </w:r>
            <w:r w:rsidR="007A732A" w:rsidRPr="00217645">
              <w:t>20</w:t>
            </w:r>
            <w:r w:rsidRPr="00217645">
              <w:t>24 and future plans</w:t>
            </w:r>
          </w:p>
        </w:tc>
        <w:tc>
          <w:tcPr>
            <w:tcW w:w="1178" w:type="pct"/>
          </w:tcPr>
          <w:p w14:paraId="17CBB080" w14:textId="31CDAF91" w:rsidR="00944AE7" w:rsidRPr="00217645" w:rsidRDefault="00944AE7" w:rsidP="00944AE7">
            <w:pPr>
              <w:spacing w:before="80" w:after="80"/>
              <w:jc w:val="center"/>
              <w:rPr>
                <w:szCs w:val="24"/>
              </w:rPr>
            </w:pPr>
            <w:hyperlink r:id="rId14" w:history="1">
              <w:proofErr w:type="spellStart"/>
              <w:r w:rsidRPr="00217645">
                <w:rPr>
                  <w:rStyle w:val="Hyperlink"/>
                  <w:szCs w:val="24"/>
                </w:rPr>
                <w:t>C25</w:t>
              </w:r>
              <w:proofErr w:type="spellEnd"/>
              <w:r w:rsidRPr="00217645">
                <w:rPr>
                  <w:rStyle w:val="Hyperlink"/>
                  <w:szCs w:val="24"/>
                </w:rPr>
                <w:t>/62</w:t>
              </w:r>
            </w:hyperlink>
          </w:p>
        </w:tc>
      </w:tr>
      <w:tr w:rsidR="000C76A9" w:rsidRPr="00217645" w14:paraId="176C324B" w14:textId="77777777" w:rsidTr="7FF38753">
        <w:trPr>
          <w:trHeight w:val="20"/>
        </w:trPr>
        <w:tc>
          <w:tcPr>
            <w:tcW w:w="242" w:type="pct"/>
          </w:tcPr>
          <w:p w14:paraId="4BF8DD05" w14:textId="2CD2164D" w:rsidR="000C76A9" w:rsidRPr="00217645" w:rsidRDefault="000C76A9" w:rsidP="00944AE7">
            <w:pPr>
              <w:rPr>
                <w:sz w:val="22"/>
                <w:szCs w:val="22"/>
              </w:rPr>
            </w:pPr>
            <w:r w:rsidRPr="00217645">
              <w:rPr>
                <w:sz w:val="22"/>
                <w:szCs w:val="22"/>
              </w:rPr>
              <w:t>6</w:t>
            </w:r>
          </w:p>
        </w:tc>
        <w:tc>
          <w:tcPr>
            <w:tcW w:w="3580" w:type="pct"/>
          </w:tcPr>
          <w:p w14:paraId="2543F371" w14:textId="626CD4AC" w:rsidR="000C76A9" w:rsidRPr="00217645" w:rsidRDefault="00944AE7" w:rsidP="00944AE7">
            <w:pPr>
              <w:rPr>
                <w:lang w:eastAsia="en-GB"/>
              </w:rPr>
            </w:pPr>
            <w:r w:rsidRPr="00217645">
              <w:rPr>
                <w:lang w:eastAsia="en-GB"/>
              </w:rPr>
              <w:t>Statements by councillors</w:t>
            </w:r>
          </w:p>
        </w:tc>
        <w:tc>
          <w:tcPr>
            <w:tcW w:w="1178" w:type="pct"/>
          </w:tcPr>
          <w:p w14:paraId="3ADEFBBC" w14:textId="35E87CF1" w:rsidR="000C76A9" w:rsidRPr="00217645" w:rsidRDefault="000B0B79" w:rsidP="009156F1">
            <w:pPr>
              <w:spacing w:before="80" w:after="80"/>
              <w:jc w:val="center"/>
              <w:rPr>
                <w:sz w:val="22"/>
                <w:szCs w:val="22"/>
              </w:rPr>
            </w:pPr>
            <w:r>
              <w:rPr>
                <w:sz w:val="22"/>
                <w:szCs w:val="22"/>
              </w:rPr>
              <w:t>–</w:t>
            </w:r>
          </w:p>
        </w:tc>
      </w:tr>
      <w:bookmarkEnd w:id="8"/>
    </w:tbl>
    <w:p w14:paraId="360BA973" w14:textId="77777777" w:rsidR="00F66005" w:rsidRPr="00217645"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217645" w:rsidRDefault="0090147A" w:rsidP="000C76A9">
      <w:pPr>
        <w:tabs>
          <w:tab w:val="clear" w:pos="567"/>
          <w:tab w:val="clear" w:pos="1134"/>
          <w:tab w:val="clear" w:pos="1701"/>
          <w:tab w:val="clear" w:pos="2268"/>
          <w:tab w:val="clear" w:pos="2835"/>
        </w:tabs>
        <w:overflowPunct/>
        <w:autoSpaceDE/>
        <w:autoSpaceDN/>
        <w:adjustRightInd/>
        <w:spacing w:before="0"/>
        <w:textAlignment w:val="auto"/>
      </w:pPr>
      <w:r w:rsidRPr="00217645">
        <w:br w:type="page"/>
      </w:r>
      <w:bookmarkEnd w:id="5"/>
      <w:bookmarkEnd w:id="9"/>
    </w:p>
    <w:p w14:paraId="1B50609D" w14:textId="0C74D4E5" w:rsidR="00E22551" w:rsidRPr="00217645" w:rsidRDefault="00E22551" w:rsidP="000B0B79">
      <w:pPr>
        <w:pStyle w:val="Heading1"/>
      </w:pPr>
      <w:r w:rsidRPr="00217645">
        <w:lastRenderedPageBreak/>
        <w:t>1</w:t>
      </w:r>
      <w:r w:rsidRPr="00217645">
        <w:tab/>
        <w:t>Annual report on the implementation of the strategic plan and the activities of the Union, 2024 (Document </w:t>
      </w:r>
      <w:proofErr w:type="spellStart"/>
      <w:r>
        <w:fldChar w:fldCharType="begin"/>
      </w:r>
      <w:r>
        <w:instrText>HYPERLINK "https://www.itu.int/md/S25-CL-C-0035/en" \t "_blank"</w:instrText>
      </w:r>
      <w:r>
        <w:fldChar w:fldCharType="separate"/>
      </w:r>
      <w:r w:rsidRPr="00217645">
        <w:rPr>
          <w:rStyle w:val="Hyperlink"/>
        </w:rPr>
        <w:t>C25</w:t>
      </w:r>
      <w:proofErr w:type="spellEnd"/>
      <w:r w:rsidRPr="00217645">
        <w:rPr>
          <w:rStyle w:val="Hyperlink"/>
        </w:rPr>
        <w:t>/35</w:t>
      </w:r>
      <w:r>
        <w:fldChar w:fldCharType="end"/>
      </w:r>
      <w:r w:rsidRPr="00217645">
        <w:t>)</w:t>
      </w:r>
    </w:p>
    <w:p w14:paraId="759723F3" w14:textId="44F40B46" w:rsidR="00E22551" w:rsidRPr="00217645" w:rsidRDefault="00E22551" w:rsidP="008B4B7F">
      <w:pPr>
        <w:jc w:val="both"/>
      </w:pPr>
      <w:bookmarkStart w:id="11" w:name="_Hlk201404443"/>
      <w:r w:rsidRPr="00217645">
        <w:t>1.1</w:t>
      </w:r>
      <w:r w:rsidRPr="00217645">
        <w:tab/>
        <w:t>The Deputy Secretary-General introduc</w:t>
      </w:r>
      <w:r w:rsidR="00190209" w:rsidRPr="00217645">
        <w:t>e</w:t>
      </w:r>
      <w:r w:rsidR="000E5958" w:rsidRPr="00217645">
        <w:t>d</w:t>
      </w:r>
      <w:r w:rsidRPr="00217645">
        <w:t xml:space="preserve"> Document</w:t>
      </w:r>
      <w:r w:rsidR="00217645">
        <w:t> </w:t>
      </w:r>
      <w:proofErr w:type="spellStart"/>
      <w:r w:rsidRPr="00217645">
        <w:t>C25</w:t>
      </w:r>
      <w:proofErr w:type="spellEnd"/>
      <w:r w:rsidRPr="00217645">
        <w:t xml:space="preserve">/35, </w:t>
      </w:r>
      <w:r w:rsidR="00190209" w:rsidRPr="00217645">
        <w:t>contain</w:t>
      </w:r>
      <w:r w:rsidR="000E5958" w:rsidRPr="00217645">
        <w:t>ing</w:t>
      </w:r>
      <w:r w:rsidR="00190209" w:rsidRPr="00217645">
        <w:t xml:space="preserve"> the annual report on the implementation of </w:t>
      </w:r>
      <w:r w:rsidRPr="00217645">
        <w:t xml:space="preserve">the </w:t>
      </w:r>
      <w:r w:rsidR="000E5958" w:rsidRPr="00217645">
        <w:t>s</w:t>
      </w:r>
      <w:r w:rsidRPr="00217645">
        <w:t xml:space="preserve">trategic </w:t>
      </w:r>
      <w:r w:rsidR="000E5958" w:rsidRPr="00217645">
        <w:t>p</w:t>
      </w:r>
      <w:r w:rsidRPr="00217645">
        <w:t>lan</w:t>
      </w:r>
      <w:r w:rsidR="00044AF5" w:rsidRPr="00217645">
        <w:t xml:space="preserve"> for</w:t>
      </w:r>
      <w:r w:rsidRPr="00217645">
        <w:t xml:space="preserve"> 2024-2027</w:t>
      </w:r>
      <w:r w:rsidR="00190209" w:rsidRPr="00217645">
        <w:t xml:space="preserve"> and the </w:t>
      </w:r>
      <w:r w:rsidR="0092090F" w:rsidRPr="00217645">
        <w:t>Union</w:t>
      </w:r>
      <w:r w:rsidR="00217645">
        <w:t>'</w:t>
      </w:r>
      <w:r w:rsidR="0092090F" w:rsidRPr="00217645">
        <w:t xml:space="preserve">s </w:t>
      </w:r>
      <w:r w:rsidR="00190209" w:rsidRPr="00217645">
        <w:t>activities</w:t>
      </w:r>
      <w:r w:rsidRPr="00217645">
        <w:t xml:space="preserve">. For the first time, the reporting period </w:t>
      </w:r>
      <w:r w:rsidR="0092090F" w:rsidRPr="00217645">
        <w:t>aligned with the</w:t>
      </w:r>
      <w:r w:rsidRPr="00217645">
        <w:t xml:space="preserve"> calendar year, </w:t>
      </w:r>
      <w:r w:rsidR="0092090F" w:rsidRPr="00217645">
        <w:t xml:space="preserve">matching </w:t>
      </w:r>
      <w:r w:rsidRPr="00217645">
        <w:t xml:space="preserve">the financial cycle and </w:t>
      </w:r>
      <w:r w:rsidR="0092090F" w:rsidRPr="00217645">
        <w:t xml:space="preserve">supporting </w:t>
      </w:r>
      <w:r w:rsidRPr="00217645">
        <w:t xml:space="preserve">results-based management. Despite progress, digital divides </w:t>
      </w:r>
      <w:r w:rsidR="0092090F" w:rsidRPr="00217645">
        <w:t>remained</w:t>
      </w:r>
      <w:r w:rsidRPr="00217645">
        <w:t xml:space="preserve">, and </w:t>
      </w:r>
      <w:r w:rsidR="0092090F" w:rsidRPr="00217645">
        <w:t xml:space="preserve">issues of </w:t>
      </w:r>
      <w:r w:rsidRPr="00217645">
        <w:t xml:space="preserve">affordability and environmental impact </w:t>
      </w:r>
      <w:r w:rsidR="0092090F" w:rsidRPr="00217645">
        <w:t>persisted</w:t>
      </w:r>
      <w:r w:rsidRPr="00217645">
        <w:t>. Activities on emerging technologies</w:t>
      </w:r>
      <w:r w:rsidR="00217645">
        <w:t>,</w:t>
      </w:r>
      <w:r w:rsidRPr="00217645">
        <w:t xml:space="preserve"> </w:t>
      </w:r>
      <w:r w:rsidR="0092090F" w:rsidRPr="00217645">
        <w:t xml:space="preserve">such as </w:t>
      </w:r>
      <w:r w:rsidR="00D25D38" w:rsidRPr="00217645">
        <w:t>artificial intelligence (</w:t>
      </w:r>
      <w:r w:rsidRPr="00217645">
        <w:t>AI</w:t>
      </w:r>
      <w:r w:rsidR="00D25D38" w:rsidRPr="00217645">
        <w:t>)</w:t>
      </w:r>
      <w:r w:rsidRPr="00217645">
        <w:t>, quantum and metaverse</w:t>
      </w:r>
      <w:r w:rsidR="00217645">
        <w:t>,</w:t>
      </w:r>
      <w:r w:rsidR="00117636" w:rsidRPr="00217645">
        <w:t xml:space="preserve"> involved collaboration across the United Nations system</w:t>
      </w:r>
      <w:r w:rsidRPr="00217645">
        <w:t>. Capacity</w:t>
      </w:r>
      <w:r w:rsidR="00222E2B">
        <w:t>-</w:t>
      </w:r>
      <w:r w:rsidRPr="00217645">
        <w:t>development and technical</w:t>
      </w:r>
      <w:r w:rsidR="00222E2B">
        <w:t>-</w:t>
      </w:r>
      <w:r w:rsidRPr="00217645">
        <w:t xml:space="preserve">assistance activities </w:t>
      </w:r>
      <w:r w:rsidR="0092090F" w:rsidRPr="00217645">
        <w:t>had</w:t>
      </w:r>
      <w:r w:rsidRPr="00217645">
        <w:t xml:space="preserve"> a direct impact in countries, while platforms such as AI for Good </w:t>
      </w:r>
      <w:r w:rsidR="0092090F" w:rsidRPr="00217645">
        <w:t xml:space="preserve">enabled </w:t>
      </w:r>
      <w:r w:rsidRPr="00217645">
        <w:t xml:space="preserve">multilateral </w:t>
      </w:r>
      <w:r w:rsidR="0092090F" w:rsidRPr="00217645">
        <w:t>engagement</w:t>
      </w:r>
      <w:r w:rsidRPr="00217645">
        <w:t>.</w:t>
      </w:r>
      <w:r w:rsidR="00B47B38" w:rsidRPr="00217645">
        <w:t xml:space="preserve"> </w:t>
      </w:r>
      <w:r w:rsidRPr="00217645">
        <w:t>Implement</w:t>
      </w:r>
      <w:r w:rsidR="000E5958" w:rsidRPr="003E275C">
        <w:t>ation of</w:t>
      </w:r>
      <w:r w:rsidRPr="00217645">
        <w:t xml:space="preserve"> </w:t>
      </w:r>
      <w:r w:rsidR="000E5958" w:rsidRPr="003E275C">
        <w:t>the Radio</w:t>
      </w:r>
      <w:r w:rsidR="000E5958" w:rsidRPr="00217645">
        <w:t xml:space="preserve"> </w:t>
      </w:r>
      <w:r w:rsidR="000E5958" w:rsidRPr="003E275C">
        <w:t>R</w:t>
      </w:r>
      <w:r w:rsidRPr="00217645">
        <w:t>egulations</w:t>
      </w:r>
      <w:r w:rsidR="000E5958" w:rsidRPr="003E275C">
        <w:t xml:space="preserve"> and processing of filings </w:t>
      </w:r>
      <w:r w:rsidR="0092090F" w:rsidRPr="003E275C">
        <w:t>remained</w:t>
      </w:r>
      <w:r w:rsidR="000E5958" w:rsidRPr="003E275C">
        <w:t xml:space="preserve"> core activities and </w:t>
      </w:r>
      <w:r w:rsidR="0092090F" w:rsidRPr="003E275C">
        <w:t>supported</w:t>
      </w:r>
      <w:r w:rsidR="000E5958" w:rsidRPr="003E275C">
        <w:t xml:space="preserve"> cost recovery.</w:t>
      </w:r>
      <w:r w:rsidR="000E5958" w:rsidRPr="00217645">
        <w:t xml:space="preserve"> </w:t>
      </w:r>
      <w:r w:rsidR="000E5958" w:rsidRPr="003E275C">
        <w:t>T</w:t>
      </w:r>
      <w:r w:rsidRPr="00217645">
        <w:t>he new Radio Regulation Navigation Tool and Maritime Manual</w:t>
      </w:r>
      <w:r w:rsidR="000E5958" w:rsidRPr="003E275C">
        <w:t xml:space="preserve"> w</w:t>
      </w:r>
      <w:r w:rsidR="0092090F" w:rsidRPr="003E275C">
        <w:t>ere aids to</w:t>
      </w:r>
      <w:r w:rsidR="000E5958" w:rsidRPr="003E275C">
        <w:t xml:space="preserve"> compliance</w:t>
      </w:r>
      <w:r w:rsidRPr="00217645">
        <w:t>. He welcomed Palau as the Union</w:t>
      </w:r>
      <w:r w:rsidR="00217645">
        <w:t>'</w:t>
      </w:r>
      <w:r w:rsidRPr="00217645">
        <w:t>s 194</w:t>
      </w:r>
      <w:r w:rsidRPr="00217645">
        <w:rPr>
          <w:vertAlign w:val="superscript"/>
        </w:rPr>
        <w:t>th</w:t>
      </w:r>
      <w:r w:rsidRPr="00217645">
        <w:t xml:space="preserve"> Member State and noted with satisfaction the increase in </w:t>
      </w:r>
      <w:r w:rsidR="00190209" w:rsidRPr="00217645">
        <w:t>S</w:t>
      </w:r>
      <w:r w:rsidRPr="00217645">
        <w:t>ector membership.</w:t>
      </w:r>
      <w:r w:rsidR="00B47B38" w:rsidRPr="00217645">
        <w:t xml:space="preserve"> </w:t>
      </w:r>
    </w:p>
    <w:p w14:paraId="424B14F8" w14:textId="776CFE4C" w:rsidR="00E22551" w:rsidRPr="00217645" w:rsidRDefault="00E22551" w:rsidP="008B4B7F">
      <w:pPr>
        <w:jc w:val="both"/>
      </w:pPr>
      <w:r w:rsidRPr="00217645">
        <w:t>1.2</w:t>
      </w:r>
      <w:r w:rsidRPr="00217645">
        <w:tab/>
        <w:t xml:space="preserve">Guided by </w:t>
      </w:r>
      <w:r w:rsidR="0092090F" w:rsidRPr="00217645">
        <w:t xml:space="preserve">Council </w:t>
      </w:r>
      <w:r w:rsidRPr="00217645">
        <w:t>decisions, a high-level roundtable o</w:t>
      </w:r>
      <w:r w:rsidR="0092090F" w:rsidRPr="00217645">
        <w:t>n the role of</w:t>
      </w:r>
      <w:r w:rsidRPr="00217645">
        <w:t xml:space="preserve"> digital technologies </w:t>
      </w:r>
      <w:r w:rsidR="0092090F" w:rsidRPr="00217645">
        <w:t>in</w:t>
      </w:r>
      <w:r w:rsidRPr="00217645">
        <w:t xml:space="preserve"> climate action had been </w:t>
      </w:r>
      <w:r w:rsidR="0092090F" w:rsidRPr="00217645">
        <w:t>held at</w:t>
      </w:r>
      <w:r w:rsidRPr="00217645">
        <w:t xml:space="preserve"> the 29</w:t>
      </w:r>
      <w:r w:rsidRPr="00217645">
        <w:rPr>
          <w:vertAlign w:val="superscript"/>
        </w:rPr>
        <w:t>th</w:t>
      </w:r>
      <w:r w:rsidRPr="00217645">
        <w:t xml:space="preserve"> U</w:t>
      </w:r>
      <w:r w:rsidR="0092090F" w:rsidRPr="00217645">
        <w:t xml:space="preserve">nited </w:t>
      </w:r>
      <w:r w:rsidRPr="00217645">
        <w:t>N</w:t>
      </w:r>
      <w:r w:rsidR="0092090F" w:rsidRPr="00217645">
        <w:t>ations</w:t>
      </w:r>
      <w:r w:rsidRPr="00217645">
        <w:t xml:space="preserve"> Climate Change Conference (COP</w:t>
      </w:r>
      <w:r w:rsidR="0031697A" w:rsidRPr="00217645">
        <w:t> </w:t>
      </w:r>
      <w:r w:rsidRPr="00217645">
        <w:t xml:space="preserve">29) and work on environmental sustainability </w:t>
      </w:r>
      <w:r w:rsidR="0092090F" w:rsidRPr="00217645">
        <w:t>now</w:t>
      </w:r>
      <w:r w:rsidRPr="00217645">
        <w:t xml:space="preserve"> include</w:t>
      </w:r>
      <w:r w:rsidR="0092090F" w:rsidRPr="00217645">
        <w:t>d</w:t>
      </w:r>
      <w:r w:rsidRPr="00217645">
        <w:t xml:space="preserve"> the Early Warnings for All Initiative. Partnership work in 2024 had included the first Space Sustainability Forum and the launch of the Digital Infrastructure Investment Initiative and the International Advisory Body on Submarine Cable Resilience. </w:t>
      </w:r>
      <w:r w:rsidR="00DD4CCC" w:rsidRPr="00217645">
        <w:t xml:space="preserve">The </w:t>
      </w:r>
      <w:proofErr w:type="spellStart"/>
      <w:r w:rsidRPr="00217645">
        <w:t>Partner2Connect</w:t>
      </w:r>
      <w:proofErr w:type="spellEnd"/>
      <w:r w:rsidR="00DD4CCC" w:rsidRPr="00217645">
        <w:t xml:space="preserve"> Digital Coalition</w:t>
      </w:r>
      <w:r w:rsidRPr="00217645">
        <w:t xml:space="preserve"> continued to grow, with </w:t>
      </w:r>
      <w:r w:rsidR="000E5958" w:rsidRPr="003E275C">
        <w:t>the goal of collectin</w:t>
      </w:r>
      <w:r w:rsidR="00A50277" w:rsidRPr="003E275C">
        <w:t>g</w:t>
      </w:r>
      <w:r w:rsidR="000E5958" w:rsidRPr="003E275C">
        <w:t xml:space="preserve"> USD</w:t>
      </w:r>
      <w:r w:rsidR="00217645">
        <w:t> </w:t>
      </w:r>
      <w:r w:rsidR="000E5958" w:rsidRPr="003E275C">
        <w:t>100</w:t>
      </w:r>
      <w:r w:rsidR="00217645">
        <w:t> </w:t>
      </w:r>
      <w:r w:rsidR="000E5958" w:rsidRPr="003E275C">
        <w:t>billion</w:t>
      </w:r>
      <w:r w:rsidR="00592B48" w:rsidRPr="00217645">
        <w:t xml:space="preserve"> in commitments</w:t>
      </w:r>
      <w:r w:rsidR="000E5958" w:rsidRPr="003E275C">
        <w:t xml:space="preserve"> </w:t>
      </w:r>
      <w:r w:rsidR="0092090F" w:rsidRPr="003E275C">
        <w:t>within reach</w:t>
      </w:r>
      <w:r w:rsidR="000E5958" w:rsidRPr="003E275C">
        <w:t>.</w:t>
      </w:r>
      <w:r w:rsidR="00117636" w:rsidRPr="00217645">
        <w:t xml:space="preserve"> </w:t>
      </w:r>
      <w:r w:rsidRPr="00217645">
        <w:t>Reaffirming continued commitment to resource optimization</w:t>
      </w:r>
      <w:r w:rsidR="00190209" w:rsidRPr="00217645">
        <w:t>,</w:t>
      </w:r>
      <w:r w:rsidRPr="00217645">
        <w:t xml:space="preserve"> he noted that human resource and organizational </w:t>
      </w:r>
      <w:r w:rsidR="0092090F" w:rsidRPr="00217645">
        <w:t xml:space="preserve">reforms had </w:t>
      </w:r>
      <w:r w:rsidRPr="00217645">
        <w:t>strengthen</w:t>
      </w:r>
      <w:r w:rsidR="0092090F" w:rsidRPr="00217645">
        <w:t>ed</w:t>
      </w:r>
      <w:r w:rsidRPr="00217645">
        <w:t xml:space="preserve"> the organization and </w:t>
      </w:r>
      <w:r w:rsidR="0092090F" w:rsidRPr="00217645">
        <w:t xml:space="preserve">supported </w:t>
      </w:r>
      <w:r w:rsidRPr="00217645">
        <w:t xml:space="preserve">talent </w:t>
      </w:r>
      <w:r w:rsidR="0092090F" w:rsidRPr="00217645">
        <w:t>renewal</w:t>
      </w:r>
      <w:r w:rsidRPr="00217645">
        <w:t xml:space="preserve">. </w:t>
      </w:r>
      <w:r w:rsidR="0092090F" w:rsidRPr="00217645">
        <w:t>He concluded by stating that</w:t>
      </w:r>
      <w:r w:rsidRPr="00217645">
        <w:t xml:space="preserve"> a </w:t>
      </w:r>
      <w:r w:rsidR="0092090F" w:rsidRPr="00217645">
        <w:t xml:space="preserve">robust </w:t>
      </w:r>
      <w:r w:rsidRPr="00217645">
        <w:t xml:space="preserve">plan </w:t>
      </w:r>
      <w:r w:rsidR="00E72DA0" w:rsidRPr="00217645">
        <w:t>for</w:t>
      </w:r>
      <w:r w:rsidRPr="00217645">
        <w:t xml:space="preserve"> website modernization</w:t>
      </w:r>
      <w:r w:rsidR="00E72DA0" w:rsidRPr="00217645">
        <w:t xml:space="preserve"> was in place</w:t>
      </w:r>
      <w:r w:rsidRPr="00217645">
        <w:t xml:space="preserve">. </w:t>
      </w:r>
    </w:p>
    <w:bookmarkEnd w:id="11"/>
    <w:p w14:paraId="557032F4" w14:textId="2685A202" w:rsidR="00E22551" w:rsidRPr="00217645" w:rsidRDefault="00E22551" w:rsidP="008B4B7F">
      <w:pPr>
        <w:jc w:val="both"/>
      </w:pPr>
      <w:r w:rsidRPr="00217645">
        <w:t>1.3</w:t>
      </w:r>
      <w:r w:rsidRPr="00217645">
        <w:tab/>
        <w:t xml:space="preserve">Councillors welcomed the comprehensive report and its </w:t>
      </w:r>
      <w:r w:rsidR="00F41763" w:rsidRPr="00217645">
        <w:t>alignment with</w:t>
      </w:r>
      <w:r w:rsidRPr="00217645">
        <w:t xml:space="preserve"> strategic priorities</w:t>
      </w:r>
      <w:r w:rsidR="00985046" w:rsidRPr="00217645">
        <w:t xml:space="preserve"> and a results-based approach</w:t>
      </w:r>
      <w:r w:rsidRPr="00217645">
        <w:t xml:space="preserve">, as well as the progress made in implementing the strategic plan. One councillor proposed </w:t>
      </w:r>
      <w:r w:rsidR="00B325D8" w:rsidRPr="00217645">
        <w:t xml:space="preserve">including </w:t>
      </w:r>
      <w:r w:rsidRPr="00217645">
        <w:t xml:space="preserve">references to </w:t>
      </w:r>
      <w:r w:rsidR="00B325D8" w:rsidRPr="00217645">
        <w:t>advisory group</w:t>
      </w:r>
      <w:r w:rsidRPr="00217645">
        <w:t xml:space="preserve"> reports </w:t>
      </w:r>
      <w:r w:rsidR="00B325D8" w:rsidRPr="00217645">
        <w:t>for more</w:t>
      </w:r>
      <w:r w:rsidRPr="00217645">
        <w:t xml:space="preserve"> detail. </w:t>
      </w:r>
      <w:r w:rsidR="00B325D8" w:rsidRPr="00217645">
        <w:t>A second</w:t>
      </w:r>
      <w:r w:rsidRPr="00217645">
        <w:t xml:space="preserve"> requested information </w:t>
      </w:r>
      <w:r w:rsidR="00B325D8" w:rsidRPr="00217645">
        <w:t>on</w:t>
      </w:r>
      <w:r w:rsidRPr="00217645">
        <w:t xml:space="preserve"> implementation challenges to inform the next strategic plan. </w:t>
      </w:r>
      <w:r w:rsidR="00B325D8" w:rsidRPr="00217645">
        <w:t>A third</w:t>
      </w:r>
      <w:r w:rsidRPr="00217645">
        <w:t xml:space="preserve"> </w:t>
      </w:r>
      <w:r w:rsidR="00B325D8" w:rsidRPr="00217645">
        <w:t>suggested expanding the</w:t>
      </w:r>
      <w:r w:rsidRPr="00217645">
        <w:t xml:space="preserve"> thematic priority </w:t>
      </w:r>
      <w:r w:rsidR="00B325D8" w:rsidRPr="00217645">
        <w:t>on</w:t>
      </w:r>
      <w:r w:rsidRPr="00217645">
        <w:t xml:space="preserve"> international numbering resources </w:t>
      </w:r>
      <w:r w:rsidR="00985046" w:rsidRPr="00217645">
        <w:t xml:space="preserve">in the next strategic plan </w:t>
      </w:r>
      <w:r w:rsidRPr="00217645">
        <w:t xml:space="preserve">to </w:t>
      </w:r>
      <w:r w:rsidR="00B325D8" w:rsidRPr="00217645">
        <w:t xml:space="preserve">cover </w:t>
      </w:r>
      <w:r w:rsidRPr="00217645">
        <w:t xml:space="preserve">development of international standards more broadly. </w:t>
      </w:r>
    </w:p>
    <w:p w14:paraId="4C5F91B5" w14:textId="236DB808" w:rsidR="00E22551" w:rsidRPr="00217645" w:rsidRDefault="00E22551" w:rsidP="008B4B7F">
      <w:pPr>
        <w:jc w:val="both"/>
      </w:pPr>
      <w:r w:rsidRPr="00217645">
        <w:t>1.4</w:t>
      </w:r>
      <w:r w:rsidRPr="00217645">
        <w:tab/>
        <w:t>Two councillors emphasized ITU</w:t>
      </w:r>
      <w:r w:rsidR="00217645">
        <w:t>'</w:t>
      </w:r>
      <w:r w:rsidR="00EF485E" w:rsidRPr="00217645">
        <w:t>s</w:t>
      </w:r>
      <w:r w:rsidRPr="00217645">
        <w:t xml:space="preserve"> pivotal role </w:t>
      </w:r>
      <w:r w:rsidR="00EF485E" w:rsidRPr="00217645">
        <w:t>i</w:t>
      </w:r>
      <w:r w:rsidRPr="00217645">
        <w:t xml:space="preserve">n </w:t>
      </w:r>
      <w:r w:rsidR="00240F9E" w:rsidRPr="00217645">
        <w:t>information and communication technologies (</w:t>
      </w:r>
      <w:r w:rsidRPr="00217645">
        <w:t>ICTs</w:t>
      </w:r>
      <w:r w:rsidR="00240F9E" w:rsidRPr="00217645">
        <w:t>)</w:t>
      </w:r>
      <w:r w:rsidRPr="00217645">
        <w:t xml:space="preserve"> and </w:t>
      </w:r>
      <w:r w:rsidR="00EF485E" w:rsidRPr="00217645">
        <w:t>tele</w:t>
      </w:r>
      <w:r w:rsidRPr="00217645">
        <w:t>communication</w:t>
      </w:r>
      <w:r w:rsidR="00EF485E" w:rsidRPr="00217645">
        <w:t>s</w:t>
      </w:r>
      <w:r w:rsidRPr="00217645">
        <w:t xml:space="preserve"> within the multilateral ecosystem. Councillors endorsed </w:t>
      </w:r>
      <w:r w:rsidR="00EF485E" w:rsidRPr="00217645">
        <w:t>ITU</w:t>
      </w:r>
      <w:r w:rsidR="00217645">
        <w:t>'</w:t>
      </w:r>
      <w:r w:rsidRPr="00217645">
        <w:t>s AI</w:t>
      </w:r>
      <w:r w:rsidR="00EF485E" w:rsidRPr="00217645">
        <w:t xml:space="preserve"> initiatives</w:t>
      </w:r>
      <w:r w:rsidRPr="00217645">
        <w:t xml:space="preserve">, including AI for Good, </w:t>
      </w:r>
      <w:r w:rsidR="00EF485E" w:rsidRPr="00217645">
        <w:t>recognizing AI</w:t>
      </w:r>
      <w:r w:rsidR="00217645">
        <w:t>'</w:t>
      </w:r>
      <w:r w:rsidR="00EF485E" w:rsidRPr="00217645">
        <w:t xml:space="preserve">s key role </w:t>
      </w:r>
      <w:r w:rsidRPr="00217645">
        <w:t xml:space="preserve">in addressing global development challenges. One councillor expressed support for Quantum for Good, noting </w:t>
      </w:r>
      <w:r w:rsidR="00EF485E" w:rsidRPr="00217645">
        <w:t>both the</w:t>
      </w:r>
      <w:r w:rsidRPr="00217645">
        <w:t xml:space="preserve"> challenges </w:t>
      </w:r>
      <w:r w:rsidR="00EF485E" w:rsidRPr="00217645">
        <w:t xml:space="preserve">and </w:t>
      </w:r>
      <w:r w:rsidR="005A3D06">
        <w:t xml:space="preserve">the </w:t>
      </w:r>
      <w:r w:rsidRPr="00217645">
        <w:t>opportunities</w:t>
      </w:r>
      <w:r w:rsidR="00EF485E" w:rsidRPr="00217645">
        <w:t xml:space="preserve"> associated with quantum technologies</w:t>
      </w:r>
      <w:r w:rsidRPr="00217645">
        <w:t xml:space="preserve">. Several councillors welcomed the transformation </w:t>
      </w:r>
      <w:r w:rsidR="00EF485E" w:rsidRPr="00217645">
        <w:t xml:space="preserve">process and </w:t>
      </w:r>
      <w:r w:rsidRPr="00217645">
        <w:t xml:space="preserve">promotion of partnerships. </w:t>
      </w:r>
      <w:r w:rsidR="002C36C3" w:rsidRPr="00217645">
        <w:t>C</w:t>
      </w:r>
      <w:r w:rsidRPr="00217645">
        <w:t xml:space="preserve">ouncillors </w:t>
      </w:r>
      <w:r w:rsidR="002C36C3" w:rsidRPr="00217645">
        <w:t xml:space="preserve">highlighted the persistent issue of affordability and </w:t>
      </w:r>
      <w:r w:rsidRPr="00217645">
        <w:t>the digital skills gap, in</w:t>
      </w:r>
      <w:r w:rsidR="002C36C3" w:rsidRPr="00217645">
        <w:t xml:space="preserve"> particular in</w:t>
      </w:r>
      <w:r w:rsidRPr="00217645">
        <w:t xml:space="preserve"> least developed countries, with one welcoming the proposed </w:t>
      </w:r>
      <w:r w:rsidR="00E449F4" w:rsidRPr="00217645">
        <w:t xml:space="preserve">Americas </w:t>
      </w:r>
      <w:r w:rsidRPr="00217645">
        <w:t xml:space="preserve">regional initiative to support national digital skills assessment and </w:t>
      </w:r>
      <w:r w:rsidR="002C36C3" w:rsidRPr="00FD6070">
        <w:t>ano</w:t>
      </w:r>
      <w:r w:rsidRPr="00FD6070">
        <w:t>the</w:t>
      </w:r>
      <w:r w:rsidR="002C36C3" w:rsidRPr="00FD6070">
        <w:t>r</w:t>
      </w:r>
      <w:r w:rsidRPr="00FD6070">
        <w:t xml:space="preserve"> </w:t>
      </w:r>
      <w:r w:rsidRPr="00217645">
        <w:t>praising</w:t>
      </w:r>
      <w:r w:rsidR="00FD6070">
        <w:t xml:space="preserve"> the</w:t>
      </w:r>
      <w:r w:rsidRPr="00217645">
        <w:t xml:space="preserve"> focus on gender equality, youth engagement and accessibility.</w:t>
      </w:r>
    </w:p>
    <w:p w14:paraId="0965A925" w14:textId="2C0B9B5F" w:rsidR="00E22551" w:rsidRPr="00217645" w:rsidRDefault="00E22551" w:rsidP="008B4B7F">
      <w:pPr>
        <w:jc w:val="both"/>
      </w:pPr>
      <w:r w:rsidRPr="00217645">
        <w:t>1.5</w:t>
      </w:r>
      <w:r w:rsidRPr="00217645">
        <w:tab/>
        <w:t xml:space="preserve">Several councillors </w:t>
      </w:r>
      <w:r w:rsidR="009529D0" w:rsidRPr="00217645">
        <w:t>highlighted</w:t>
      </w:r>
      <w:r w:rsidR="002C36C3" w:rsidRPr="00217645">
        <w:t xml:space="preserve"> </w:t>
      </w:r>
      <w:r w:rsidRPr="00217645">
        <w:t xml:space="preserve">the critical role </w:t>
      </w:r>
      <w:r w:rsidR="002C36C3" w:rsidRPr="00217645">
        <w:t>of</w:t>
      </w:r>
      <w:r w:rsidRPr="00217645">
        <w:t xml:space="preserve"> ITU in develop</w:t>
      </w:r>
      <w:r w:rsidR="002C36C3" w:rsidRPr="00217645">
        <w:t>ing</w:t>
      </w:r>
      <w:r w:rsidRPr="00217645">
        <w:t xml:space="preserve"> international standards and balancing security </w:t>
      </w:r>
      <w:r w:rsidR="00141652" w:rsidRPr="00217645">
        <w:t xml:space="preserve">and governance </w:t>
      </w:r>
      <w:r w:rsidR="009529D0" w:rsidRPr="00217645">
        <w:t>concerns with</w:t>
      </w:r>
      <w:r w:rsidRPr="00217645">
        <w:t xml:space="preserve"> innovation. </w:t>
      </w:r>
      <w:r w:rsidR="009529D0" w:rsidRPr="00217645">
        <w:t>T</w:t>
      </w:r>
      <w:r w:rsidRPr="00217645">
        <w:t>he ITU</w:t>
      </w:r>
      <w:r w:rsidR="00222E2B">
        <w:noBreakHyphen/>
      </w:r>
      <w:r w:rsidRPr="00217645">
        <w:t xml:space="preserve">D commitment to </w:t>
      </w:r>
      <w:r w:rsidR="00444C74" w:rsidRPr="00217645">
        <w:t xml:space="preserve">universal, </w:t>
      </w:r>
      <w:r w:rsidRPr="00217645">
        <w:t xml:space="preserve">meaningful and affordable accessibility </w:t>
      </w:r>
      <w:r w:rsidR="009529D0" w:rsidRPr="00217645">
        <w:t>was welcome</w:t>
      </w:r>
      <w:r w:rsidR="00444C74" w:rsidRPr="00217645">
        <w:t>d;</w:t>
      </w:r>
      <w:r w:rsidR="009529D0" w:rsidRPr="00217645">
        <w:t xml:space="preserve"> </w:t>
      </w:r>
      <w:r w:rsidR="00444C74" w:rsidRPr="00217645">
        <w:t>however,</w:t>
      </w:r>
      <w:r w:rsidR="009529D0" w:rsidRPr="00217645">
        <w:t xml:space="preserve"> </w:t>
      </w:r>
      <w:r w:rsidR="009529D0" w:rsidRPr="00217645">
        <w:lastRenderedPageBreak/>
        <w:t xml:space="preserve">one councillor </w:t>
      </w:r>
      <w:r w:rsidR="00444C74" w:rsidRPr="00217645">
        <w:t>emphasized the need for</w:t>
      </w:r>
      <w:r w:rsidRPr="00217645">
        <w:t xml:space="preserve"> </w:t>
      </w:r>
      <w:r w:rsidR="009529D0" w:rsidRPr="00217645">
        <w:t xml:space="preserve">resource mobilization and capacity building </w:t>
      </w:r>
      <w:r w:rsidR="00444C74" w:rsidRPr="00217645">
        <w:t>tailored to</w:t>
      </w:r>
      <w:r w:rsidR="009529D0" w:rsidRPr="00217645">
        <w:t xml:space="preserve"> </w:t>
      </w:r>
      <w:r w:rsidRPr="00217645">
        <w:t>small economies, including scalable, adoptable and regionally coordinated</w:t>
      </w:r>
      <w:r w:rsidR="00444C74" w:rsidRPr="00217645">
        <w:t xml:space="preserve"> solutions</w:t>
      </w:r>
      <w:r w:rsidRPr="00217645">
        <w:t>.</w:t>
      </w:r>
    </w:p>
    <w:p w14:paraId="61DB7198" w14:textId="22497806" w:rsidR="00211548" w:rsidRPr="00217645" w:rsidRDefault="00E22551" w:rsidP="008B4B7F">
      <w:pPr>
        <w:jc w:val="both"/>
      </w:pPr>
      <w:r w:rsidRPr="00217645">
        <w:t>1.6</w:t>
      </w:r>
      <w:r w:rsidRPr="00217645">
        <w:tab/>
        <w:t>One observer emphasized that ITU</w:t>
      </w:r>
      <w:r w:rsidR="00444C74" w:rsidRPr="00217645">
        <w:t xml:space="preserve"> should not grow the</w:t>
      </w:r>
      <w:r w:rsidRPr="00217645">
        <w:t xml:space="preserve"> General Secretariat at the expense of its technical </w:t>
      </w:r>
      <w:r w:rsidR="00211548" w:rsidRPr="00217645">
        <w:t>S</w:t>
      </w:r>
      <w:r w:rsidRPr="00217645">
        <w:t xml:space="preserve">ectors or </w:t>
      </w:r>
      <w:r w:rsidR="00444C74" w:rsidRPr="00217645">
        <w:t>pursue</w:t>
      </w:r>
      <w:r w:rsidRPr="00217645">
        <w:t xml:space="preserve"> international symposia at the expense of core technical work. Member States relied on ITU to develop consensus recommendations and technical standards on specific </w:t>
      </w:r>
      <w:r w:rsidR="00211548" w:rsidRPr="00217645">
        <w:t>technical issues.</w:t>
      </w:r>
      <w:r w:rsidRPr="00217645">
        <w:t xml:space="preserve"> </w:t>
      </w:r>
      <w:r w:rsidR="00A50277" w:rsidRPr="00217645">
        <w:t>T</w:t>
      </w:r>
      <w:r w:rsidRPr="00217645">
        <w:t xml:space="preserve">he lack of an international legal mechanism </w:t>
      </w:r>
      <w:r w:rsidR="00211548" w:rsidRPr="00217645">
        <w:t xml:space="preserve">agreed within ITU </w:t>
      </w:r>
      <w:r w:rsidRPr="00217645">
        <w:t xml:space="preserve">on the regulation of rapidly emerging technologies meant countries were developing conditions for their use at national level without </w:t>
      </w:r>
      <w:r w:rsidR="00211548" w:rsidRPr="00217645">
        <w:t>agreed international recommendations or criteria</w:t>
      </w:r>
      <w:r w:rsidRPr="00217645">
        <w:t>. He called for the establishment of an independent high-level expert group to develop proposals to optimize the effectiveness</w:t>
      </w:r>
      <w:r w:rsidR="00211548" w:rsidRPr="00217645">
        <w:t xml:space="preserve"> and efficiency of the Union</w:t>
      </w:r>
      <w:r w:rsidR="00222E2B">
        <w:t>'</w:t>
      </w:r>
      <w:r w:rsidR="00211548" w:rsidRPr="00217645">
        <w:t>s operations</w:t>
      </w:r>
      <w:r w:rsidRPr="00217645">
        <w:t>.</w:t>
      </w:r>
    </w:p>
    <w:p w14:paraId="1C16A27F" w14:textId="4B7682EF" w:rsidR="00E22551" w:rsidRPr="00217645" w:rsidRDefault="00205658" w:rsidP="008B4B7F">
      <w:pPr>
        <w:jc w:val="both"/>
      </w:pPr>
      <w:r w:rsidRPr="00217645">
        <w:t>1.7</w:t>
      </w:r>
      <w:r w:rsidRPr="00217645">
        <w:tab/>
        <w:t xml:space="preserve">The </w:t>
      </w:r>
      <w:r w:rsidR="00E22551" w:rsidRPr="00217645">
        <w:t>observer</w:t>
      </w:r>
      <w:r w:rsidRPr="00217645">
        <w:t xml:space="preserve"> for the Islamic Republic of Iran</w:t>
      </w:r>
      <w:r w:rsidR="00E22551" w:rsidRPr="00217645">
        <w:t xml:space="preserve"> </w:t>
      </w:r>
      <w:r w:rsidRPr="00217645">
        <w:t xml:space="preserve">took the floor to </w:t>
      </w:r>
      <w:r w:rsidR="00E22551" w:rsidRPr="00217645">
        <w:t xml:space="preserve">condemn acts of </w:t>
      </w:r>
      <w:r w:rsidRPr="00217645">
        <w:t xml:space="preserve">State </w:t>
      </w:r>
      <w:r w:rsidR="00E22551" w:rsidRPr="00217645">
        <w:t>aggression</w:t>
      </w:r>
      <w:r w:rsidR="00B47B38" w:rsidRPr="00217645">
        <w:t xml:space="preserve"> </w:t>
      </w:r>
      <w:r w:rsidR="00E22551" w:rsidRPr="00217645">
        <w:t xml:space="preserve">against </w:t>
      </w:r>
      <w:r w:rsidRPr="00217645">
        <w:t xml:space="preserve">its </w:t>
      </w:r>
      <w:r w:rsidR="00E22551" w:rsidRPr="00217645">
        <w:t>critical telecommunication infrastructure</w:t>
      </w:r>
      <w:r w:rsidRPr="00217645">
        <w:t>, disrupting civil services and jeopardizing the health and safety of civilians.</w:t>
      </w:r>
      <w:r w:rsidR="00E22551" w:rsidRPr="00217645">
        <w:t xml:space="preserve"> </w:t>
      </w:r>
      <w:r w:rsidRPr="00217645">
        <w:t>The observer for Palestine</w:t>
      </w:r>
      <w:r w:rsidR="00E22551" w:rsidRPr="00217645">
        <w:t xml:space="preserve"> said an urgent rethink of the connection situation</w:t>
      </w:r>
      <w:r w:rsidRPr="00217645">
        <w:t xml:space="preserve"> was needed to ensure that no one was left behind</w:t>
      </w:r>
      <w:r w:rsidR="00E22551" w:rsidRPr="00217645">
        <w:t xml:space="preserve">, in conflict and in peace time. </w:t>
      </w:r>
      <w:r w:rsidRPr="00217645">
        <w:t>The</w:t>
      </w:r>
      <w:r w:rsidR="00E22551" w:rsidRPr="00217645">
        <w:t xml:space="preserve"> observer</w:t>
      </w:r>
      <w:r w:rsidRPr="00217645">
        <w:t xml:space="preserve"> for Israel</w:t>
      </w:r>
      <w:r w:rsidR="00E22551" w:rsidRPr="00217645">
        <w:t xml:space="preserve"> warned against politicization of the Union as a technical institution.</w:t>
      </w:r>
    </w:p>
    <w:p w14:paraId="2B64A280" w14:textId="1C3606F2" w:rsidR="00E22551" w:rsidRPr="00217645" w:rsidRDefault="00E22551" w:rsidP="008B4B7F">
      <w:pPr>
        <w:jc w:val="both"/>
      </w:pPr>
      <w:bookmarkStart w:id="12" w:name="_Hlk201330354"/>
      <w:r w:rsidRPr="00217645">
        <w:t>1.</w:t>
      </w:r>
      <w:r w:rsidR="00564907" w:rsidRPr="00217645">
        <w:t>8</w:t>
      </w:r>
      <w:r w:rsidRPr="00217645">
        <w:tab/>
        <w:t>The Deputy Secretary</w:t>
      </w:r>
      <w:r w:rsidR="00AA6C06" w:rsidRPr="00217645">
        <w:t>-</w:t>
      </w:r>
      <w:r w:rsidRPr="00217645">
        <w:t>General emphasized that the progress report</w:t>
      </w:r>
      <w:r w:rsidR="00FA2731" w:rsidRPr="00217645">
        <w:t>ed</w:t>
      </w:r>
      <w:r w:rsidRPr="00217645">
        <w:t xml:space="preserve"> had been achieved </w:t>
      </w:r>
      <w:r w:rsidR="00AA6C06" w:rsidRPr="00217645">
        <w:t xml:space="preserve">in concert </w:t>
      </w:r>
      <w:r w:rsidRPr="00217645">
        <w:t>with Member States. He noted requests for improve</w:t>
      </w:r>
      <w:r w:rsidR="00FA2731" w:rsidRPr="00217645">
        <w:t>d</w:t>
      </w:r>
      <w:r w:rsidRPr="00217645">
        <w:t xml:space="preserve"> reporting and </w:t>
      </w:r>
      <w:r w:rsidR="00AA6C06" w:rsidRPr="00217645">
        <w:t>incorporation of</w:t>
      </w:r>
      <w:r w:rsidRPr="00217645">
        <w:t xml:space="preserve"> </w:t>
      </w:r>
      <w:r w:rsidR="00FA2731" w:rsidRPr="00217645">
        <w:t>S</w:t>
      </w:r>
      <w:r w:rsidRPr="00217645">
        <w:t xml:space="preserve">ector </w:t>
      </w:r>
      <w:r w:rsidR="00FA2731" w:rsidRPr="00217645">
        <w:t>data</w:t>
      </w:r>
      <w:r w:rsidRPr="00217645">
        <w:t xml:space="preserve"> and welcomed </w:t>
      </w:r>
      <w:r w:rsidR="00FA2731" w:rsidRPr="00217645">
        <w:t>calls</w:t>
      </w:r>
      <w:r w:rsidRPr="00217645">
        <w:t xml:space="preserve"> </w:t>
      </w:r>
      <w:r w:rsidR="00FA2731" w:rsidRPr="00217645">
        <w:t>to identify implementation</w:t>
      </w:r>
      <w:r w:rsidRPr="00217645">
        <w:t xml:space="preserve"> challenges to inform future planning; that would be addressed in the Council </w:t>
      </w:r>
      <w:r w:rsidR="00AA6C06" w:rsidRPr="00217645">
        <w:t>W</w:t>
      </w:r>
      <w:r w:rsidRPr="00217645">
        <w:t xml:space="preserve">orking </w:t>
      </w:r>
      <w:r w:rsidR="00AA6C06" w:rsidRPr="00217645">
        <w:t>G</w:t>
      </w:r>
      <w:r w:rsidRPr="00217645">
        <w:t>roup</w:t>
      </w:r>
      <w:r w:rsidR="00AA6C06" w:rsidRPr="00217645">
        <w:t xml:space="preserve"> on strategic and financial planning</w:t>
      </w:r>
      <w:r w:rsidRPr="00217645">
        <w:t xml:space="preserve">. Acknowledging the existence of competing priorities in countries facing challenging economic situations, he said </w:t>
      </w:r>
      <w:r w:rsidR="00141652" w:rsidRPr="00217645">
        <w:t xml:space="preserve">that </w:t>
      </w:r>
      <w:r w:rsidRPr="00217645">
        <w:t>sustainably progressing</w:t>
      </w:r>
      <w:r w:rsidR="00AA6C06" w:rsidRPr="00217645">
        <w:t xml:space="preserve"> universal</w:t>
      </w:r>
      <w:r w:rsidRPr="00217645">
        <w:t xml:space="preserve"> digital development required ITU</w:t>
      </w:r>
      <w:r w:rsidR="00AA6C06" w:rsidRPr="00217645">
        <w:t xml:space="preserve"> and its</w:t>
      </w:r>
      <w:r w:rsidRPr="00217645">
        <w:t xml:space="preserve"> </w:t>
      </w:r>
      <w:r w:rsidR="00AA6C06" w:rsidRPr="00217645">
        <w:t xml:space="preserve">unique </w:t>
      </w:r>
      <w:r w:rsidRPr="00217645">
        <w:t>mandate</w:t>
      </w:r>
      <w:r w:rsidR="00B47B38" w:rsidRPr="00217645">
        <w:t xml:space="preserve"> </w:t>
      </w:r>
      <w:r w:rsidR="00AA6C06" w:rsidRPr="00217645">
        <w:t xml:space="preserve">to be at the forefront, as digital </w:t>
      </w:r>
      <w:r w:rsidR="00071B15" w:rsidRPr="00217645">
        <w:t>issues spanned multiple</w:t>
      </w:r>
      <w:r w:rsidR="00AA6C06" w:rsidRPr="00217645">
        <w:t xml:space="preserve"> organizations</w:t>
      </w:r>
      <w:r w:rsidRPr="00217645">
        <w:t xml:space="preserve">. </w:t>
      </w:r>
      <w:r w:rsidR="00071B15" w:rsidRPr="00217645">
        <w:t>Th</w:t>
      </w:r>
      <w:r w:rsidRPr="00217645">
        <w:t xml:space="preserve">e </w:t>
      </w:r>
      <w:r w:rsidR="00071B15" w:rsidRPr="00217645">
        <w:t xml:space="preserve">secretariat was both pursuing </w:t>
      </w:r>
      <w:r w:rsidR="00141652" w:rsidRPr="00217645">
        <w:t>internal</w:t>
      </w:r>
      <w:r w:rsidRPr="00217645">
        <w:t xml:space="preserve"> efficiency and transformation measures</w:t>
      </w:r>
      <w:r w:rsidR="00071B15" w:rsidRPr="00217645">
        <w:t>,</w:t>
      </w:r>
      <w:r w:rsidRPr="00217645">
        <w:t xml:space="preserve"> </w:t>
      </w:r>
      <w:r w:rsidR="00071B15" w:rsidRPr="00217645">
        <w:t xml:space="preserve">as </w:t>
      </w:r>
      <w:r w:rsidRPr="00217645">
        <w:t>detailed in Documents</w:t>
      </w:r>
      <w:r w:rsidR="00222E2B">
        <w:t> </w:t>
      </w:r>
      <w:proofErr w:type="spellStart"/>
      <w:r>
        <w:fldChar w:fldCharType="begin"/>
      </w:r>
      <w:r>
        <w:instrText>HYPERLINK "https://www.itu.int/md/S25-CL-C-0062/en"</w:instrText>
      </w:r>
      <w:r>
        <w:fldChar w:fldCharType="separate"/>
      </w:r>
      <w:r w:rsidRPr="00F3464C">
        <w:rPr>
          <w:rStyle w:val="Hyperlink"/>
        </w:rPr>
        <w:t>C25</w:t>
      </w:r>
      <w:proofErr w:type="spellEnd"/>
      <w:r w:rsidRPr="00F3464C">
        <w:rPr>
          <w:rStyle w:val="Hyperlink"/>
        </w:rPr>
        <w:t>/62</w:t>
      </w:r>
      <w:r>
        <w:fldChar w:fldCharType="end"/>
      </w:r>
      <w:r w:rsidRPr="00217645">
        <w:t xml:space="preserve"> and </w:t>
      </w:r>
      <w:hyperlink r:id="rId15" w:history="1">
        <w:proofErr w:type="spellStart"/>
        <w:r w:rsidRPr="00875303">
          <w:rPr>
            <w:rStyle w:val="Hyperlink"/>
          </w:rPr>
          <w:t>C25</w:t>
        </w:r>
        <w:proofErr w:type="spellEnd"/>
        <w:r w:rsidRPr="00875303">
          <w:rPr>
            <w:rStyle w:val="Hyperlink"/>
          </w:rPr>
          <w:t>/55</w:t>
        </w:r>
      </w:hyperlink>
      <w:r w:rsidR="00071B15" w:rsidRPr="00217645">
        <w:t>, and participating</w:t>
      </w:r>
      <w:r w:rsidRPr="00217645">
        <w:t xml:space="preserve"> </w:t>
      </w:r>
      <w:r w:rsidR="00141652" w:rsidRPr="00217645">
        <w:t xml:space="preserve">in </w:t>
      </w:r>
      <w:r w:rsidRPr="00217645">
        <w:t>collaborative efforts across the U</w:t>
      </w:r>
      <w:r w:rsidR="00071B15" w:rsidRPr="00217645">
        <w:t xml:space="preserve">nited </w:t>
      </w:r>
      <w:r w:rsidRPr="00217645">
        <w:t>N</w:t>
      </w:r>
      <w:r w:rsidR="00071B15" w:rsidRPr="00217645">
        <w:t>ations</w:t>
      </w:r>
      <w:r w:rsidRPr="00217645">
        <w:t xml:space="preserve"> system.</w:t>
      </w:r>
    </w:p>
    <w:bookmarkEnd w:id="12"/>
    <w:p w14:paraId="4EBAE376" w14:textId="67557EEB" w:rsidR="00E22551" w:rsidRPr="00217645" w:rsidRDefault="00E22551" w:rsidP="008B4B7F">
      <w:pPr>
        <w:jc w:val="both"/>
      </w:pPr>
      <w:r w:rsidRPr="00217645">
        <w:t>1.</w:t>
      </w:r>
      <w:r w:rsidR="00564907" w:rsidRPr="00217645">
        <w:t>9</w:t>
      </w:r>
      <w:r w:rsidRPr="00217645">
        <w:tab/>
        <w:t xml:space="preserve">The Director of </w:t>
      </w:r>
      <w:r w:rsidR="00245575" w:rsidRPr="00217645">
        <w:t>the Telecommunication Development Bureau</w:t>
      </w:r>
      <w:r w:rsidRPr="00217645">
        <w:t xml:space="preserve">, responding to </w:t>
      </w:r>
      <w:r w:rsidR="000A21A0" w:rsidRPr="00217645">
        <w:t>questions</w:t>
      </w:r>
      <w:r w:rsidR="00141652" w:rsidRPr="00217645">
        <w:t xml:space="preserve"> on</w:t>
      </w:r>
      <w:r w:rsidRPr="00217645">
        <w:t xml:space="preserve"> steps taken to address data gaps, in particular for targets</w:t>
      </w:r>
      <w:r w:rsidR="00222E2B">
        <w:t> </w:t>
      </w:r>
      <w:r w:rsidRPr="00217645">
        <w:t>2.3 and 2.4</w:t>
      </w:r>
      <w:r w:rsidR="00141652" w:rsidRPr="00217645">
        <w:t xml:space="preserve"> for the Union</w:t>
      </w:r>
      <w:r w:rsidR="00222E2B">
        <w:t>'</w:t>
      </w:r>
      <w:r w:rsidR="00141652" w:rsidRPr="00217645">
        <w:t>s Connect 2030 Agenda</w:t>
      </w:r>
      <w:r w:rsidRPr="00217645">
        <w:t>, said</w:t>
      </w:r>
      <w:r w:rsidR="00141652" w:rsidRPr="00217645">
        <w:t xml:space="preserve"> that</w:t>
      </w:r>
      <w:r w:rsidRPr="00217645">
        <w:t xml:space="preserve"> the </w:t>
      </w:r>
      <w:r w:rsidR="00141652" w:rsidRPr="00217645">
        <w:t>secretariat</w:t>
      </w:r>
      <w:r w:rsidRPr="00217645">
        <w:t xml:space="preserve"> w</w:t>
      </w:r>
      <w:r w:rsidR="000A21A0" w:rsidRPr="00217645">
        <w:t>as w</w:t>
      </w:r>
      <w:r w:rsidRPr="00217645">
        <w:t>ork</w:t>
      </w:r>
      <w:r w:rsidR="000A21A0" w:rsidRPr="00217645">
        <w:t>ing</w:t>
      </w:r>
      <w:r w:rsidRPr="00217645">
        <w:t xml:space="preserve"> </w:t>
      </w:r>
      <w:r w:rsidR="00141652" w:rsidRPr="00217645">
        <w:t xml:space="preserve">with stakeholders </w:t>
      </w:r>
      <w:r w:rsidRPr="00217645">
        <w:t xml:space="preserve">to address such gaps. </w:t>
      </w:r>
      <w:r w:rsidR="000A21A0" w:rsidRPr="00217645">
        <w:t>He noted c</w:t>
      </w:r>
      <w:r w:rsidRPr="00217645">
        <w:t>ollaboration with other U</w:t>
      </w:r>
      <w:r w:rsidR="00141652" w:rsidRPr="00217645">
        <w:t xml:space="preserve">nited </w:t>
      </w:r>
      <w:r w:rsidRPr="00217645">
        <w:t>N</w:t>
      </w:r>
      <w:r w:rsidR="00141652" w:rsidRPr="00217645">
        <w:t>ations</w:t>
      </w:r>
      <w:r w:rsidRPr="00217645">
        <w:t xml:space="preserve"> </w:t>
      </w:r>
      <w:r w:rsidR="000A21A0" w:rsidRPr="00217645">
        <w:t>entities through</w:t>
      </w:r>
      <w:r w:rsidRPr="00217645">
        <w:t xml:space="preserve"> a partnership co-chaired by </w:t>
      </w:r>
      <w:r w:rsidR="000A21A0" w:rsidRPr="00217645">
        <w:t xml:space="preserve">the </w:t>
      </w:r>
      <w:r w:rsidRPr="00217645">
        <w:t>U</w:t>
      </w:r>
      <w:r w:rsidR="00141652" w:rsidRPr="00217645">
        <w:t xml:space="preserve">nited </w:t>
      </w:r>
      <w:r w:rsidRPr="00217645">
        <w:t>N</w:t>
      </w:r>
      <w:r w:rsidR="00141652" w:rsidRPr="00217645">
        <w:t>ations</w:t>
      </w:r>
      <w:r w:rsidRPr="00217645">
        <w:t xml:space="preserve"> Department of Economic and Social Affairs </w:t>
      </w:r>
      <w:r w:rsidR="000A21A0" w:rsidRPr="00217645">
        <w:t>focused</w:t>
      </w:r>
      <w:r w:rsidRPr="00217645">
        <w:t xml:space="preserve"> on measuring ICT development. A global connectivity</w:t>
      </w:r>
      <w:r w:rsidR="000A21A0" w:rsidRPr="00217645">
        <w:t xml:space="preserve"> project,</w:t>
      </w:r>
      <w:r w:rsidRPr="00217645">
        <w:t xml:space="preserve"> co-financed by the European Commission</w:t>
      </w:r>
      <w:r w:rsidR="000A21A0" w:rsidRPr="00217645">
        <w:t>,</w:t>
      </w:r>
      <w:r w:rsidRPr="00217645">
        <w:t xml:space="preserve"> would provide </w:t>
      </w:r>
      <w:r w:rsidR="000A21A0" w:rsidRPr="00217645">
        <w:t>insights into</w:t>
      </w:r>
      <w:r w:rsidR="00141652" w:rsidRPr="00217645">
        <w:t xml:space="preserve"> </w:t>
      </w:r>
      <w:r w:rsidR="000A21A0" w:rsidRPr="00217645">
        <w:t>how</w:t>
      </w:r>
      <w:r w:rsidR="00B47B38" w:rsidRPr="00217645">
        <w:t xml:space="preserve"> </w:t>
      </w:r>
      <w:r w:rsidRPr="00217645">
        <w:t>connectivity</w:t>
      </w:r>
      <w:r w:rsidR="000A21A0" w:rsidRPr="00217645">
        <w:t xml:space="preserve"> was being used</w:t>
      </w:r>
      <w:r w:rsidRPr="00217645">
        <w:t>. The U</w:t>
      </w:r>
      <w:r w:rsidR="00141652" w:rsidRPr="00217645">
        <w:t xml:space="preserve">nited </w:t>
      </w:r>
      <w:r w:rsidRPr="00217645">
        <w:t>N</w:t>
      </w:r>
      <w:r w:rsidR="00141652" w:rsidRPr="00217645">
        <w:t>ations</w:t>
      </w:r>
      <w:r w:rsidRPr="00217645">
        <w:t xml:space="preserve"> Statistical Commission, to which all </w:t>
      </w:r>
      <w:r w:rsidR="00141652" w:rsidRPr="00217645">
        <w:t xml:space="preserve">system </w:t>
      </w:r>
      <w:r w:rsidRPr="00217645">
        <w:t xml:space="preserve">organizations belonged, </w:t>
      </w:r>
      <w:r w:rsidR="000A21A0" w:rsidRPr="00217645">
        <w:t xml:space="preserve">maintained data collection </w:t>
      </w:r>
      <w:r w:rsidRPr="00217645">
        <w:t xml:space="preserve">standards and methodologies. </w:t>
      </w:r>
      <w:r w:rsidR="000A21A0" w:rsidRPr="00217645">
        <w:t>The secretariat</w:t>
      </w:r>
      <w:r w:rsidRPr="00217645">
        <w:t xml:space="preserve"> was </w:t>
      </w:r>
      <w:r w:rsidR="000A21A0" w:rsidRPr="00217645">
        <w:t xml:space="preserve">actively </w:t>
      </w:r>
      <w:r w:rsidRPr="00217645">
        <w:t>implement</w:t>
      </w:r>
      <w:r w:rsidR="000A21A0" w:rsidRPr="00217645">
        <w:t>ing</w:t>
      </w:r>
      <w:r w:rsidRPr="00217645">
        <w:t xml:space="preserve"> Resolution</w:t>
      </w:r>
      <w:r w:rsidR="00222E2B">
        <w:t> </w:t>
      </w:r>
      <w:r w:rsidRPr="00217645">
        <w:t>8</w:t>
      </w:r>
      <w:r w:rsidR="009A3C8D" w:rsidRPr="00217645">
        <w:t xml:space="preserve"> (Rev.</w:t>
      </w:r>
      <w:r w:rsidR="00222E2B">
        <w:t> </w:t>
      </w:r>
      <w:r w:rsidR="009A3C8D" w:rsidRPr="00217645">
        <w:t>Kigali, 2022)</w:t>
      </w:r>
      <w:r w:rsidRPr="00217645">
        <w:t xml:space="preserve"> of </w:t>
      </w:r>
      <w:r w:rsidR="009A3C8D" w:rsidRPr="00217645">
        <w:t xml:space="preserve">the </w:t>
      </w:r>
      <w:r w:rsidRPr="00217645">
        <w:t>World Telecommunication Development Conference and Resolution</w:t>
      </w:r>
      <w:r w:rsidR="00222E2B">
        <w:t> </w:t>
      </w:r>
      <w:r w:rsidRPr="00217645">
        <w:t>131 (Rev.</w:t>
      </w:r>
      <w:r w:rsidR="00222E2B">
        <w:t> </w:t>
      </w:r>
      <w:r w:rsidRPr="00217645">
        <w:t>Bucharest, 2022) of the Plenipotentiary Conference and encouraged Member States to en</w:t>
      </w:r>
      <w:r w:rsidR="000A21A0" w:rsidRPr="00217645">
        <w:t>able</w:t>
      </w:r>
      <w:r w:rsidRPr="00217645">
        <w:t xml:space="preserve"> expert participat</w:t>
      </w:r>
      <w:r w:rsidR="000A21A0" w:rsidRPr="00217645">
        <w:t>ion</w:t>
      </w:r>
      <w:r w:rsidRPr="00217645">
        <w:t xml:space="preserve"> in </w:t>
      </w:r>
      <w:r w:rsidR="009A3C8D" w:rsidRPr="00217645">
        <w:t>study</w:t>
      </w:r>
      <w:r w:rsidRPr="00217645">
        <w:t xml:space="preserve"> groups to </w:t>
      </w:r>
      <w:r w:rsidR="000A21A0" w:rsidRPr="00217645">
        <w:t xml:space="preserve">support </w:t>
      </w:r>
      <w:r w:rsidRPr="00217645">
        <w:t>credible data</w:t>
      </w:r>
      <w:r w:rsidR="000A21A0" w:rsidRPr="00217645">
        <w:t xml:space="preserve"> collection</w:t>
      </w:r>
      <w:r w:rsidRPr="00217645">
        <w:t>.</w:t>
      </w:r>
    </w:p>
    <w:p w14:paraId="72B51356" w14:textId="3DBF9BB4" w:rsidR="00E22551" w:rsidRPr="00217645" w:rsidRDefault="00E22551" w:rsidP="008B4B7F">
      <w:pPr>
        <w:jc w:val="both"/>
      </w:pPr>
      <w:r w:rsidRPr="00217645">
        <w:t>1.</w:t>
      </w:r>
      <w:r w:rsidR="00E84F82" w:rsidRPr="00217645">
        <w:t>10</w:t>
      </w:r>
      <w:r w:rsidRPr="00217645">
        <w:tab/>
        <w:t xml:space="preserve">The Council </w:t>
      </w:r>
      <w:r w:rsidRPr="003E275C">
        <w:rPr>
          <w:b/>
          <w:bCs/>
        </w:rPr>
        <w:t>note</w:t>
      </w:r>
      <w:r w:rsidR="00EE16DF" w:rsidRPr="00217645">
        <w:rPr>
          <w:b/>
          <w:bCs/>
        </w:rPr>
        <w:t>d</w:t>
      </w:r>
      <w:r w:rsidRPr="00217645">
        <w:t xml:space="preserve"> the report </w:t>
      </w:r>
      <w:r w:rsidR="00EE16DF" w:rsidRPr="00217645">
        <w:t xml:space="preserve">contained </w:t>
      </w:r>
      <w:r w:rsidRPr="00217645">
        <w:t>in Document</w:t>
      </w:r>
      <w:r w:rsidR="00222E2B">
        <w:t> </w:t>
      </w:r>
      <w:proofErr w:type="spellStart"/>
      <w:r w:rsidRPr="00217645">
        <w:t>C25</w:t>
      </w:r>
      <w:proofErr w:type="spellEnd"/>
      <w:r w:rsidRPr="00217645">
        <w:t>/35.</w:t>
      </w:r>
    </w:p>
    <w:p w14:paraId="46D1FE91" w14:textId="0F60E0EB" w:rsidR="00E22551" w:rsidRPr="00217645" w:rsidRDefault="00E22551" w:rsidP="000B0B79">
      <w:pPr>
        <w:pStyle w:val="Heading1"/>
        <w:rPr>
          <w:szCs w:val="28"/>
        </w:rPr>
      </w:pPr>
      <w:r w:rsidRPr="00217645">
        <w:lastRenderedPageBreak/>
        <w:t>2</w:t>
      </w:r>
      <w:r w:rsidRPr="00217645">
        <w:tab/>
        <w:t xml:space="preserve">Draft four-year rolling operational plan for the Union for 2026-2029 </w:t>
      </w:r>
      <w:r w:rsidRPr="00217645">
        <w:rPr>
          <w:szCs w:val="28"/>
        </w:rPr>
        <w:t>(Document </w:t>
      </w:r>
      <w:proofErr w:type="spellStart"/>
      <w:r>
        <w:fldChar w:fldCharType="begin"/>
      </w:r>
      <w:r>
        <w:instrText>HYPERLINK "https://www.itu.int/md/S25-CL-C-0028/en"</w:instrText>
      </w:r>
      <w:r>
        <w:fldChar w:fldCharType="separate"/>
      </w:r>
      <w:r w:rsidRPr="00217645">
        <w:rPr>
          <w:rStyle w:val="Hyperlink"/>
          <w:szCs w:val="28"/>
        </w:rPr>
        <w:t>C25</w:t>
      </w:r>
      <w:proofErr w:type="spellEnd"/>
      <w:r w:rsidRPr="00217645">
        <w:rPr>
          <w:rStyle w:val="Hyperlink"/>
          <w:szCs w:val="28"/>
        </w:rPr>
        <w:t>/28</w:t>
      </w:r>
      <w:r>
        <w:fldChar w:fldCharType="end"/>
      </w:r>
      <w:r w:rsidRPr="00217645">
        <w:rPr>
          <w:szCs w:val="28"/>
        </w:rPr>
        <w:t>)</w:t>
      </w:r>
    </w:p>
    <w:p w14:paraId="011FCAEF" w14:textId="059049DC" w:rsidR="00E22551" w:rsidRPr="00217645" w:rsidRDefault="00E22551" w:rsidP="008B4B7F">
      <w:pPr>
        <w:jc w:val="both"/>
      </w:pPr>
      <w:r w:rsidRPr="00217645">
        <w:t>2.1</w:t>
      </w:r>
      <w:r w:rsidRPr="00217645">
        <w:tab/>
        <w:t>The Chief of Administration and Finance introduced Document</w:t>
      </w:r>
      <w:r w:rsidR="00222E2B">
        <w:t> </w:t>
      </w:r>
      <w:proofErr w:type="spellStart"/>
      <w:r w:rsidRPr="00217645">
        <w:t>C25</w:t>
      </w:r>
      <w:proofErr w:type="spellEnd"/>
      <w:r w:rsidRPr="00217645">
        <w:t>/28, which contained the draft operational plan for the Union for 2026-2029 and, in Annex</w:t>
      </w:r>
      <w:r w:rsidR="00222E2B">
        <w:t> </w:t>
      </w:r>
      <w:r w:rsidRPr="00217645">
        <w:t xml:space="preserve">A, a draft resolution for the approval thereof. The draft plan </w:t>
      </w:r>
      <w:r w:rsidR="006531D2" w:rsidRPr="00217645">
        <w:t xml:space="preserve">followed the structure of the strategic plan for the Union for 2024-2027 and </w:t>
      </w:r>
      <w:r w:rsidRPr="00217645">
        <w:t xml:space="preserve">addressed implementation of </w:t>
      </w:r>
      <w:r w:rsidR="006531D2" w:rsidRPr="00217645">
        <w:t xml:space="preserve">its </w:t>
      </w:r>
      <w:r w:rsidRPr="00217645">
        <w:t xml:space="preserve">five thematic priorities and 43 outputs. The draft </w:t>
      </w:r>
      <w:r w:rsidR="006531D2" w:rsidRPr="00217645">
        <w:t xml:space="preserve">operational </w:t>
      </w:r>
      <w:r w:rsidRPr="00217645">
        <w:t xml:space="preserve">plan set out how ITU would continue to apply its resources to its strategic initiatives, providing a detailed analysis for 2026 and a condensed one for the three subsequent years. The cost allocation methodology used was described in Council </w:t>
      </w:r>
      <w:r w:rsidR="00D85ED9" w:rsidRPr="00217645">
        <w:t>Decision</w:t>
      </w:r>
      <w:r w:rsidR="00222E2B">
        <w:t> </w:t>
      </w:r>
      <w:r w:rsidRPr="00217645">
        <w:t>535 (</w:t>
      </w:r>
      <w:proofErr w:type="spellStart"/>
      <w:r w:rsidRPr="00217645">
        <w:t>C04</w:t>
      </w:r>
      <w:proofErr w:type="spellEnd"/>
      <w:r w:rsidRPr="00217645">
        <w:t xml:space="preserve">, </w:t>
      </w:r>
      <w:r w:rsidR="000A21A0" w:rsidRPr="00217645">
        <w:t xml:space="preserve">last </w:t>
      </w:r>
      <w:r w:rsidRPr="00217645">
        <w:t xml:space="preserve">amended </w:t>
      </w:r>
      <w:proofErr w:type="spellStart"/>
      <w:r w:rsidRPr="00217645">
        <w:t>C14</w:t>
      </w:r>
      <w:proofErr w:type="spellEnd"/>
      <w:r w:rsidRPr="00217645">
        <w:t>). For 2026, ITU would attribute the largest share of its resources to thematic priority</w:t>
      </w:r>
      <w:r w:rsidR="00222E2B">
        <w:t> </w:t>
      </w:r>
      <w:r w:rsidRPr="00217645">
        <w:t xml:space="preserve">1, </w:t>
      </w:r>
      <w:r w:rsidR="00A50277" w:rsidRPr="00217645">
        <w:t>s</w:t>
      </w:r>
      <w:r w:rsidRPr="00217645">
        <w:t xml:space="preserve">pectrum and </w:t>
      </w:r>
      <w:r w:rsidR="00A50277" w:rsidRPr="00217645">
        <w:t>s</w:t>
      </w:r>
      <w:r w:rsidRPr="00217645">
        <w:t>atellite orbits</w:t>
      </w:r>
      <w:r w:rsidR="006531D2" w:rsidRPr="00217645">
        <w:t>, followed by thematic priorities</w:t>
      </w:r>
      <w:r w:rsidR="00222E2B">
        <w:t> </w:t>
      </w:r>
      <w:r w:rsidR="006531D2" w:rsidRPr="00217645">
        <w:t>5, 3, 4 and</w:t>
      </w:r>
      <w:r w:rsidR="00222E2B">
        <w:t> </w:t>
      </w:r>
      <w:r w:rsidR="006531D2" w:rsidRPr="00217645">
        <w:t>2</w:t>
      </w:r>
      <w:r w:rsidRPr="00217645">
        <w:t xml:space="preserve">. </w:t>
      </w:r>
    </w:p>
    <w:p w14:paraId="3BB8E686" w14:textId="52E7BA69" w:rsidR="00E22551" w:rsidRPr="00217645" w:rsidRDefault="00E22551" w:rsidP="008B4B7F">
      <w:pPr>
        <w:jc w:val="both"/>
      </w:pPr>
      <w:r w:rsidRPr="00217645">
        <w:t>2.2</w:t>
      </w:r>
      <w:r w:rsidRPr="00217645">
        <w:tab/>
        <w:t>Councillors</w:t>
      </w:r>
      <w:r w:rsidR="006531D2" w:rsidRPr="00217645">
        <w:t>,</w:t>
      </w:r>
      <w:r w:rsidRPr="00217645">
        <w:t xml:space="preserve"> not</w:t>
      </w:r>
      <w:r w:rsidR="006531D2" w:rsidRPr="00217645">
        <w:t>ing</w:t>
      </w:r>
      <w:r w:rsidR="00B47B38" w:rsidRPr="00217645">
        <w:t xml:space="preserve"> </w:t>
      </w:r>
      <w:r w:rsidR="006531D2" w:rsidRPr="00217645">
        <w:t>the</w:t>
      </w:r>
      <w:r w:rsidRPr="00217645">
        <w:t xml:space="preserve"> </w:t>
      </w:r>
      <w:r w:rsidR="006531D2" w:rsidRPr="00217645">
        <w:t xml:space="preserve">uneven </w:t>
      </w:r>
      <w:r w:rsidRPr="00217645">
        <w:t>allocat</w:t>
      </w:r>
      <w:r w:rsidR="006531D2" w:rsidRPr="00217645">
        <w:t>ion</w:t>
      </w:r>
      <w:r w:rsidRPr="00217645">
        <w:t xml:space="preserve"> </w:t>
      </w:r>
      <w:r w:rsidR="006531D2" w:rsidRPr="00217645">
        <w:t>across</w:t>
      </w:r>
      <w:r w:rsidRPr="00217645">
        <w:t xml:space="preserve"> the five thematic priorities</w:t>
      </w:r>
      <w:r w:rsidR="006531D2" w:rsidRPr="00217645">
        <w:t>,</w:t>
      </w:r>
      <w:r w:rsidRPr="00217645">
        <w:t xml:space="preserve"> requested </w:t>
      </w:r>
      <w:r w:rsidR="006531D2" w:rsidRPr="00217645">
        <w:t xml:space="preserve">greater information on and transparency of </w:t>
      </w:r>
      <w:r w:rsidRPr="00217645">
        <w:t>prioritization mechanisms</w:t>
      </w:r>
      <w:r w:rsidR="006531D2" w:rsidRPr="00217645">
        <w:t>. A</w:t>
      </w:r>
      <w:r w:rsidRPr="00217645">
        <w:t xml:space="preserve">n annual update </w:t>
      </w:r>
      <w:r w:rsidR="006531D2" w:rsidRPr="00217645">
        <w:t xml:space="preserve">on implementation of the operational plan </w:t>
      </w:r>
      <w:r w:rsidRPr="00217645">
        <w:t xml:space="preserve">would </w:t>
      </w:r>
      <w:r w:rsidR="00073826" w:rsidRPr="00217645">
        <w:t xml:space="preserve">also </w:t>
      </w:r>
      <w:r w:rsidRPr="00217645">
        <w:t>improve transparency and provide Member States with an opportunity to remain informed and engaged. Councillors underscored the strong commitment to strategic alignment, financial discipline and results-based management outlined in the draft plan and supported the need for flexibility for the Secretary-General and the Directors in its implementation as stated in the draft resolution.</w:t>
      </w:r>
      <w:r w:rsidR="00073826" w:rsidRPr="00217645">
        <w:t xml:space="preserve"> One councillor suggested, however, that that </w:t>
      </w:r>
      <w:r w:rsidR="00222E2B">
        <w:t>"</w:t>
      </w:r>
      <w:r w:rsidR="00073826" w:rsidRPr="00217645">
        <w:t>flexibility</w:t>
      </w:r>
      <w:r w:rsidR="00222E2B">
        <w:t>"</w:t>
      </w:r>
      <w:r w:rsidR="00073826" w:rsidRPr="00217645">
        <w:t xml:space="preserve"> be defined.</w:t>
      </w:r>
      <w:r w:rsidR="00B47B38" w:rsidRPr="00217645">
        <w:t xml:space="preserve"> </w:t>
      </w:r>
      <w:r w:rsidRPr="00217645">
        <w:t xml:space="preserve">While offering support for the draft plan, councillors underscored the need for </w:t>
      </w:r>
      <w:r w:rsidR="00073826" w:rsidRPr="00217645">
        <w:t xml:space="preserve">much </w:t>
      </w:r>
      <w:r w:rsidRPr="00217645">
        <w:t xml:space="preserve">more detailed budgeting, as </w:t>
      </w:r>
      <w:r w:rsidR="00073826" w:rsidRPr="00217645">
        <w:t xml:space="preserve">recommended </w:t>
      </w:r>
      <w:r w:rsidRPr="00217645">
        <w:t>in reports of the J</w:t>
      </w:r>
      <w:r w:rsidR="00A173C2" w:rsidRPr="00217645">
        <w:t xml:space="preserve">oint </w:t>
      </w:r>
      <w:r w:rsidRPr="00217645">
        <w:t>I</w:t>
      </w:r>
      <w:r w:rsidR="00A173C2" w:rsidRPr="00217645">
        <w:t xml:space="preserve">nspection </w:t>
      </w:r>
      <w:r w:rsidRPr="00217645">
        <w:t>U</w:t>
      </w:r>
      <w:r w:rsidR="00A173C2" w:rsidRPr="00217645">
        <w:t>nit of the United Nations system</w:t>
      </w:r>
      <w:r w:rsidR="00073826" w:rsidRPr="00217645">
        <w:t>, as that</w:t>
      </w:r>
      <w:r w:rsidRPr="00217645">
        <w:t xml:space="preserve"> would provide clarity on cost</w:t>
      </w:r>
      <w:r w:rsidR="00073826" w:rsidRPr="00217645">
        <w:t xml:space="preserve"> </w:t>
      </w:r>
      <w:r w:rsidRPr="00217645">
        <w:t>s</w:t>
      </w:r>
      <w:r w:rsidR="00073826" w:rsidRPr="00217645">
        <w:t>tructure</w:t>
      </w:r>
      <w:r w:rsidRPr="00217645">
        <w:t xml:space="preserve"> and enable Member States to take more informed decisions</w:t>
      </w:r>
      <w:r w:rsidR="00073826" w:rsidRPr="00217645">
        <w:t>, in particular as sacrifices had to be made</w:t>
      </w:r>
      <w:r w:rsidRPr="00217645">
        <w:t>. While commending the strong commitment to results-based budgeting, one councillor sought clarification on the upward trend in the allocation of resources to centralized administrative services</w:t>
      </w:r>
      <w:r w:rsidR="00073826" w:rsidRPr="00217645">
        <w:t xml:space="preserve"> and clearer links between operational activities and the regional initiatives</w:t>
      </w:r>
      <w:r w:rsidRPr="00217645">
        <w:t xml:space="preserve">. </w:t>
      </w:r>
    </w:p>
    <w:p w14:paraId="3F708942" w14:textId="3A5A53E0" w:rsidR="00E22551" w:rsidRPr="00217645" w:rsidRDefault="00E22551" w:rsidP="008B4B7F">
      <w:pPr>
        <w:jc w:val="both"/>
      </w:pPr>
      <w:r w:rsidRPr="00217645">
        <w:t>2.3</w:t>
      </w:r>
      <w:r w:rsidRPr="00217645">
        <w:tab/>
        <w:t>The Chief of Administration and Finance, responding to questions, acknowledged th</w:t>
      </w:r>
      <w:r w:rsidR="00ED0820" w:rsidRPr="00217645">
        <w:t>e</w:t>
      </w:r>
      <w:r w:rsidRPr="00217645">
        <w:t xml:space="preserve"> </w:t>
      </w:r>
      <w:r w:rsidR="00ED0820" w:rsidRPr="00217645">
        <w:t>uneven allocation of resources to</w:t>
      </w:r>
      <w:r w:rsidRPr="00217645">
        <w:t xml:space="preserve"> </w:t>
      </w:r>
      <w:r w:rsidR="00ED0820" w:rsidRPr="00217645">
        <w:t xml:space="preserve">the </w:t>
      </w:r>
      <w:r w:rsidRPr="00217645">
        <w:t>strategic priorities</w:t>
      </w:r>
      <w:r w:rsidR="002A2858">
        <w:t xml:space="preserve"> which</w:t>
      </w:r>
      <w:r w:rsidRPr="00217645">
        <w:t xml:space="preserve"> reflected the reality and nature of the work carried out in the</w:t>
      </w:r>
      <w:r w:rsidR="00ED0820" w:rsidRPr="00217645">
        <w:t xml:space="preserve"> different</w:t>
      </w:r>
      <w:r w:rsidRPr="00217645">
        <w:t xml:space="preserve"> </w:t>
      </w:r>
      <w:r w:rsidR="00ED0820" w:rsidRPr="00217645">
        <w:t>S</w:t>
      </w:r>
      <w:r w:rsidRPr="00217645">
        <w:t>ectors</w:t>
      </w:r>
      <w:r w:rsidR="00ED0820" w:rsidRPr="00217645">
        <w:t>. Considering whether strategic priorities were right-sized</w:t>
      </w:r>
      <w:r w:rsidR="002A2858">
        <w:t>, and making adjustments to relative priority,</w:t>
      </w:r>
      <w:r w:rsidR="00ED0820" w:rsidRPr="00217645">
        <w:t xml:space="preserve"> would be useful in future strategic planning</w:t>
      </w:r>
      <w:r w:rsidR="002A2858">
        <w:t xml:space="preserve"> if the distribution of resources was felt to be misaligned</w:t>
      </w:r>
      <w:r w:rsidR="00ED0820" w:rsidRPr="00217645">
        <w:t>.</w:t>
      </w:r>
      <w:r w:rsidRPr="00217645">
        <w:t xml:space="preserve"> </w:t>
      </w:r>
      <w:r w:rsidR="00ED0820" w:rsidRPr="00217645">
        <w:t xml:space="preserve">Also, </w:t>
      </w:r>
      <w:r w:rsidRPr="00217645">
        <w:t xml:space="preserve">it would be important to </w:t>
      </w:r>
      <w:r w:rsidR="00ED0820" w:rsidRPr="00217645">
        <w:t xml:space="preserve">anticipate more clearly the </w:t>
      </w:r>
      <w:r w:rsidRPr="00217645">
        <w:t>transition from strategic and financial planning to operational planning and</w:t>
      </w:r>
      <w:r w:rsidR="00ED0820" w:rsidRPr="00217645">
        <w:t xml:space="preserve"> then to</w:t>
      </w:r>
      <w:r w:rsidRPr="00217645">
        <w:t xml:space="preserve"> budgeting. </w:t>
      </w:r>
      <w:r w:rsidR="00ED0820" w:rsidRPr="00217645">
        <w:t>M</w:t>
      </w:r>
      <w:r w:rsidRPr="00217645">
        <w:t xml:space="preserve">ore information on </w:t>
      </w:r>
      <w:r w:rsidR="00ED0820" w:rsidRPr="00217645">
        <w:t xml:space="preserve">alignment of the operational plan and </w:t>
      </w:r>
      <w:r w:rsidRPr="00217645">
        <w:t>budget was available in the draft biennial budget for 2026-2027 (Document</w:t>
      </w:r>
      <w:r w:rsidR="00EF538F">
        <w:t> </w:t>
      </w:r>
      <w:proofErr w:type="spellStart"/>
      <w:r>
        <w:fldChar w:fldCharType="begin"/>
      </w:r>
      <w:r>
        <w:instrText>HYPERLINK "https://www.itu.int/md/S25-CL-C-0047/en"</w:instrText>
      </w:r>
      <w:r>
        <w:fldChar w:fldCharType="separate"/>
      </w:r>
      <w:r w:rsidRPr="00EF538F">
        <w:rPr>
          <w:rStyle w:val="Hyperlink"/>
        </w:rPr>
        <w:t>C25</w:t>
      </w:r>
      <w:proofErr w:type="spellEnd"/>
      <w:r w:rsidRPr="00EF538F">
        <w:rPr>
          <w:rStyle w:val="Hyperlink"/>
        </w:rPr>
        <w:t>/47</w:t>
      </w:r>
      <w:r>
        <w:fldChar w:fldCharType="end"/>
      </w:r>
      <w:r w:rsidRPr="00217645">
        <w:t xml:space="preserve">). </w:t>
      </w:r>
      <w:r w:rsidR="0090126D" w:rsidRPr="00217645">
        <w:t>P</w:t>
      </w:r>
      <w:r w:rsidRPr="00217645">
        <w:t xml:space="preserve">rioritization </w:t>
      </w:r>
      <w:r w:rsidR="0090126D" w:rsidRPr="00217645">
        <w:t>involved assessing areas of need and requests from Member States, while considering the broader context and using statistical data, and then identifying,</w:t>
      </w:r>
      <w:r w:rsidRPr="00217645">
        <w:t xml:space="preserve"> assigning</w:t>
      </w:r>
      <w:r w:rsidR="0090126D" w:rsidRPr="00217645">
        <w:t xml:space="preserve"> and costing human resources</w:t>
      </w:r>
      <w:r w:rsidR="00B47B38" w:rsidRPr="00217645">
        <w:t xml:space="preserve"> </w:t>
      </w:r>
      <w:r w:rsidRPr="00217645">
        <w:t>to perform work</w:t>
      </w:r>
      <w:r w:rsidR="0090126D" w:rsidRPr="00217645">
        <w:t>. That process, performed largely in the secretariat,</w:t>
      </w:r>
      <w:r w:rsidR="00B47B38" w:rsidRPr="00217645">
        <w:t xml:space="preserve"> </w:t>
      </w:r>
      <w:r w:rsidRPr="00217645">
        <w:t xml:space="preserve">might benefit from </w:t>
      </w:r>
      <w:r w:rsidR="002A2858">
        <w:t>clear guidance</w:t>
      </w:r>
      <w:r w:rsidRPr="00217645">
        <w:t xml:space="preserve"> by Member States</w:t>
      </w:r>
      <w:r w:rsidR="002A2858">
        <w:t xml:space="preserve"> at the strategic level</w:t>
      </w:r>
      <w:r w:rsidRPr="00217645">
        <w:t>. There was already a focus within the</w:t>
      </w:r>
      <w:r w:rsidR="002A2858">
        <w:t xml:space="preserve"> ongoing </w:t>
      </w:r>
      <w:r w:rsidRPr="00217645">
        <w:t>strategic planning process on better measurement of activities and link</w:t>
      </w:r>
      <w:r w:rsidR="00EC1909" w:rsidRPr="00217645">
        <w:t>ing thereof</w:t>
      </w:r>
      <w:r w:rsidRPr="00217645">
        <w:t xml:space="preserve"> to outcomes. </w:t>
      </w:r>
      <w:r w:rsidR="00EC1909" w:rsidRPr="00217645">
        <w:t>Overall, the General Secretariat</w:t>
      </w:r>
      <w:r w:rsidR="00EF538F">
        <w:t>'</w:t>
      </w:r>
      <w:r w:rsidR="00EC1909" w:rsidRPr="00217645">
        <w:t xml:space="preserve">s costs had decreased in recent years, with significant cuts made through the transformation process. The apparent increase in the plan was attributable to there being two major conferences in the </w:t>
      </w:r>
      <w:r w:rsidR="002A2858">
        <w:t xml:space="preserve">2026-2027 </w:t>
      </w:r>
      <w:r w:rsidR="00EC1909" w:rsidRPr="00217645">
        <w:t xml:space="preserve">period </w:t>
      </w:r>
      <w:r w:rsidR="002A2858">
        <w:t>(PP</w:t>
      </w:r>
      <w:r w:rsidR="000B0B79">
        <w:t>-</w:t>
      </w:r>
      <w:r w:rsidR="002A2858">
        <w:t>26 and WRC</w:t>
      </w:r>
      <w:r w:rsidR="000B0B79">
        <w:t>-</w:t>
      </w:r>
      <w:r w:rsidR="002A2858">
        <w:t xml:space="preserve">27) </w:t>
      </w:r>
      <w:r w:rsidR="00EC1909" w:rsidRPr="00217645">
        <w:t xml:space="preserve">that </w:t>
      </w:r>
      <w:r w:rsidR="002A2858">
        <w:t>are</w:t>
      </w:r>
      <w:r w:rsidR="002A2858" w:rsidRPr="00217645">
        <w:t xml:space="preserve"> </w:t>
      </w:r>
      <w:r w:rsidR="002A2858">
        <w:t xml:space="preserve">resourced </w:t>
      </w:r>
      <w:r w:rsidR="00EC1909" w:rsidRPr="00217645">
        <w:t xml:space="preserve">in large part </w:t>
      </w:r>
      <w:r w:rsidR="002A2858">
        <w:t>through</w:t>
      </w:r>
      <w:r w:rsidR="002A2858" w:rsidRPr="00217645">
        <w:t xml:space="preserve"> </w:t>
      </w:r>
      <w:r w:rsidR="002A2858">
        <w:t>services provided by the</w:t>
      </w:r>
      <w:r w:rsidR="002A2858" w:rsidRPr="00217645">
        <w:t xml:space="preserve"> </w:t>
      </w:r>
      <w:r w:rsidR="00EC1909" w:rsidRPr="00217645">
        <w:t>General Secretariat</w:t>
      </w:r>
      <w:r w:rsidRPr="00217645">
        <w:t xml:space="preserve">. </w:t>
      </w:r>
    </w:p>
    <w:p w14:paraId="6B091DF0" w14:textId="6F8135CB" w:rsidR="00E22551" w:rsidRPr="00217645" w:rsidRDefault="00E22551" w:rsidP="008B4B7F">
      <w:pPr>
        <w:jc w:val="both"/>
      </w:pPr>
      <w:r w:rsidRPr="00217645">
        <w:lastRenderedPageBreak/>
        <w:t>2.4</w:t>
      </w:r>
      <w:r w:rsidRPr="00217645">
        <w:tab/>
        <w:t>The Chief of the Financial Resources Management Department (</w:t>
      </w:r>
      <w:proofErr w:type="spellStart"/>
      <w:r w:rsidRPr="00217645">
        <w:t>FRMD</w:t>
      </w:r>
      <w:proofErr w:type="spellEnd"/>
      <w:r w:rsidRPr="00217645">
        <w:t xml:space="preserve">) said that regional programmes were implemented through ITU-D and efforts were made to ensure equitable distribution of resources and initiatives across the regions. </w:t>
      </w:r>
      <w:r w:rsidR="00EC1909" w:rsidRPr="00217645">
        <w:t>The secretariat provided seed funding and otherwise issued calls for donors and v</w:t>
      </w:r>
      <w:r w:rsidRPr="00217645">
        <w:t>oluntary contributions</w:t>
      </w:r>
      <w:r w:rsidR="00EC1909" w:rsidRPr="00217645">
        <w:t xml:space="preserve">. He added that it was common practice to request </w:t>
      </w:r>
      <w:r w:rsidR="00EF538F">
        <w:t>"</w:t>
      </w:r>
      <w:r w:rsidR="00EC1909" w:rsidRPr="00217645">
        <w:t>flexibility</w:t>
      </w:r>
      <w:r w:rsidR="00EF538F">
        <w:t>"</w:t>
      </w:r>
      <w:r w:rsidR="00EC1909" w:rsidRPr="00217645">
        <w:t xml:space="preserve"> for the Secretary-General and Directors of the Bureaux in resolutions approving draft budgets and operational plans</w:t>
      </w:r>
      <w:r w:rsidRPr="00217645">
        <w:t xml:space="preserve">. </w:t>
      </w:r>
    </w:p>
    <w:p w14:paraId="57CE6E1B" w14:textId="4105936D" w:rsidR="00E22551" w:rsidRPr="00217645" w:rsidRDefault="00E22551" w:rsidP="008B4B7F">
      <w:pPr>
        <w:jc w:val="both"/>
      </w:pPr>
      <w:r w:rsidRPr="00217645">
        <w:t>2.</w:t>
      </w:r>
      <w:r w:rsidR="001D2255" w:rsidRPr="00217645">
        <w:t>5</w:t>
      </w:r>
      <w:r w:rsidRPr="00217645">
        <w:tab/>
        <w:t xml:space="preserve">The Council </w:t>
      </w:r>
      <w:r w:rsidRPr="00217645">
        <w:rPr>
          <w:b/>
          <w:bCs/>
        </w:rPr>
        <w:t>approved</w:t>
      </w:r>
      <w:r w:rsidRPr="00217645">
        <w:t xml:space="preserve"> Document</w:t>
      </w:r>
      <w:r w:rsidR="00EF538F">
        <w:t> </w:t>
      </w:r>
      <w:proofErr w:type="spellStart"/>
      <w:r w:rsidRPr="00217645">
        <w:t>C25</w:t>
      </w:r>
      <w:proofErr w:type="spellEnd"/>
      <w:r w:rsidRPr="00217645">
        <w:t xml:space="preserve">/28 and </w:t>
      </w:r>
      <w:r w:rsidRPr="00217645">
        <w:rPr>
          <w:b/>
          <w:bCs/>
        </w:rPr>
        <w:t>adopted</w:t>
      </w:r>
      <w:r w:rsidRPr="00217645">
        <w:t xml:space="preserve"> the </w:t>
      </w:r>
      <w:r w:rsidR="004606F5" w:rsidRPr="00217645">
        <w:t>draft</w:t>
      </w:r>
      <w:r w:rsidRPr="00217645">
        <w:t xml:space="preserve"> resolution</w:t>
      </w:r>
      <w:r w:rsidR="00A173C2" w:rsidRPr="00217645">
        <w:t xml:space="preserve"> contained</w:t>
      </w:r>
      <w:r w:rsidRPr="00217645">
        <w:t xml:space="preserve"> in annex thereto.</w:t>
      </w:r>
      <w:r w:rsidR="00B47B38" w:rsidRPr="00217645">
        <w:t xml:space="preserve"> </w:t>
      </w:r>
    </w:p>
    <w:p w14:paraId="2562EDA2" w14:textId="771B0C20" w:rsidR="00E22551" w:rsidRPr="00217645" w:rsidRDefault="00E22551" w:rsidP="008B4B7F">
      <w:pPr>
        <w:pStyle w:val="Heading1"/>
        <w:jc w:val="both"/>
      </w:pPr>
      <w:r w:rsidRPr="00217645">
        <w:t>3</w:t>
      </w:r>
      <w:r w:rsidRPr="00217645">
        <w:tab/>
        <w:t xml:space="preserve">Draft biennial budget of the Union for 2026-2027 (Document </w:t>
      </w:r>
      <w:hyperlink r:id="rId16" w:history="1">
        <w:proofErr w:type="spellStart"/>
        <w:r w:rsidRPr="00217645">
          <w:rPr>
            <w:rStyle w:val="Hyperlink"/>
          </w:rPr>
          <w:t>C25</w:t>
        </w:r>
        <w:proofErr w:type="spellEnd"/>
        <w:r w:rsidRPr="00217645">
          <w:rPr>
            <w:rStyle w:val="Hyperlink"/>
          </w:rPr>
          <w:t>/47</w:t>
        </w:r>
      </w:hyperlink>
      <w:r w:rsidRPr="00217645">
        <w:t>)</w:t>
      </w:r>
    </w:p>
    <w:p w14:paraId="5F4321F0" w14:textId="472E0F3D" w:rsidR="00E22551" w:rsidRPr="00217645" w:rsidRDefault="00E22551" w:rsidP="008B4B7F">
      <w:pPr>
        <w:jc w:val="both"/>
      </w:pPr>
      <w:r w:rsidRPr="00217645">
        <w:t>3.1</w:t>
      </w:r>
      <w:r w:rsidRPr="00217645">
        <w:tab/>
        <w:t xml:space="preserve">The Chief of </w:t>
      </w:r>
      <w:proofErr w:type="spellStart"/>
      <w:r w:rsidR="00711A33" w:rsidRPr="00217645">
        <w:t>FRMD</w:t>
      </w:r>
      <w:proofErr w:type="spellEnd"/>
      <w:r w:rsidRPr="00217645">
        <w:t>, introducing Document</w:t>
      </w:r>
      <w:r w:rsidR="00EF538F">
        <w:t> </w:t>
      </w:r>
      <w:proofErr w:type="spellStart"/>
      <w:r w:rsidRPr="00217645">
        <w:t>C25</w:t>
      </w:r>
      <w:proofErr w:type="spellEnd"/>
      <w:r w:rsidRPr="00217645">
        <w:t>/47, which set out the draft biennial budget for 2026-2027, said that it had been prepared on the basis of the budgetary submissions from the three Sectors and the General Secretariat and in</w:t>
      </w:r>
      <w:r w:rsidR="00711A33" w:rsidRPr="00217645">
        <w:t xml:space="preserve"> line with</w:t>
      </w:r>
      <w:r w:rsidRPr="00217645">
        <w:t xml:space="preserve"> Decision</w:t>
      </w:r>
      <w:r w:rsidR="00EF538F">
        <w:t> </w:t>
      </w:r>
      <w:r w:rsidRPr="00217645">
        <w:t>5 (Rev.</w:t>
      </w:r>
      <w:r w:rsidR="00EF538F">
        <w:t> </w:t>
      </w:r>
      <w:r w:rsidRPr="00217645">
        <w:t>Bucharest, 2022) of the Plenipotentiary Conference. The draft budget was balanced, with revenue equalling expenses</w:t>
      </w:r>
      <w:r w:rsidR="00CD29D1" w:rsidRPr="00217645">
        <w:t>;</w:t>
      </w:r>
      <w:r w:rsidRPr="00217645">
        <w:t xml:space="preserve"> </w:t>
      </w:r>
      <w:r w:rsidR="00CD29D1" w:rsidRPr="00217645">
        <w:t>it</w:t>
      </w:r>
      <w:r w:rsidRPr="00217645">
        <w:t xml:space="preserve"> showed negative growth of 2.66</w:t>
      </w:r>
      <w:r w:rsidR="00EF538F">
        <w:t> </w:t>
      </w:r>
      <w:r w:rsidRPr="00217645">
        <w:t>per cent in comparison with the budget for 2024</w:t>
      </w:r>
      <w:r w:rsidRPr="00217645">
        <w:noBreakHyphen/>
        <w:t>2025</w:t>
      </w:r>
      <w:r w:rsidR="00711A33" w:rsidRPr="00217645">
        <w:t>,</w:t>
      </w:r>
      <w:r w:rsidRPr="00217645">
        <w:t xml:space="preserve"> largely</w:t>
      </w:r>
      <w:r w:rsidR="00711A33" w:rsidRPr="00217645">
        <w:t xml:space="preserve"> attributable</w:t>
      </w:r>
      <w:r w:rsidRPr="00217645">
        <w:t xml:space="preserve"> to efficiency measures outlined in the document.</w:t>
      </w:r>
      <w:r w:rsidR="00B47B38" w:rsidRPr="00217645">
        <w:t xml:space="preserve"> </w:t>
      </w:r>
      <w:r w:rsidRPr="00217645">
        <w:t xml:space="preserve">Revenue from cost recovery </w:t>
      </w:r>
      <w:r w:rsidR="00235AA7" w:rsidRPr="00217645">
        <w:t xml:space="preserve">for </w:t>
      </w:r>
      <w:r w:rsidR="00711A33" w:rsidRPr="00217645">
        <w:t>s</w:t>
      </w:r>
      <w:r w:rsidRPr="00217645">
        <w:t xml:space="preserve">atellite </w:t>
      </w:r>
      <w:r w:rsidR="00711A33" w:rsidRPr="00217645">
        <w:t>n</w:t>
      </w:r>
      <w:r w:rsidRPr="00217645">
        <w:t xml:space="preserve">etwork </w:t>
      </w:r>
      <w:r w:rsidR="00711A33" w:rsidRPr="00217645">
        <w:t>f</w:t>
      </w:r>
      <w:r w:rsidRPr="00217645">
        <w:t>iling</w:t>
      </w:r>
      <w:r w:rsidR="00711A33" w:rsidRPr="00217645">
        <w:t>s (</w:t>
      </w:r>
      <w:proofErr w:type="spellStart"/>
      <w:r w:rsidR="00711A33" w:rsidRPr="00217645">
        <w:t>SNF</w:t>
      </w:r>
      <w:proofErr w:type="spellEnd"/>
      <w:r w:rsidR="00711A33" w:rsidRPr="00217645">
        <w:t>)</w:t>
      </w:r>
      <w:r w:rsidRPr="00217645">
        <w:t xml:space="preserve"> was expected to </w:t>
      </w:r>
      <w:r w:rsidR="00711A33" w:rsidRPr="00217645">
        <w:t>rise to CHF</w:t>
      </w:r>
      <w:r w:rsidR="00EF538F">
        <w:t> </w:t>
      </w:r>
      <w:r w:rsidR="00711A33" w:rsidRPr="00217645">
        <w:t>18</w:t>
      </w:r>
      <w:r w:rsidR="00EF538F">
        <w:t> </w:t>
      </w:r>
      <w:r w:rsidR="00711A33" w:rsidRPr="00217645">
        <w:t>million</w:t>
      </w:r>
      <w:r w:rsidRPr="00217645">
        <w:t xml:space="preserve">, though the full cost of work in that area was estimated </w:t>
      </w:r>
      <w:r w:rsidR="00711A33" w:rsidRPr="00217645">
        <w:t>at</w:t>
      </w:r>
      <w:r w:rsidRPr="00217645">
        <w:t xml:space="preserve"> CHF 22.8</w:t>
      </w:r>
      <w:r w:rsidR="00EF538F">
        <w:t> </w:t>
      </w:r>
      <w:r w:rsidRPr="00217645">
        <w:t xml:space="preserve">million. </w:t>
      </w:r>
      <w:r w:rsidR="00711A33" w:rsidRPr="00217645">
        <w:t>T</w:t>
      </w:r>
      <w:r w:rsidRPr="00217645">
        <w:t xml:space="preserve">he proposed methodology for calculation of </w:t>
      </w:r>
      <w:proofErr w:type="spellStart"/>
      <w:r w:rsidRPr="00217645">
        <w:t>SNF</w:t>
      </w:r>
      <w:proofErr w:type="spellEnd"/>
      <w:r w:rsidRPr="00217645">
        <w:t xml:space="preserve"> cost recovery could be found in Document</w:t>
      </w:r>
      <w:r w:rsidR="00EF538F">
        <w:t> </w:t>
      </w:r>
      <w:proofErr w:type="spellStart"/>
      <w:r>
        <w:fldChar w:fldCharType="begin"/>
      </w:r>
      <w:r>
        <w:instrText>HYPERLINK "https://www.itu.int/md/S25-CL-C-0064/en"</w:instrText>
      </w:r>
      <w:r>
        <w:fldChar w:fldCharType="separate"/>
      </w:r>
      <w:r w:rsidRPr="00EF538F">
        <w:rPr>
          <w:rStyle w:val="Hyperlink"/>
        </w:rPr>
        <w:t>C25</w:t>
      </w:r>
      <w:proofErr w:type="spellEnd"/>
      <w:r w:rsidRPr="00EF538F">
        <w:rPr>
          <w:rStyle w:val="Hyperlink"/>
        </w:rPr>
        <w:t>/64</w:t>
      </w:r>
      <w:r>
        <w:fldChar w:fldCharType="end"/>
      </w:r>
      <w:r w:rsidRPr="00217645">
        <w:t xml:space="preserve">. </w:t>
      </w:r>
      <w:r w:rsidR="00711A33" w:rsidRPr="00217645">
        <w:t xml:space="preserve">The secretariat </w:t>
      </w:r>
      <w:r w:rsidRPr="00217645">
        <w:t>would continue to use results-based management in implementing the budget and to pursue efficiency measures. The draft budget provided detailed information on financial planning, the number of posts budgeted, the costs of language services and infrastructure.</w:t>
      </w:r>
      <w:r w:rsidR="00B47B38" w:rsidRPr="00217645">
        <w:t xml:space="preserve"> </w:t>
      </w:r>
    </w:p>
    <w:p w14:paraId="2D79D5F8" w14:textId="368B53D1" w:rsidR="00E22551" w:rsidRPr="00217645" w:rsidRDefault="00E22551" w:rsidP="008B4B7F">
      <w:pPr>
        <w:jc w:val="both"/>
      </w:pPr>
      <w:r w:rsidRPr="00217645">
        <w:t>3.2</w:t>
      </w:r>
      <w:r w:rsidRPr="00217645">
        <w:tab/>
        <w:t xml:space="preserve">The Chair proposed that </w:t>
      </w:r>
      <w:r w:rsidR="00711A33" w:rsidRPr="00217645">
        <w:t xml:space="preserve">discussion of the document be transferred to </w:t>
      </w:r>
      <w:r w:rsidRPr="00217645">
        <w:t>the Standing Committee on Administration and Management</w:t>
      </w:r>
      <w:r w:rsidR="00F25A48" w:rsidRPr="00217645">
        <w:t xml:space="preserve"> (ADM</w:t>
      </w:r>
      <w:r w:rsidR="007B4F8C" w:rsidRPr="00217645">
        <w:t xml:space="preserve"> Committee</w:t>
      </w:r>
      <w:r w:rsidR="00F25A48" w:rsidRPr="00217645">
        <w:t>)</w:t>
      </w:r>
      <w:r w:rsidRPr="00217645">
        <w:t xml:space="preserve">. </w:t>
      </w:r>
    </w:p>
    <w:p w14:paraId="36126682" w14:textId="4C664AF0" w:rsidR="00E22551" w:rsidRPr="00217645" w:rsidRDefault="00E22551" w:rsidP="008B4B7F">
      <w:pPr>
        <w:jc w:val="both"/>
      </w:pPr>
      <w:r w:rsidRPr="00217645">
        <w:t>3.3</w:t>
      </w:r>
      <w:r w:rsidRPr="00217645">
        <w:tab/>
        <w:t xml:space="preserve">It was so </w:t>
      </w:r>
      <w:r w:rsidRPr="00217645">
        <w:rPr>
          <w:b/>
          <w:bCs/>
        </w:rPr>
        <w:t>agreed</w:t>
      </w:r>
      <w:r w:rsidRPr="00217645">
        <w:t>.</w:t>
      </w:r>
    </w:p>
    <w:p w14:paraId="7AF353C7" w14:textId="6BF22EBB" w:rsidR="00E22551" w:rsidRPr="00217645" w:rsidRDefault="00E22551" w:rsidP="008B4B7F">
      <w:pPr>
        <w:pStyle w:val="Heading1"/>
        <w:jc w:val="both"/>
      </w:pPr>
      <w:r w:rsidRPr="00217645">
        <w:t>4</w:t>
      </w:r>
      <w:r w:rsidRPr="00217645">
        <w:tab/>
        <w:t xml:space="preserve">Update on ITU transformation process and roadmap (Document </w:t>
      </w:r>
      <w:hyperlink r:id="rId17" w:history="1">
        <w:proofErr w:type="spellStart"/>
        <w:r w:rsidR="00CE59AB" w:rsidRPr="00217645">
          <w:rPr>
            <w:rStyle w:val="Hyperlink"/>
          </w:rPr>
          <w:t>C25</w:t>
        </w:r>
        <w:proofErr w:type="spellEnd"/>
        <w:r w:rsidR="00CE59AB" w:rsidRPr="00217645">
          <w:rPr>
            <w:rStyle w:val="Hyperlink"/>
          </w:rPr>
          <w:t>/55</w:t>
        </w:r>
      </w:hyperlink>
      <w:r w:rsidRPr="00217645">
        <w:t>)</w:t>
      </w:r>
    </w:p>
    <w:p w14:paraId="06C96356" w14:textId="3E626E4C" w:rsidR="00FC1699" w:rsidRPr="00217645" w:rsidRDefault="00E22551" w:rsidP="008B4B7F">
      <w:pPr>
        <w:jc w:val="both"/>
      </w:pPr>
      <w:r w:rsidRPr="00217645">
        <w:t>4.1</w:t>
      </w:r>
      <w:r w:rsidRPr="00217645">
        <w:tab/>
      </w:r>
      <w:r w:rsidR="00711A33" w:rsidRPr="00217645">
        <w:t>The Chief of the Transformation Team</w:t>
      </w:r>
      <w:r w:rsidRPr="00217645">
        <w:t xml:space="preserve"> </w:t>
      </w:r>
      <w:r w:rsidR="00E26A2B" w:rsidRPr="00217645">
        <w:t>introduced</w:t>
      </w:r>
      <w:r w:rsidRPr="00217645">
        <w:t xml:space="preserve"> Document</w:t>
      </w:r>
      <w:r w:rsidR="00EF538F">
        <w:t> </w:t>
      </w:r>
      <w:proofErr w:type="spellStart"/>
      <w:r w:rsidRPr="00217645">
        <w:t>C25</w:t>
      </w:r>
      <w:proofErr w:type="spellEnd"/>
      <w:r w:rsidRPr="00217645">
        <w:t>/55</w:t>
      </w:r>
      <w:r w:rsidR="00E26A2B" w:rsidRPr="00217645">
        <w:t>,</w:t>
      </w:r>
      <w:r w:rsidRPr="00217645">
        <w:t xml:space="preserve"> </w:t>
      </w:r>
      <w:r w:rsidR="00A47393" w:rsidRPr="00217645">
        <w:t>outlining</w:t>
      </w:r>
      <w:r w:rsidRPr="00217645">
        <w:t xml:space="preserve"> ITU</w:t>
      </w:r>
      <w:r w:rsidR="00EF538F">
        <w:t>'</w:t>
      </w:r>
      <w:r w:rsidRPr="00217645">
        <w:t xml:space="preserve">s </w:t>
      </w:r>
      <w:r w:rsidR="00A47393" w:rsidRPr="00217645">
        <w:t>efforts</w:t>
      </w:r>
      <w:r w:rsidRPr="00217645">
        <w:t xml:space="preserve"> to achieve organizational excellence</w:t>
      </w:r>
      <w:r w:rsidR="00FC1699" w:rsidRPr="00217645">
        <w:t xml:space="preserve"> and efficiencies already </w:t>
      </w:r>
      <w:r w:rsidR="00A47393" w:rsidRPr="00217645">
        <w:t>achieved</w:t>
      </w:r>
      <w:r w:rsidRPr="00217645">
        <w:t>. Following discussions at the Council Working Group on financ</w:t>
      </w:r>
      <w:r w:rsidR="00976163">
        <w:t>ial</w:t>
      </w:r>
      <w:r w:rsidRPr="00217645">
        <w:t xml:space="preserve"> and human resources (CWG-FHR) and the Council Working Group on the use of the six official languages (CWG-LANG), and in response to </w:t>
      </w:r>
      <w:r w:rsidR="00A47393" w:rsidRPr="00217645">
        <w:t>requests from</w:t>
      </w:r>
      <w:r w:rsidRPr="00217645">
        <w:t xml:space="preserve"> Member States, a progress report on the website project had been provided in an annex. Since publication, a critical </w:t>
      </w:r>
      <w:r w:rsidR="00FC1699" w:rsidRPr="00217645">
        <w:t xml:space="preserve">project </w:t>
      </w:r>
      <w:r w:rsidRPr="00217645">
        <w:t xml:space="preserve">milestone had been reached </w:t>
      </w:r>
      <w:r w:rsidR="00A47393" w:rsidRPr="00217645">
        <w:t xml:space="preserve">with </w:t>
      </w:r>
      <w:r w:rsidRPr="00217645">
        <w:t>technical and commercial evaluation</w:t>
      </w:r>
      <w:r w:rsidR="00A47393" w:rsidRPr="00217645">
        <w:t>s</w:t>
      </w:r>
      <w:r w:rsidRPr="00217645">
        <w:t xml:space="preserve"> </w:t>
      </w:r>
      <w:r w:rsidR="00A47393" w:rsidRPr="00217645">
        <w:t xml:space="preserve">completed, </w:t>
      </w:r>
      <w:r w:rsidRPr="00217645">
        <w:t>allow</w:t>
      </w:r>
      <w:r w:rsidR="00A47393" w:rsidRPr="00217645">
        <w:t>ing</w:t>
      </w:r>
      <w:r w:rsidRPr="00217645">
        <w:t xml:space="preserve"> implementation to begin.</w:t>
      </w:r>
    </w:p>
    <w:p w14:paraId="1D04B61C" w14:textId="2594C497" w:rsidR="00C20AD5" w:rsidRPr="00217645" w:rsidRDefault="00FE27D3" w:rsidP="008B4B7F">
      <w:pPr>
        <w:jc w:val="both"/>
      </w:pPr>
      <w:r w:rsidRPr="00FE27D3">
        <w:t>4.2</w:t>
      </w:r>
      <w:r w:rsidRPr="00FE27D3">
        <w:tab/>
        <w:t xml:space="preserve">Within the five pillars of the transformation process, six initiatives had been prioritized for accelerated action: performance management, recruitment, travel, internal mobility, </w:t>
      </w:r>
      <w:r w:rsidRPr="008B4B7F">
        <w:t>internal AI implementation</w:t>
      </w:r>
      <w:r w:rsidRPr="00FE27D3">
        <w:t xml:space="preserve"> and leadership culture. Work also continued across the remaining initiatives across the pillars under the transformation roadmap. Strong and clear communication was deemed essential to transformation. The transformation team actively managed change impacts through the changemakers group and broader consultations with staff across the Bureaux. Such collaboration was central to progress and is to be pursued.</w:t>
      </w:r>
    </w:p>
    <w:p w14:paraId="6DA380AC" w14:textId="468C9689" w:rsidR="00E22551" w:rsidRPr="00217645" w:rsidRDefault="00FE27D3" w:rsidP="008B4B7F">
      <w:pPr>
        <w:jc w:val="both"/>
      </w:pPr>
      <w:r w:rsidRPr="00FE27D3">
        <w:lastRenderedPageBreak/>
        <w:t>4.3</w:t>
      </w:r>
      <w:r w:rsidRPr="00FE27D3">
        <w:tab/>
        <w:t>Councillors welcomed the report and stressed the importance of staff engagement in the process. They commend the Secretariat for the wide-ranging transformation initiatives being implemented across the organization Transformation was crucial to ensuring the Union's competitiveness and operational excellence, but it would be gradual and constantly evolving. They requested more detailed information on ongoing and emerging initiatives to ensure their alignment with the recent Council decisions. Information provided on prioritization and financial implications were particularly important. The use of completion percentages would improve visibility and facilitate tracking and measurement; evaluation of completed initiatives would help to assess long-term effectiveness and identify areas for improvement. A comprehensive roadmap, workplan and timelines remained necessary. One councillor requested that reporting clearly indicate when initiatives were linked to External Auditor recommendations. Another councillor suggested that, given the financial climate, priority be given to initiatives delivering rapid, tangible benefits. Consideration should also be given to the number, length, location and scope of meetings held annually.</w:t>
      </w:r>
    </w:p>
    <w:p w14:paraId="7297FF64" w14:textId="1A77D98B" w:rsidR="008C6532" w:rsidRPr="00217645" w:rsidRDefault="00FE27D3" w:rsidP="008B4B7F">
      <w:pPr>
        <w:jc w:val="both"/>
      </w:pPr>
      <w:r w:rsidRPr="00FE27D3">
        <w:t>4.4</w:t>
      </w:r>
      <w:r w:rsidRPr="00FE27D3">
        <w:tab/>
        <w:t>Councillors and one observer reaffirmed the need for a modern, secure, well-structured, user-friendly and multilingual ITU website. One councillor said that the present outdated version hindered access to information. Several councillors requested clarification on project funding, as funding for full implementation appeared uncertain. An observer suggested developing an application for events, as other Geneva-based organizations had already done.</w:t>
      </w:r>
    </w:p>
    <w:p w14:paraId="0DC106F1" w14:textId="19ABD54E" w:rsidR="008C6532" w:rsidRPr="00217645" w:rsidRDefault="00FE27D3" w:rsidP="008B4B7F">
      <w:pPr>
        <w:jc w:val="both"/>
      </w:pPr>
      <w:r w:rsidRPr="00FE27D3">
        <w:t>4.5</w:t>
      </w:r>
      <w:r w:rsidRPr="00FE27D3">
        <w:tab/>
        <w:t>Multiple councillors stressed the importance of securing regular budget funding for transformation instead of savings accrued. Given its significance and ability to generate savings, the process needed predictable funding. One councillor observed that increased short-term investment could result in reduced long-term costs. Several councillors also supported funding the website project from the regular budget.</w:t>
      </w:r>
    </w:p>
    <w:p w14:paraId="472FE7EA" w14:textId="3DB1B959" w:rsidR="00E22551" w:rsidRPr="00217645" w:rsidRDefault="00FE27D3" w:rsidP="008B4B7F">
      <w:pPr>
        <w:jc w:val="both"/>
      </w:pPr>
      <w:r w:rsidRPr="00FE27D3">
        <w:t>4.6</w:t>
      </w:r>
      <w:r w:rsidRPr="00FE27D3">
        <w:tab/>
        <w:t>Responding to questions and comments, the Chief of the Transformation Team recalled that the fifth transformation pillar had been added following a proposal at the CWG-FHR meeting of February 2025 to group initiatives aimed at improving engagement. She agreed that transformation required a clear vision and effective prioritisation. She mentioned that the initiatives result in both tangible and intangible outcomes, such as shifts in mindsets and organizational culture. Initiatives were assessed and selected based on business readiness, resource requirements and anticipated impact, with progress tracked throughout a project's lifetime. Funding requirements for the website project had not changed. Of the approved CHF 600 000 budget, CHF 350 000 had already been allocated and the remaining CHF 250 000 had been requested from savings from 2024. The website was expected to launch in 2026. Staff engagement was indeed key to transformation, which extended beyond tools and systems and encompassed organizational culture. Upskilling had already begun, involving AI applications and leadership capacity building. AI would support, not replace, staff. An information session for Member States was being planned and specific content could be provided on request.</w:t>
      </w:r>
    </w:p>
    <w:p w14:paraId="13E0E6B5" w14:textId="3E64CAAB" w:rsidR="00E22551" w:rsidRPr="00217645" w:rsidRDefault="00E22551" w:rsidP="008B4B7F">
      <w:pPr>
        <w:jc w:val="both"/>
      </w:pPr>
      <w:r w:rsidRPr="00217645">
        <w:t>4.</w:t>
      </w:r>
      <w:r w:rsidR="00101532">
        <w:t>7</w:t>
      </w:r>
      <w:r w:rsidRPr="00217645">
        <w:tab/>
        <w:t>The Chief of Administration and Finance said that</w:t>
      </w:r>
      <w:r w:rsidR="007E7A53" w:rsidRPr="00217645">
        <w:t xml:space="preserve">, </w:t>
      </w:r>
      <w:r w:rsidR="0047586B" w:rsidRPr="00217645">
        <w:t>in the absence of</w:t>
      </w:r>
      <w:r w:rsidR="007E7A53" w:rsidRPr="00217645">
        <w:t xml:space="preserve"> a large</w:t>
      </w:r>
      <w:r w:rsidR="0047586B" w:rsidRPr="00217645">
        <w:t>,</w:t>
      </w:r>
      <w:r w:rsidR="007E7A53" w:rsidRPr="00217645">
        <w:t xml:space="preserve"> </w:t>
      </w:r>
      <w:r w:rsidR="0047586B" w:rsidRPr="00217645">
        <w:t>upfront budget</w:t>
      </w:r>
      <w:r w:rsidR="007E7A53" w:rsidRPr="00217645">
        <w:t xml:space="preserve"> for </w:t>
      </w:r>
      <w:r w:rsidR="00671E75" w:rsidRPr="00217645">
        <w:t>transformation</w:t>
      </w:r>
      <w:r w:rsidR="007E7A53" w:rsidRPr="00217645">
        <w:t>,</w:t>
      </w:r>
      <w:r w:rsidRPr="00217645">
        <w:t xml:space="preserve"> a portfolio management approach had been adopted</w:t>
      </w:r>
      <w:r w:rsidR="0047586B" w:rsidRPr="00217645">
        <w:t xml:space="preserve">. That involved </w:t>
      </w:r>
      <w:r w:rsidRPr="00217645">
        <w:t>rigorous prioritization based on urgency</w:t>
      </w:r>
      <w:r w:rsidR="007E7A53" w:rsidRPr="00217645">
        <w:t>,</w:t>
      </w:r>
      <w:r w:rsidRPr="00217645">
        <w:t xml:space="preserve"> </w:t>
      </w:r>
      <w:r w:rsidR="007E7A53" w:rsidRPr="00217645">
        <w:t>available</w:t>
      </w:r>
      <w:r w:rsidRPr="00217645">
        <w:t xml:space="preserve"> internal resources </w:t>
      </w:r>
      <w:r w:rsidR="007E7A53" w:rsidRPr="00217645">
        <w:t>and full implementation</w:t>
      </w:r>
      <w:r w:rsidR="0047586B" w:rsidRPr="00217645">
        <w:t xml:space="preserve"> costs</w:t>
      </w:r>
      <w:r w:rsidRPr="00217645">
        <w:t xml:space="preserve">. </w:t>
      </w:r>
      <w:r w:rsidR="0047586B" w:rsidRPr="00217645">
        <w:t>While the</w:t>
      </w:r>
      <w:r w:rsidR="007E7A53" w:rsidRPr="00217645">
        <w:t xml:space="preserve"> approach did not align </w:t>
      </w:r>
      <w:r w:rsidR="0047586B" w:rsidRPr="00217645">
        <w:t>seamlessly</w:t>
      </w:r>
      <w:r w:rsidR="007E7A53" w:rsidRPr="00217645">
        <w:t xml:space="preserve"> with biennial budgeting, it did make </w:t>
      </w:r>
      <w:r w:rsidR="0047586B" w:rsidRPr="00217645">
        <w:t>effective</w:t>
      </w:r>
      <w:r w:rsidR="007E7A53" w:rsidRPr="00217645">
        <w:t xml:space="preserve"> use of savings</w:t>
      </w:r>
      <w:r w:rsidR="0047586B" w:rsidRPr="00217645">
        <w:t>.</w:t>
      </w:r>
      <w:r w:rsidR="007E7A53" w:rsidRPr="00217645">
        <w:t xml:space="preserve"> </w:t>
      </w:r>
      <w:r w:rsidR="0047586B" w:rsidRPr="00217645">
        <w:t>F</w:t>
      </w:r>
      <w:r w:rsidR="007E7A53" w:rsidRPr="00217645">
        <w:t>ollowing councillors</w:t>
      </w:r>
      <w:r w:rsidR="00EF538F">
        <w:t>'</w:t>
      </w:r>
      <w:r w:rsidR="007E7A53" w:rsidRPr="00217645">
        <w:t xml:space="preserve"> input, the secretariat would </w:t>
      </w:r>
      <w:r w:rsidR="00671E75" w:rsidRPr="00217645">
        <w:t>explore</w:t>
      </w:r>
      <w:r w:rsidR="007E7A53" w:rsidRPr="00217645">
        <w:t xml:space="preserve"> how to</w:t>
      </w:r>
      <w:r w:rsidRPr="00217645">
        <w:t xml:space="preserve"> fund the </w:t>
      </w:r>
      <w:r w:rsidR="00671E75" w:rsidRPr="00217645">
        <w:t xml:space="preserve">transformation </w:t>
      </w:r>
      <w:r w:rsidRPr="00217645">
        <w:t>process from the regular budget</w:t>
      </w:r>
      <w:r w:rsidR="007E7A53" w:rsidRPr="00217645">
        <w:t>,</w:t>
      </w:r>
      <w:r w:rsidRPr="00217645">
        <w:t xml:space="preserve"> </w:t>
      </w:r>
      <w:r w:rsidR="00671E75" w:rsidRPr="00217645">
        <w:t>though that</w:t>
      </w:r>
      <w:r w:rsidRPr="00217645">
        <w:t xml:space="preserve"> would require further prioritization</w:t>
      </w:r>
      <w:r w:rsidR="00181210" w:rsidRPr="00217645">
        <w:t xml:space="preserve"> and change</w:t>
      </w:r>
      <w:r w:rsidR="00671E75" w:rsidRPr="00217645">
        <w:t>s</w:t>
      </w:r>
      <w:r w:rsidR="00181210" w:rsidRPr="00217645">
        <w:t xml:space="preserve"> to the </w:t>
      </w:r>
      <w:r w:rsidR="00671E75" w:rsidRPr="00217645">
        <w:t xml:space="preserve">biennial </w:t>
      </w:r>
      <w:r w:rsidR="00181210" w:rsidRPr="00217645">
        <w:t>budget</w:t>
      </w:r>
      <w:r w:rsidRPr="00217645">
        <w:t xml:space="preserve">. </w:t>
      </w:r>
      <w:r w:rsidR="00181210" w:rsidRPr="00217645">
        <w:t xml:space="preserve">The secretariat could engage </w:t>
      </w:r>
      <w:r w:rsidR="00671E75" w:rsidRPr="00217645">
        <w:t xml:space="preserve">with </w:t>
      </w:r>
      <w:r w:rsidR="00181210" w:rsidRPr="00217645">
        <w:lastRenderedPageBreak/>
        <w:t xml:space="preserve">Member States on prioritization through CWG-FHR; in the meantime, </w:t>
      </w:r>
      <w:r w:rsidR="00671E75" w:rsidRPr="00217645">
        <w:t xml:space="preserve">savings could be used </w:t>
      </w:r>
      <w:r w:rsidR="00235AA7" w:rsidRPr="00217645">
        <w:t xml:space="preserve">for </w:t>
      </w:r>
      <w:r w:rsidR="00181210" w:rsidRPr="00217645">
        <w:t>key initiatives for 2025.</w:t>
      </w:r>
      <w:r w:rsidRPr="00217645">
        <w:t xml:space="preserve"> </w:t>
      </w:r>
    </w:p>
    <w:p w14:paraId="2C0991B4" w14:textId="490D4D8F" w:rsidR="00E26A2B" w:rsidRPr="00217645" w:rsidRDefault="001D2255" w:rsidP="008B4B7F">
      <w:pPr>
        <w:jc w:val="both"/>
      </w:pPr>
      <w:r w:rsidRPr="00217645">
        <w:t>4.</w:t>
      </w:r>
      <w:r w:rsidR="00101532">
        <w:t>8</w:t>
      </w:r>
      <w:r w:rsidRPr="00217645">
        <w:tab/>
      </w:r>
      <w:r w:rsidR="00E26A2B" w:rsidRPr="00217645">
        <w:t xml:space="preserve">The Council </w:t>
      </w:r>
      <w:r w:rsidR="00E26A2B" w:rsidRPr="00217645">
        <w:rPr>
          <w:b/>
          <w:bCs/>
        </w:rPr>
        <w:t>noted</w:t>
      </w:r>
      <w:r w:rsidR="00E26A2B" w:rsidRPr="00217645">
        <w:t xml:space="preserve"> </w:t>
      </w:r>
      <w:r w:rsidR="00181210" w:rsidRPr="00217645">
        <w:t>the report contained in Document</w:t>
      </w:r>
      <w:r w:rsidR="00EF538F">
        <w:t> </w:t>
      </w:r>
      <w:proofErr w:type="spellStart"/>
      <w:r w:rsidR="00181210" w:rsidRPr="00217645">
        <w:t>C25</w:t>
      </w:r>
      <w:proofErr w:type="spellEnd"/>
      <w:r w:rsidR="00181210" w:rsidRPr="00217645">
        <w:t>/55.</w:t>
      </w:r>
    </w:p>
    <w:p w14:paraId="35FF7A68" w14:textId="0F045EB1" w:rsidR="00E22551" w:rsidRPr="00217645" w:rsidRDefault="00E22551" w:rsidP="008B4B7F">
      <w:pPr>
        <w:pStyle w:val="Heading1"/>
      </w:pPr>
      <w:r w:rsidRPr="00217645">
        <w:t>5</w:t>
      </w:r>
      <w:r w:rsidRPr="00217645">
        <w:tab/>
        <w:t>Efficiency measures implemented in 2023-2024 and future plans (Document </w:t>
      </w:r>
      <w:hyperlink r:id="rId18" w:history="1">
        <w:proofErr w:type="spellStart"/>
        <w:r w:rsidR="00CE59AB" w:rsidRPr="00217645">
          <w:rPr>
            <w:rStyle w:val="Hyperlink"/>
          </w:rPr>
          <w:t>C25</w:t>
        </w:r>
        <w:proofErr w:type="spellEnd"/>
        <w:r w:rsidR="00CE59AB" w:rsidRPr="00217645">
          <w:rPr>
            <w:rStyle w:val="Hyperlink"/>
          </w:rPr>
          <w:t>/62</w:t>
        </w:r>
      </w:hyperlink>
      <w:r w:rsidRPr="00217645">
        <w:t>)</w:t>
      </w:r>
    </w:p>
    <w:p w14:paraId="2507BAA7" w14:textId="1EA716C7" w:rsidR="00E22551" w:rsidRPr="00217645" w:rsidRDefault="00E22551" w:rsidP="008B4B7F">
      <w:pPr>
        <w:jc w:val="both"/>
        <w:rPr>
          <w:b/>
          <w:bCs/>
        </w:rPr>
      </w:pPr>
      <w:r w:rsidRPr="00217645">
        <w:t>5.1</w:t>
      </w:r>
      <w:r w:rsidRPr="00217645">
        <w:tab/>
      </w:r>
      <w:r w:rsidR="00CD29D1" w:rsidRPr="00217645">
        <w:t>The Chief of Finance and Administration introduced</w:t>
      </w:r>
      <w:r w:rsidRPr="00217645">
        <w:t xml:space="preserve"> Document</w:t>
      </w:r>
      <w:r w:rsidR="00217509">
        <w:t> </w:t>
      </w:r>
      <w:proofErr w:type="spellStart"/>
      <w:r w:rsidRPr="00217645">
        <w:t>C25</w:t>
      </w:r>
      <w:proofErr w:type="spellEnd"/>
      <w:r w:rsidRPr="00217645">
        <w:t>/62</w:t>
      </w:r>
      <w:r w:rsidR="00CD29D1" w:rsidRPr="00217645">
        <w:t xml:space="preserve">, </w:t>
      </w:r>
      <w:r w:rsidR="00F25A48" w:rsidRPr="00217645">
        <w:t>outlining</w:t>
      </w:r>
      <w:r w:rsidRPr="00217645">
        <w:t xml:space="preserve"> efficiency measures </w:t>
      </w:r>
      <w:r w:rsidR="00F25A48" w:rsidRPr="00217645">
        <w:t>undertaken</w:t>
      </w:r>
      <w:r w:rsidR="00CD29D1" w:rsidRPr="00217645">
        <w:t xml:space="preserve"> </w:t>
      </w:r>
      <w:r w:rsidRPr="00217645">
        <w:t xml:space="preserve">in 2023 and 2024 and future plans to </w:t>
      </w:r>
      <w:r w:rsidR="00F25A48" w:rsidRPr="00217645">
        <w:t xml:space="preserve">sustain </w:t>
      </w:r>
      <w:r w:rsidRPr="00217645">
        <w:t>the</w:t>
      </w:r>
      <w:r w:rsidR="00F25A48" w:rsidRPr="00217645">
        <w:t xml:space="preserve"> Union</w:t>
      </w:r>
      <w:r w:rsidR="00217509">
        <w:t>'</w:t>
      </w:r>
      <w:r w:rsidR="00F25A48" w:rsidRPr="00217645">
        <w:t>s</w:t>
      </w:r>
      <w:r w:rsidRPr="00217645">
        <w:t xml:space="preserve"> effectiveness </w:t>
      </w:r>
      <w:r w:rsidR="00F25A48" w:rsidRPr="00217645">
        <w:t>amid tightening</w:t>
      </w:r>
      <w:r w:rsidRPr="00217645">
        <w:t xml:space="preserve"> resources. </w:t>
      </w:r>
      <w:r w:rsidR="00F25A48" w:rsidRPr="00217645">
        <w:t>That objective had</w:t>
      </w:r>
      <w:r w:rsidRPr="00217645">
        <w:t xml:space="preserve"> driv</w:t>
      </w:r>
      <w:r w:rsidR="00F25A48" w:rsidRPr="00217645">
        <w:t>en</w:t>
      </w:r>
      <w:r w:rsidRPr="00217645">
        <w:t xml:space="preserve"> reforms across ITU, </w:t>
      </w:r>
      <w:r w:rsidR="00F25A48" w:rsidRPr="00217645">
        <w:t>notably</w:t>
      </w:r>
      <w:r w:rsidRPr="00217645">
        <w:t xml:space="preserve"> </w:t>
      </w:r>
      <w:r w:rsidR="00F25A48" w:rsidRPr="00217645">
        <w:t xml:space="preserve">the </w:t>
      </w:r>
      <w:r w:rsidRPr="00217645">
        <w:t xml:space="preserve">transformation initiative, </w:t>
      </w:r>
      <w:r w:rsidR="00F25A48" w:rsidRPr="00217645">
        <w:t xml:space="preserve">which strengthened </w:t>
      </w:r>
      <w:r w:rsidRPr="00217645">
        <w:t>efficiency and accountability. Recent U</w:t>
      </w:r>
      <w:r w:rsidR="00CD29D1" w:rsidRPr="00217645">
        <w:t xml:space="preserve">nited </w:t>
      </w:r>
      <w:r w:rsidRPr="00217645">
        <w:t>N</w:t>
      </w:r>
      <w:r w:rsidR="00CD29D1" w:rsidRPr="00217645">
        <w:t>ations</w:t>
      </w:r>
      <w:r w:rsidRPr="00217645">
        <w:t xml:space="preserve"> initiatives had placed the reforms in a </w:t>
      </w:r>
      <w:r w:rsidR="00F25A48" w:rsidRPr="00217645">
        <w:t xml:space="preserve">broader, global </w:t>
      </w:r>
      <w:r w:rsidRPr="00217645">
        <w:t xml:space="preserve">context. The report </w:t>
      </w:r>
      <w:r w:rsidR="00F25A48" w:rsidRPr="00217645">
        <w:t>detail</w:t>
      </w:r>
      <w:r w:rsidR="00E26A2B" w:rsidRPr="00217645">
        <w:t>ed</w:t>
      </w:r>
      <w:r w:rsidR="00F25A48" w:rsidRPr="00217645">
        <w:t xml:space="preserve"> actions </w:t>
      </w:r>
      <w:r w:rsidRPr="00217645">
        <w:t xml:space="preserve">in structural and process optimization, financial transformation, </w:t>
      </w:r>
      <w:r w:rsidR="00DC55BD">
        <w:t>information technology</w:t>
      </w:r>
      <w:r w:rsidRPr="00217645">
        <w:t xml:space="preserve"> modernization and human resource management</w:t>
      </w:r>
      <w:r w:rsidR="00E26A2B" w:rsidRPr="00217645">
        <w:t>, all aiming to make</w:t>
      </w:r>
      <w:r w:rsidRPr="00217645">
        <w:t xml:space="preserve"> ITU fit for purpose and </w:t>
      </w:r>
      <w:r w:rsidR="00CD29D1" w:rsidRPr="00217645">
        <w:t xml:space="preserve">for the </w:t>
      </w:r>
      <w:r w:rsidRPr="00217645">
        <w:t xml:space="preserve">future. </w:t>
      </w:r>
      <w:r w:rsidR="00CD29D1" w:rsidRPr="00217645">
        <w:t xml:space="preserve">The unqualified opinion </w:t>
      </w:r>
      <w:r w:rsidR="00DC55BD">
        <w:t>issued by</w:t>
      </w:r>
      <w:r w:rsidR="00CD29D1" w:rsidRPr="00217645">
        <w:t xml:space="preserve"> the External Auditor showed that the measures were already </w:t>
      </w:r>
      <w:r w:rsidR="00E26A2B" w:rsidRPr="00217645">
        <w:t>bearing</w:t>
      </w:r>
      <w:r w:rsidR="00CD29D1" w:rsidRPr="00217645">
        <w:t xml:space="preserve"> fruit</w:t>
      </w:r>
      <w:r w:rsidRPr="00217645">
        <w:t xml:space="preserve">. </w:t>
      </w:r>
    </w:p>
    <w:p w14:paraId="34906E76" w14:textId="2BAE86C7" w:rsidR="00E22551" w:rsidRPr="00217645" w:rsidRDefault="00E22551" w:rsidP="008B4B7F">
      <w:pPr>
        <w:jc w:val="both"/>
      </w:pPr>
      <w:r w:rsidRPr="00217645">
        <w:t>5.2</w:t>
      </w:r>
      <w:r w:rsidRPr="00217645">
        <w:tab/>
      </w:r>
      <w:r w:rsidR="00F25A48" w:rsidRPr="00217645">
        <w:t>The Chair proposed that discussion of the document be transferred to the ADM Committee</w:t>
      </w:r>
      <w:r w:rsidRPr="00217645">
        <w:t xml:space="preserve">. </w:t>
      </w:r>
    </w:p>
    <w:p w14:paraId="23EA7DE2" w14:textId="3DF4217B" w:rsidR="00E22551" w:rsidRPr="00217645" w:rsidRDefault="00E22551" w:rsidP="008B4B7F">
      <w:pPr>
        <w:jc w:val="both"/>
      </w:pPr>
      <w:r w:rsidRPr="00217645">
        <w:t>5.3</w:t>
      </w:r>
      <w:r w:rsidRPr="00217645">
        <w:tab/>
        <w:t xml:space="preserve">It was so </w:t>
      </w:r>
      <w:r w:rsidRPr="00217645">
        <w:rPr>
          <w:b/>
          <w:bCs/>
        </w:rPr>
        <w:t>agreed</w:t>
      </w:r>
      <w:r w:rsidRPr="00217645">
        <w:t>.</w:t>
      </w:r>
    </w:p>
    <w:p w14:paraId="09A07C71" w14:textId="4D2A0182" w:rsidR="00E22551" w:rsidRPr="00217645" w:rsidRDefault="00E22551" w:rsidP="008B4B7F">
      <w:pPr>
        <w:pStyle w:val="Heading1"/>
        <w:jc w:val="both"/>
      </w:pPr>
      <w:r w:rsidRPr="00217645">
        <w:t>6</w:t>
      </w:r>
      <w:r w:rsidRPr="00217645">
        <w:tab/>
        <w:t>Statements by councillors</w:t>
      </w:r>
    </w:p>
    <w:p w14:paraId="6CD2AC5A" w14:textId="541BA8B5" w:rsidR="00E22551" w:rsidRPr="00217645" w:rsidRDefault="00E22551" w:rsidP="008B4B7F">
      <w:pPr>
        <w:jc w:val="both"/>
      </w:pPr>
      <w:r w:rsidRPr="00217645">
        <w:t>6.1</w:t>
      </w:r>
      <w:r w:rsidRPr="00217645">
        <w:tab/>
        <w:t>The councillor from the United Kingdom announced his country</w:t>
      </w:r>
      <w:r w:rsidR="00217509">
        <w:t>'</w:t>
      </w:r>
      <w:r w:rsidR="006B7F61" w:rsidRPr="00217645">
        <w:t>s</w:t>
      </w:r>
      <w:r w:rsidRPr="00217645">
        <w:t xml:space="preserve"> </w:t>
      </w:r>
      <w:r w:rsidR="006B7F61" w:rsidRPr="00217645">
        <w:t>candidacy for</w:t>
      </w:r>
      <w:r w:rsidRPr="00217645">
        <w:t xml:space="preserve"> re</w:t>
      </w:r>
      <w:r w:rsidR="00217509">
        <w:noBreakHyphen/>
      </w:r>
      <w:r w:rsidRPr="00217645">
        <w:t>election to the Council.</w:t>
      </w:r>
    </w:p>
    <w:p w14:paraId="5ABABD84" w14:textId="63B3AD1C" w:rsidR="00390154" w:rsidRPr="00217645" w:rsidRDefault="00390154" w:rsidP="00074FA0">
      <w:pPr>
        <w:tabs>
          <w:tab w:val="clear" w:pos="567"/>
          <w:tab w:val="clear" w:pos="1134"/>
          <w:tab w:val="clear" w:pos="1701"/>
          <w:tab w:val="clear" w:pos="2268"/>
          <w:tab w:val="clear" w:pos="2835"/>
          <w:tab w:val="left" w:pos="6237"/>
        </w:tabs>
        <w:spacing w:before="840"/>
        <w:jc w:val="both"/>
        <w:rPr>
          <w:szCs w:val="24"/>
        </w:rPr>
      </w:pPr>
      <w:r w:rsidRPr="00217645">
        <w:rPr>
          <w:szCs w:val="24"/>
        </w:rPr>
        <w:t>The Secretary-General</w:t>
      </w:r>
      <w:r w:rsidR="00EA358F" w:rsidRPr="00217645">
        <w:rPr>
          <w:szCs w:val="24"/>
        </w:rPr>
        <w:t>:</w:t>
      </w:r>
      <w:r w:rsidRPr="00217645">
        <w:rPr>
          <w:szCs w:val="24"/>
        </w:rPr>
        <w:tab/>
        <w:t>The Chair:</w:t>
      </w:r>
    </w:p>
    <w:p w14:paraId="5DB2CA66" w14:textId="6A23D1AE" w:rsidR="00AF49A7" w:rsidRPr="00AF49A7" w:rsidRDefault="00390154" w:rsidP="00AF49A7">
      <w:pPr>
        <w:tabs>
          <w:tab w:val="clear" w:pos="567"/>
          <w:tab w:val="clear" w:pos="1134"/>
          <w:tab w:val="clear" w:pos="1701"/>
          <w:tab w:val="clear" w:pos="2268"/>
          <w:tab w:val="clear" w:pos="2835"/>
          <w:tab w:val="left" w:pos="6237"/>
        </w:tabs>
        <w:spacing w:before="0" w:after="120"/>
        <w:jc w:val="both"/>
        <w:rPr>
          <w:szCs w:val="24"/>
        </w:rPr>
      </w:pPr>
      <w:r w:rsidRPr="00217645">
        <w:rPr>
          <w:szCs w:val="24"/>
        </w:rPr>
        <w:t>D. BOGDAN-MARTIN</w:t>
      </w:r>
      <w:r w:rsidRPr="00217645">
        <w:rPr>
          <w:szCs w:val="24"/>
        </w:rPr>
        <w:tab/>
      </w:r>
      <w:r w:rsidR="00560281" w:rsidRPr="00217645">
        <w:rPr>
          <w:szCs w:val="24"/>
        </w:rPr>
        <w:t>C</w:t>
      </w:r>
      <w:r w:rsidRPr="00217645">
        <w:rPr>
          <w:szCs w:val="24"/>
        </w:rPr>
        <w:t xml:space="preserve">. </w:t>
      </w:r>
      <w:r w:rsidR="00560281" w:rsidRPr="00217645">
        <w:rPr>
          <w:szCs w:val="24"/>
        </w:rPr>
        <w:t>FLUTUR</w:t>
      </w:r>
    </w:p>
    <w:p w14:paraId="2F0B89FD" w14:textId="77777777" w:rsidR="00AF49A7" w:rsidRDefault="00AF49A7" w:rsidP="00AF49A7">
      <w:pPr>
        <w:spacing w:before="720"/>
        <w:jc w:val="center"/>
      </w:pPr>
      <w:bookmarkStart w:id="13" w:name="_Hlk206151657"/>
      <w:r>
        <w:t>______________</w:t>
      </w:r>
      <w:bookmarkEnd w:id="13"/>
    </w:p>
    <w:sectPr w:rsidR="00AF49A7" w:rsidSect="00AF00D0">
      <w:footerReference w:type="default" r:id="rId19"/>
      <w:headerReference w:type="first" r:id="rId20"/>
      <w:footerReference w:type="first" r:id="rId21"/>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D384" w14:textId="77777777" w:rsidR="00214483" w:rsidRDefault="00214483">
      <w:r>
        <w:separator/>
      </w:r>
    </w:p>
  </w:endnote>
  <w:endnote w:type="continuationSeparator" w:id="0">
    <w:p w14:paraId="38CF6B92" w14:textId="77777777" w:rsidR="00214483" w:rsidRDefault="00214483">
      <w:r>
        <w:continuationSeparator/>
      </w:r>
    </w:p>
  </w:endnote>
  <w:endnote w:type="continuationNotice" w:id="1">
    <w:p w14:paraId="2E6AB39F" w14:textId="77777777" w:rsidR="00214483" w:rsidRDefault="002144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rsidTr="000E09E2">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2EF77A9C" w:rsidR="00AF00D0" w:rsidRPr="000C7AD9" w:rsidRDefault="00AF00D0" w:rsidP="00EE2977">
          <w:pPr>
            <w:pStyle w:val="Footer"/>
            <w:tabs>
              <w:tab w:val="clear" w:pos="5954"/>
              <w:tab w:val="left" w:pos="6737"/>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Pr="000C7AD9">
            <w:rPr>
              <w:rFonts w:eastAsia="Times New Roman" w:cs="Times New Roman"/>
              <w:bCs/>
              <w:sz w:val="18"/>
              <w:szCs w:val="18"/>
            </w:rPr>
            <w:t>/</w:t>
          </w:r>
          <w:r w:rsidR="00EE2977">
            <w:rPr>
              <w:rFonts w:eastAsia="Times New Roman" w:cs="Times New Roman"/>
              <w:bCs/>
              <w:sz w:val="18"/>
              <w:szCs w:val="18"/>
            </w:rPr>
            <w:t>107</w:t>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proofErr w:type="spellStart"/>
            <w:r w:rsidRPr="000C76A9">
              <w:rPr>
                <w:rStyle w:val="Hyperlink"/>
              </w:rPr>
              <w:t>council.itu.int</w:t>
            </w:r>
            <w:proofErr w:type="spellEnd"/>
            <w:r w:rsidRPr="000C76A9">
              <w:rPr>
                <w:rStyle w:val="Hyperlink"/>
              </w:rPr>
              <w:t>/2025</w:t>
            </w:r>
          </w:hyperlink>
        </w:p>
      </w:tc>
      <w:tc>
        <w:tcPr>
          <w:tcW w:w="8079" w:type="dxa"/>
        </w:tcPr>
        <w:p w14:paraId="17F23351" w14:textId="1A0C906D" w:rsidR="003A3BDC" w:rsidRPr="000C7AD9" w:rsidRDefault="003A3BDC" w:rsidP="00EE2977">
          <w:pPr>
            <w:pStyle w:val="Header"/>
            <w:tabs>
              <w:tab w:val="left" w:pos="6415"/>
              <w:tab w:val="right" w:pos="8505"/>
              <w:tab w:val="right" w:pos="9639"/>
            </w:tabs>
            <w:jc w:val="left"/>
            <w:rPr>
              <w:rFonts w:ascii="Arial" w:hAnsi="Arial" w:cs="Arial"/>
              <w:b/>
              <w:bCs/>
              <w:szCs w:val="18"/>
            </w:rPr>
          </w:pPr>
          <w:r w:rsidRPr="000C7AD9">
            <w:rPr>
              <w:bCs/>
              <w:szCs w:val="18"/>
            </w:rPr>
            <w:tab/>
          </w:r>
          <w:proofErr w:type="spellStart"/>
          <w:r w:rsidRPr="000C7AD9">
            <w:rPr>
              <w:bCs/>
              <w:szCs w:val="18"/>
            </w:rPr>
            <w:t>C2</w:t>
          </w:r>
          <w:r w:rsidR="000C76A9" w:rsidRPr="000C7AD9">
            <w:rPr>
              <w:bCs/>
              <w:szCs w:val="18"/>
            </w:rPr>
            <w:t>5</w:t>
          </w:r>
          <w:proofErr w:type="spellEnd"/>
          <w:r w:rsidRPr="000C7AD9">
            <w:rPr>
              <w:bCs/>
              <w:szCs w:val="18"/>
            </w:rPr>
            <w:t>/</w:t>
          </w:r>
          <w:r w:rsidR="00EE2977">
            <w:rPr>
              <w:bCs/>
              <w:szCs w:val="18"/>
            </w:rPr>
            <w:t>107</w:t>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4CBC" w14:textId="77777777" w:rsidR="00214483" w:rsidRDefault="00214483">
      <w:r>
        <w:t>____________________</w:t>
      </w:r>
    </w:p>
  </w:footnote>
  <w:footnote w:type="continuationSeparator" w:id="0">
    <w:p w14:paraId="1E25D690" w14:textId="77777777" w:rsidR="00214483" w:rsidRDefault="00214483">
      <w:r>
        <w:continuationSeparator/>
      </w:r>
    </w:p>
  </w:footnote>
  <w:footnote w:type="continuationNotice" w:id="1">
    <w:p w14:paraId="535A36DA" w14:textId="77777777" w:rsidR="00214483" w:rsidRDefault="002144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rsidTr="000E09E2">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489D0"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3"/>
  </w:num>
  <w:num w:numId="5" w16cid:durableId="1478301495">
    <w:abstractNumId w:val="6"/>
  </w:num>
  <w:num w:numId="6" w16cid:durableId="2045328376">
    <w:abstractNumId w:val="7"/>
  </w:num>
  <w:num w:numId="7" w16cid:durableId="650913780">
    <w:abstractNumId w:val="12"/>
  </w:num>
  <w:num w:numId="8" w16cid:durableId="1079475666">
    <w:abstractNumId w:val="5"/>
  </w:num>
  <w:num w:numId="9" w16cid:durableId="108011777">
    <w:abstractNumId w:val="10"/>
  </w:num>
  <w:num w:numId="10" w16cid:durableId="449980474">
    <w:abstractNumId w:val="14"/>
  </w:num>
  <w:num w:numId="11" w16cid:durableId="768937311">
    <w:abstractNumId w:val="3"/>
  </w:num>
  <w:num w:numId="12" w16cid:durableId="422576947">
    <w:abstractNumId w:val="8"/>
  </w:num>
  <w:num w:numId="13" w16cid:durableId="1855724044">
    <w:abstractNumId w:val="11"/>
  </w:num>
  <w:num w:numId="14" w16cid:durableId="752051971">
    <w:abstractNumId w:val="4"/>
  </w:num>
  <w:num w:numId="15" w16cid:durableId="203418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4AF5"/>
    <w:rsid w:val="0004698E"/>
    <w:rsid w:val="00047E35"/>
    <w:rsid w:val="00063016"/>
    <w:rsid w:val="00066795"/>
    <w:rsid w:val="00071B15"/>
    <w:rsid w:val="00073826"/>
    <w:rsid w:val="00074FA0"/>
    <w:rsid w:val="00076AF6"/>
    <w:rsid w:val="00085CF2"/>
    <w:rsid w:val="00093A91"/>
    <w:rsid w:val="00094460"/>
    <w:rsid w:val="000A21A0"/>
    <w:rsid w:val="000B0B79"/>
    <w:rsid w:val="000B1705"/>
    <w:rsid w:val="000C76A9"/>
    <w:rsid w:val="000C7AD9"/>
    <w:rsid w:val="000D75B2"/>
    <w:rsid w:val="000E427E"/>
    <w:rsid w:val="000E5958"/>
    <w:rsid w:val="00101532"/>
    <w:rsid w:val="0010202B"/>
    <w:rsid w:val="001121F5"/>
    <w:rsid w:val="00117636"/>
    <w:rsid w:val="00117B94"/>
    <w:rsid w:val="0013114B"/>
    <w:rsid w:val="001400DC"/>
    <w:rsid w:val="00140CE1"/>
    <w:rsid w:val="00141652"/>
    <w:rsid w:val="001455B4"/>
    <w:rsid w:val="00153171"/>
    <w:rsid w:val="0015770D"/>
    <w:rsid w:val="00170C41"/>
    <w:rsid w:val="001722A2"/>
    <w:rsid w:val="0017539C"/>
    <w:rsid w:val="00175AC2"/>
    <w:rsid w:val="0017609F"/>
    <w:rsid w:val="00177DFC"/>
    <w:rsid w:val="00181210"/>
    <w:rsid w:val="001836BB"/>
    <w:rsid w:val="00190209"/>
    <w:rsid w:val="00193DAC"/>
    <w:rsid w:val="00194073"/>
    <w:rsid w:val="00197DD2"/>
    <w:rsid w:val="001A7D1D"/>
    <w:rsid w:val="001B0A82"/>
    <w:rsid w:val="001B51DD"/>
    <w:rsid w:val="001C628E"/>
    <w:rsid w:val="001D2255"/>
    <w:rsid w:val="001D23B6"/>
    <w:rsid w:val="001D44CE"/>
    <w:rsid w:val="001E0F7B"/>
    <w:rsid w:val="001F074A"/>
    <w:rsid w:val="001F1A27"/>
    <w:rsid w:val="00205658"/>
    <w:rsid w:val="00211548"/>
    <w:rsid w:val="002119FD"/>
    <w:rsid w:val="002130E0"/>
    <w:rsid w:val="00214483"/>
    <w:rsid w:val="00216E09"/>
    <w:rsid w:val="00217509"/>
    <w:rsid w:val="00217645"/>
    <w:rsid w:val="00222E2B"/>
    <w:rsid w:val="00231A68"/>
    <w:rsid w:val="00235AA7"/>
    <w:rsid w:val="00240F9E"/>
    <w:rsid w:val="00245575"/>
    <w:rsid w:val="002521BA"/>
    <w:rsid w:val="00253BA0"/>
    <w:rsid w:val="0026054C"/>
    <w:rsid w:val="00264425"/>
    <w:rsid w:val="00265875"/>
    <w:rsid w:val="0027303B"/>
    <w:rsid w:val="0028109B"/>
    <w:rsid w:val="002A2188"/>
    <w:rsid w:val="002A2858"/>
    <w:rsid w:val="002B1F58"/>
    <w:rsid w:val="002B512C"/>
    <w:rsid w:val="002B6471"/>
    <w:rsid w:val="002C1C7A"/>
    <w:rsid w:val="002C36C3"/>
    <w:rsid w:val="002C49F1"/>
    <w:rsid w:val="002C54E2"/>
    <w:rsid w:val="002D136B"/>
    <w:rsid w:val="002D5F25"/>
    <w:rsid w:val="00300C07"/>
    <w:rsid w:val="0030160F"/>
    <w:rsid w:val="003075D8"/>
    <w:rsid w:val="00312322"/>
    <w:rsid w:val="0031697A"/>
    <w:rsid w:val="00320223"/>
    <w:rsid w:val="00322D0D"/>
    <w:rsid w:val="00327875"/>
    <w:rsid w:val="003317F3"/>
    <w:rsid w:val="00356C22"/>
    <w:rsid w:val="0036006B"/>
    <w:rsid w:val="00361465"/>
    <w:rsid w:val="0036567A"/>
    <w:rsid w:val="00374DD6"/>
    <w:rsid w:val="003751CA"/>
    <w:rsid w:val="00383647"/>
    <w:rsid w:val="00386D4D"/>
    <w:rsid w:val="003877F5"/>
    <w:rsid w:val="00390154"/>
    <w:rsid w:val="00391A43"/>
    <w:rsid w:val="003942D4"/>
    <w:rsid w:val="003958A8"/>
    <w:rsid w:val="003A3BDC"/>
    <w:rsid w:val="003A7542"/>
    <w:rsid w:val="003B773A"/>
    <w:rsid w:val="003C2533"/>
    <w:rsid w:val="003D5A7F"/>
    <w:rsid w:val="003D6F72"/>
    <w:rsid w:val="003E275C"/>
    <w:rsid w:val="004016E2"/>
    <w:rsid w:val="004039CD"/>
    <w:rsid w:val="0040435A"/>
    <w:rsid w:val="00410F8B"/>
    <w:rsid w:val="00413B31"/>
    <w:rsid w:val="0041576D"/>
    <w:rsid w:val="00416A24"/>
    <w:rsid w:val="00427379"/>
    <w:rsid w:val="00431D9E"/>
    <w:rsid w:val="00433C73"/>
    <w:rsid w:val="00433CE8"/>
    <w:rsid w:val="00434A5C"/>
    <w:rsid w:val="00444C74"/>
    <w:rsid w:val="00446A30"/>
    <w:rsid w:val="00452606"/>
    <w:rsid w:val="004544D9"/>
    <w:rsid w:val="004606F5"/>
    <w:rsid w:val="00472BAD"/>
    <w:rsid w:val="0047586B"/>
    <w:rsid w:val="004822C4"/>
    <w:rsid w:val="00484009"/>
    <w:rsid w:val="00490E72"/>
    <w:rsid w:val="00491157"/>
    <w:rsid w:val="004921C8"/>
    <w:rsid w:val="0049489B"/>
    <w:rsid w:val="00495B0B"/>
    <w:rsid w:val="004A1980"/>
    <w:rsid w:val="004A1B8B"/>
    <w:rsid w:val="004B7E0F"/>
    <w:rsid w:val="004C0489"/>
    <w:rsid w:val="004C1CD8"/>
    <w:rsid w:val="004D0192"/>
    <w:rsid w:val="004D1851"/>
    <w:rsid w:val="004D599D"/>
    <w:rsid w:val="004E0E39"/>
    <w:rsid w:val="004E2EA5"/>
    <w:rsid w:val="004E3AEB"/>
    <w:rsid w:val="004F3803"/>
    <w:rsid w:val="004F5178"/>
    <w:rsid w:val="004F7742"/>
    <w:rsid w:val="0050223C"/>
    <w:rsid w:val="0051181E"/>
    <w:rsid w:val="005243FF"/>
    <w:rsid w:val="00544CD5"/>
    <w:rsid w:val="0055581B"/>
    <w:rsid w:val="00560281"/>
    <w:rsid w:val="0056361C"/>
    <w:rsid w:val="00564907"/>
    <w:rsid w:val="00564FBC"/>
    <w:rsid w:val="00566BE4"/>
    <w:rsid w:val="00573EB5"/>
    <w:rsid w:val="005800BC"/>
    <w:rsid w:val="00582442"/>
    <w:rsid w:val="00592B48"/>
    <w:rsid w:val="005A3D06"/>
    <w:rsid w:val="005B766E"/>
    <w:rsid w:val="005C0658"/>
    <w:rsid w:val="005D018B"/>
    <w:rsid w:val="005D2437"/>
    <w:rsid w:val="005D26C5"/>
    <w:rsid w:val="005D3EFA"/>
    <w:rsid w:val="005D65B6"/>
    <w:rsid w:val="005E3201"/>
    <w:rsid w:val="005F3269"/>
    <w:rsid w:val="00601AB4"/>
    <w:rsid w:val="006057F8"/>
    <w:rsid w:val="00611253"/>
    <w:rsid w:val="006224F8"/>
    <w:rsid w:val="00623AE3"/>
    <w:rsid w:val="00624D20"/>
    <w:rsid w:val="00627E8B"/>
    <w:rsid w:val="0064233E"/>
    <w:rsid w:val="00642D44"/>
    <w:rsid w:val="00644ECC"/>
    <w:rsid w:val="0064737F"/>
    <w:rsid w:val="00651377"/>
    <w:rsid w:val="006531D2"/>
    <w:rsid w:val="006535F1"/>
    <w:rsid w:val="0065557D"/>
    <w:rsid w:val="00657423"/>
    <w:rsid w:val="00660D50"/>
    <w:rsid w:val="006627D0"/>
    <w:rsid w:val="00662984"/>
    <w:rsid w:val="00670181"/>
    <w:rsid w:val="0067062A"/>
    <w:rsid w:val="006714F4"/>
    <w:rsid w:val="006716BB"/>
    <w:rsid w:val="00671E75"/>
    <w:rsid w:val="006812EF"/>
    <w:rsid w:val="006850BE"/>
    <w:rsid w:val="006918AC"/>
    <w:rsid w:val="006955A6"/>
    <w:rsid w:val="006A51FC"/>
    <w:rsid w:val="006B1751"/>
    <w:rsid w:val="006B1859"/>
    <w:rsid w:val="006B3002"/>
    <w:rsid w:val="006B6680"/>
    <w:rsid w:val="006B6DCC"/>
    <w:rsid w:val="006B7F61"/>
    <w:rsid w:val="006D57B5"/>
    <w:rsid w:val="006E107F"/>
    <w:rsid w:val="00702DEF"/>
    <w:rsid w:val="00703142"/>
    <w:rsid w:val="007041DA"/>
    <w:rsid w:val="00705104"/>
    <w:rsid w:val="00706861"/>
    <w:rsid w:val="00711A33"/>
    <w:rsid w:val="00715501"/>
    <w:rsid w:val="0071795E"/>
    <w:rsid w:val="007244B9"/>
    <w:rsid w:val="007405E4"/>
    <w:rsid w:val="0074567B"/>
    <w:rsid w:val="0075051B"/>
    <w:rsid w:val="007577B6"/>
    <w:rsid w:val="00774C8A"/>
    <w:rsid w:val="00793188"/>
    <w:rsid w:val="00794D34"/>
    <w:rsid w:val="007A732A"/>
    <w:rsid w:val="007B4F8C"/>
    <w:rsid w:val="007C03A7"/>
    <w:rsid w:val="007C129D"/>
    <w:rsid w:val="007C4D79"/>
    <w:rsid w:val="007E7A53"/>
    <w:rsid w:val="007F3093"/>
    <w:rsid w:val="007F32E1"/>
    <w:rsid w:val="007F59B3"/>
    <w:rsid w:val="007F63F7"/>
    <w:rsid w:val="007F6ADD"/>
    <w:rsid w:val="00813E5E"/>
    <w:rsid w:val="008173BD"/>
    <w:rsid w:val="00824B00"/>
    <w:rsid w:val="0083581B"/>
    <w:rsid w:val="00840387"/>
    <w:rsid w:val="008422A8"/>
    <w:rsid w:val="00863874"/>
    <w:rsid w:val="00864AFF"/>
    <w:rsid w:val="00865925"/>
    <w:rsid w:val="00875303"/>
    <w:rsid w:val="00881A82"/>
    <w:rsid w:val="00885029"/>
    <w:rsid w:val="008A2630"/>
    <w:rsid w:val="008B4A6A"/>
    <w:rsid w:val="008B4B7F"/>
    <w:rsid w:val="008C2D09"/>
    <w:rsid w:val="008C6532"/>
    <w:rsid w:val="008C7E27"/>
    <w:rsid w:val="008D5F6E"/>
    <w:rsid w:val="008D70E8"/>
    <w:rsid w:val="008E5A4A"/>
    <w:rsid w:val="008F4F2E"/>
    <w:rsid w:val="008F7448"/>
    <w:rsid w:val="0090126D"/>
    <w:rsid w:val="0090147A"/>
    <w:rsid w:val="00905336"/>
    <w:rsid w:val="009156F1"/>
    <w:rsid w:val="009173EF"/>
    <w:rsid w:val="0092090F"/>
    <w:rsid w:val="00932906"/>
    <w:rsid w:val="00936B01"/>
    <w:rsid w:val="009370FB"/>
    <w:rsid w:val="00944AE7"/>
    <w:rsid w:val="009529D0"/>
    <w:rsid w:val="00953140"/>
    <w:rsid w:val="00961B0B"/>
    <w:rsid w:val="0096298C"/>
    <w:rsid w:val="00962D33"/>
    <w:rsid w:val="00976163"/>
    <w:rsid w:val="00985046"/>
    <w:rsid w:val="009A18D9"/>
    <w:rsid w:val="009A3C8D"/>
    <w:rsid w:val="009B38C3"/>
    <w:rsid w:val="009C2762"/>
    <w:rsid w:val="009D4F14"/>
    <w:rsid w:val="009E17BD"/>
    <w:rsid w:val="009E485A"/>
    <w:rsid w:val="00A01A0E"/>
    <w:rsid w:val="00A04CEC"/>
    <w:rsid w:val="00A173C2"/>
    <w:rsid w:val="00A27F92"/>
    <w:rsid w:val="00A31F3F"/>
    <w:rsid w:val="00A32257"/>
    <w:rsid w:val="00A36D20"/>
    <w:rsid w:val="00A43B0F"/>
    <w:rsid w:val="00A47393"/>
    <w:rsid w:val="00A50277"/>
    <w:rsid w:val="00A514A4"/>
    <w:rsid w:val="00A55622"/>
    <w:rsid w:val="00A667D8"/>
    <w:rsid w:val="00A70A90"/>
    <w:rsid w:val="00A83502"/>
    <w:rsid w:val="00A90E7E"/>
    <w:rsid w:val="00AA6C06"/>
    <w:rsid w:val="00AB2A25"/>
    <w:rsid w:val="00AB337D"/>
    <w:rsid w:val="00AB3CF1"/>
    <w:rsid w:val="00AB6CAC"/>
    <w:rsid w:val="00AC1BE6"/>
    <w:rsid w:val="00AD15B3"/>
    <w:rsid w:val="00AD3606"/>
    <w:rsid w:val="00AD4A3D"/>
    <w:rsid w:val="00AE1DFF"/>
    <w:rsid w:val="00AE67FC"/>
    <w:rsid w:val="00AF00D0"/>
    <w:rsid w:val="00AF2F6B"/>
    <w:rsid w:val="00AF302F"/>
    <w:rsid w:val="00AF49A7"/>
    <w:rsid w:val="00AF6E49"/>
    <w:rsid w:val="00B04A67"/>
    <w:rsid w:val="00B0583C"/>
    <w:rsid w:val="00B10CDD"/>
    <w:rsid w:val="00B11E04"/>
    <w:rsid w:val="00B17D78"/>
    <w:rsid w:val="00B2144B"/>
    <w:rsid w:val="00B27D64"/>
    <w:rsid w:val="00B325D8"/>
    <w:rsid w:val="00B32A93"/>
    <w:rsid w:val="00B40A81"/>
    <w:rsid w:val="00B44910"/>
    <w:rsid w:val="00B464CD"/>
    <w:rsid w:val="00B478DA"/>
    <w:rsid w:val="00B47B38"/>
    <w:rsid w:val="00B72267"/>
    <w:rsid w:val="00B76EB6"/>
    <w:rsid w:val="00B7737B"/>
    <w:rsid w:val="00B810B2"/>
    <w:rsid w:val="00B824C8"/>
    <w:rsid w:val="00B84B9D"/>
    <w:rsid w:val="00BA28C4"/>
    <w:rsid w:val="00BB6DCC"/>
    <w:rsid w:val="00BC251A"/>
    <w:rsid w:val="00BD032B"/>
    <w:rsid w:val="00BD207C"/>
    <w:rsid w:val="00BE2640"/>
    <w:rsid w:val="00C01189"/>
    <w:rsid w:val="00C14FAF"/>
    <w:rsid w:val="00C20AD5"/>
    <w:rsid w:val="00C331DD"/>
    <w:rsid w:val="00C374DE"/>
    <w:rsid w:val="00C4602D"/>
    <w:rsid w:val="00C47AD4"/>
    <w:rsid w:val="00C52D81"/>
    <w:rsid w:val="00C55198"/>
    <w:rsid w:val="00C72166"/>
    <w:rsid w:val="00C73CE5"/>
    <w:rsid w:val="00C81318"/>
    <w:rsid w:val="00CA3837"/>
    <w:rsid w:val="00CA6393"/>
    <w:rsid w:val="00CB18FF"/>
    <w:rsid w:val="00CB1AD4"/>
    <w:rsid w:val="00CC4287"/>
    <w:rsid w:val="00CD0C08"/>
    <w:rsid w:val="00CD2596"/>
    <w:rsid w:val="00CD29D1"/>
    <w:rsid w:val="00CD7065"/>
    <w:rsid w:val="00CE03FB"/>
    <w:rsid w:val="00CE433C"/>
    <w:rsid w:val="00CE59AB"/>
    <w:rsid w:val="00CF0161"/>
    <w:rsid w:val="00CF0AC4"/>
    <w:rsid w:val="00CF124B"/>
    <w:rsid w:val="00CF33F3"/>
    <w:rsid w:val="00CF5223"/>
    <w:rsid w:val="00D06183"/>
    <w:rsid w:val="00D125B9"/>
    <w:rsid w:val="00D15E83"/>
    <w:rsid w:val="00D22C42"/>
    <w:rsid w:val="00D25D38"/>
    <w:rsid w:val="00D65041"/>
    <w:rsid w:val="00D65BC1"/>
    <w:rsid w:val="00D661DE"/>
    <w:rsid w:val="00D70025"/>
    <w:rsid w:val="00D74C0A"/>
    <w:rsid w:val="00D8227D"/>
    <w:rsid w:val="00D8355B"/>
    <w:rsid w:val="00D84504"/>
    <w:rsid w:val="00D85ED9"/>
    <w:rsid w:val="00DA08F3"/>
    <w:rsid w:val="00DB1936"/>
    <w:rsid w:val="00DB384B"/>
    <w:rsid w:val="00DB6BDD"/>
    <w:rsid w:val="00DB6D48"/>
    <w:rsid w:val="00DC55BD"/>
    <w:rsid w:val="00DD4B4D"/>
    <w:rsid w:val="00DD4CCC"/>
    <w:rsid w:val="00DD63C9"/>
    <w:rsid w:val="00DE42CB"/>
    <w:rsid w:val="00DF0189"/>
    <w:rsid w:val="00DF5B1D"/>
    <w:rsid w:val="00E06FD5"/>
    <w:rsid w:val="00E10E80"/>
    <w:rsid w:val="00E1207E"/>
    <w:rsid w:val="00E124F0"/>
    <w:rsid w:val="00E13863"/>
    <w:rsid w:val="00E224F8"/>
    <w:rsid w:val="00E22551"/>
    <w:rsid w:val="00E227F3"/>
    <w:rsid w:val="00E23618"/>
    <w:rsid w:val="00E23832"/>
    <w:rsid w:val="00E26A2B"/>
    <w:rsid w:val="00E335C6"/>
    <w:rsid w:val="00E449F4"/>
    <w:rsid w:val="00E545C6"/>
    <w:rsid w:val="00E60F04"/>
    <w:rsid w:val="00E65B24"/>
    <w:rsid w:val="00E72DA0"/>
    <w:rsid w:val="00E84F82"/>
    <w:rsid w:val="00E854E4"/>
    <w:rsid w:val="00E86DBF"/>
    <w:rsid w:val="00E94CDB"/>
    <w:rsid w:val="00E96D2A"/>
    <w:rsid w:val="00E97336"/>
    <w:rsid w:val="00EA1D83"/>
    <w:rsid w:val="00EA358F"/>
    <w:rsid w:val="00EB0D6F"/>
    <w:rsid w:val="00EB2232"/>
    <w:rsid w:val="00EC1909"/>
    <w:rsid w:val="00EC5337"/>
    <w:rsid w:val="00ED0820"/>
    <w:rsid w:val="00ED6829"/>
    <w:rsid w:val="00ED6D46"/>
    <w:rsid w:val="00ED7E64"/>
    <w:rsid w:val="00EE16DF"/>
    <w:rsid w:val="00EE2977"/>
    <w:rsid w:val="00EE49E8"/>
    <w:rsid w:val="00EF485E"/>
    <w:rsid w:val="00EF538F"/>
    <w:rsid w:val="00F164A5"/>
    <w:rsid w:val="00F16724"/>
    <w:rsid w:val="00F16BAB"/>
    <w:rsid w:val="00F2150A"/>
    <w:rsid w:val="00F231D8"/>
    <w:rsid w:val="00F24BB9"/>
    <w:rsid w:val="00F25A48"/>
    <w:rsid w:val="00F2696D"/>
    <w:rsid w:val="00F32D3D"/>
    <w:rsid w:val="00F3464C"/>
    <w:rsid w:val="00F41763"/>
    <w:rsid w:val="00F44C00"/>
    <w:rsid w:val="00F45D2C"/>
    <w:rsid w:val="00F46644"/>
    <w:rsid w:val="00F46C5F"/>
    <w:rsid w:val="00F57722"/>
    <w:rsid w:val="00F632C0"/>
    <w:rsid w:val="00F658AF"/>
    <w:rsid w:val="00F66005"/>
    <w:rsid w:val="00F74710"/>
    <w:rsid w:val="00F75825"/>
    <w:rsid w:val="00F82E1E"/>
    <w:rsid w:val="00F94A63"/>
    <w:rsid w:val="00F96FD5"/>
    <w:rsid w:val="00FA1C28"/>
    <w:rsid w:val="00FA2731"/>
    <w:rsid w:val="00FB1279"/>
    <w:rsid w:val="00FB6B76"/>
    <w:rsid w:val="00FB7596"/>
    <w:rsid w:val="00FC1699"/>
    <w:rsid w:val="00FD6070"/>
    <w:rsid w:val="00FE27D3"/>
    <w:rsid w:val="00FE4077"/>
    <w:rsid w:val="00FE500D"/>
    <w:rsid w:val="00FE6522"/>
    <w:rsid w:val="00FE7298"/>
    <w:rsid w:val="00FE77D2"/>
    <w:rsid w:val="058AC576"/>
    <w:rsid w:val="19AA7067"/>
    <w:rsid w:val="1C796D00"/>
    <w:rsid w:val="1E2D52C8"/>
    <w:rsid w:val="28EA9D13"/>
    <w:rsid w:val="3BD6A6F4"/>
    <w:rsid w:val="4022AFA4"/>
    <w:rsid w:val="42CF1146"/>
    <w:rsid w:val="481758D4"/>
    <w:rsid w:val="56C39A5B"/>
    <w:rsid w:val="56D196FD"/>
    <w:rsid w:val="5D22BD84"/>
    <w:rsid w:val="62D8C77F"/>
    <w:rsid w:val="63EF51C3"/>
    <w:rsid w:val="72634E9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87E0054-B899-4984-802C-A6F1570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 w:type="paragraph" w:customStyle="1" w:styleId="Reasons">
    <w:name w:val="Reasons"/>
    <w:basedOn w:val="Normal"/>
    <w:qFormat/>
    <w:rsid w:val="00AF49A7"/>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55/en" TargetMode="External"/><Relationship Id="rId18" Type="http://schemas.openxmlformats.org/officeDocument/2006/relationships/hyperlink" Target="https://www.itu.int/md/S25-CL-C-0062/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5-CL-C-0047/en" TargetMode="External"/><Relationship Id="rId17" Type="http://schemas.openxmlformats.org/officeDocument/2006/relationships/hyperlink" Target="https://www.itu.int/md/S25-CL-C-0055/en" TargetMode="External"/><Relationship Id="rId2" Type="http://schemas.openxmlformats.org/officeDocument/2006/relationships/customXml" Target="../customXml/item2.xml"/><Relationship Id="rId16" Type="http://schemas.openxmlformats.org/officeDocument/2006/relationships/hyperlink" Target="https://www.itu.int/md/S25-CL-C-0047/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28/en" TargetMode="External"/><Relationship Id="rId5" Type="http://schemas.openxmlformats.org/officeDocument/2006/relationships/numbering" Target="numbering.xml"/><Relationship Id="rId15" Type="http://schemas.openxmlformats.org/officeDocument/2006/relationships/hyperlink" Target="https://www.itu.int/md/S25-CL-C-0055/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2/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7063330-6966-4DBC-8445-438D3A10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7C09E-7F0E-4902-8DBD-FCD22B13F6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F0C96-A37C-4F44-BF33-21127A164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2856</Words>
  <Characters>18114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Summary record of the first plenary meeting of C25</vt:lpstr>
    </vt:vector>
  </TitlesOfParts>
  <Manager/>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first plenary meeting of C25</dc:title>
  <dc:subject>ITU Council 2025</dc:subject>
  <cp:keywords>C2025, C25, Council-25</cp:keywords>
  <dc:description/>
  <dcterms:created xsi:type="dcterms:W3CDTF">2025-08-06T08:03:00Z</dcterms:created>
  <dcterms:modified xsi:type="dcterms:W3CDTF">2025-08-15T10:17:00Z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4d7a22a4-f0d9-4b33-b162-6a30e4893f8e</vt:lpwstr>
  </property>
</Properties>
</file>