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9"/>
        <w:gridCol w:w="2972"/>
      </w:tblGrid>
      <w:tr w:rsidR="007B0AA0" w14:paraId="3068E65F" w14:textId="77777777" w:rsidTr="000D654F">
        <w:tc>
          <w:tcPr>
            <w:tcW w:w="6099" w:type="dxa"/>
          </w:tcPr>
          <w:p w14:paraId="5AF7B40B" w14:textId="5739B340" w:rsidR="007B0AA0" w:rsidRPr="007B0AA0" w:rsidRDefault="007B0AA0" w:rsidP="00F363FE">
            <w:pPr>
              <w:spacing w:before="60" w:after="60" w:line="260" w:lineRule="exact"/>
              <w:rPr>
                <w:b/>
                <w:bCs/>
                <w:rtl/>
              </w:rPr>
            </w:pPr>
          </w:p>
        </w:tc>
        <w:tc>
          <w:tcPr>
            <w:tcW w:w="2972" w:type="dxa"/>
          </w:tcPr>
          <w:p w14:paraId="6BC2EF72" w14:textId="3D575C1C" w:rsidR="007B0AA0" w:rsidRPr="007B0AA0" w:rsidRDefault="007B0AA0" w:rsidP="00F363FE">
            <w:pPr>
              <w:spacing w:before="60" w:after="60" w:line="260" w:lineRule="exact"/>
              <w:rPr>
                <w:b/>
                <w:bCs/>
              </w:rPr>
            </w:pPr>
            <w:r w:rsidRPr="007B0AA0">
              <w:rPr>
                <w:rFonts w:hint="cs"/>
                <w:b/>
                <w:bCs/>
                <w:rtl/>
              </w:rPr>
              <w:t xml:space="preserve">الوثيقة </w:t>
            </w:r>
            <w:r w:rsidRPr="007B0AA0">
              <w:rPr>
                <w:b/>
                <w:bCs/>
              </w:rPr>
              <w:t>C2</w:t>
            </w:r>
            <w:r w:rsidR="006F363C">
              <w:rPr>
                <w:b/>
                <w:bCs/>
              </w:rPr>
              <w:t>5</w:t>
            </w:r>
            <w:r w:rsidRPr="007B0AA0">
              <w:rPr>
                <w:b/>
                <w:bCs/>
              </w:rPr>
              <w:t>/</w:t>
            </w:r>
            <w:r w:rsidR="00806C91">
              <w:rPr>
                <w:b/>
                <w:bCs/>
              </w:rPr>
              <w:t>107</w:t>
            </w:r>
            <w:r w:rsidRPr="007B0AA0">
              <w:rPr>
                <w:b/>
                <w:bCs/>
              </w:rPr>
              <w:t>-A</w:t>
            </w:r>
          </w:p>
        </w:tc>
      </w:tr>
      <w:tr w:rsidR="007B0AA0" w14:paraId="6B843A7E" w14:textId="77777777" w:rsidTr="000D654F">
        <w:tc>
          <w:tcPr>
            <w:tcW w:w="6099" w:type="dxa"/>
          </w:tcPr>
          <w:p w14:paraId="435A8B06" w14:textId="77777777" w:rsidR="007B0AA0" w:rsidRPr="007B0AA0" w:rsidRDefault="007B0AA0" w:rsidP="00F363FE">
            <w:pPr>
              <w:spacing w:before="60" w:after="60" w:line="260" w:lineRule="exact"/>
              <w:rPr>
                <w:b/>
                <w:bCs/>
                <w:rtl/>
              </w:rPr>
            </w:pPr>
          </w:p>
        </w:tc>
        <w:tc>
          <w:tcPr>
            <w:tcW w:w="2972" w:type="dxa"/>
          </w:tcPr>
          <w:p w14:paraId="03944E15" w14:textId="5F04D9C8" w:rsidR="007B0AA0" w:rsidRPr="007B0AA0" w:rsidRDefault="00187D80" w:rsidP="00F363FE">
            <w:pPr>
              <w:spacing w:before="60" w:after="60" w:line="260" w:lineRule="exact"/>
              <w:rPr>
                <w:b/>
                <w:bCs/>
                <w:rtl/>
              </w:rPr>
            </w:pPr>
            <w:r>
              <w:rPr>
                <w:rFonts w:hint="cs"/>
                <w:b/>
                <w:bCs/>
                <w:rtl/>
              </w:rPr>
              <w:t>15</w:t>
            </w:r>
            <w:r w:rsidR="000D654F">
              <w:rPr>
                <w:rFonts w:hint="cs"/>
                <w:b/>
                <w:bCs/>
                <w:rtl/>
              </w:rPr>
              <w:t xml:space="preserve">‏ </w:t>
            </w:r>
            <w:r>
              <w:rPr>
                <w:rFonts w:hint="cs"/>
                <w:b/>
                <w:bCs/>
                <w:rtl/>
              </w:rPr>
              <w:t>أغسطس</w:t>
            </w:r>
            <w:r w:rsidR="000D654F">
              <w:rPr>
                <w:rFonts w:hint="cs"/>
                <w:b/>
                <w:bCs/>
                <w:rtl/>
              </w:rPr>
              <w:t>‏ 2025</w:t>
            </w:r>
          </w:p>
        </w:tc>
      </w:tr>
      <w:tr w:rsidR="007B0AA0" w14:paraId="41259DB1" w14:textId="77777777" w:rsidTr="000D654F">
        <w:tc>
          <w:tcPr>
            <w:tcW w:w="6099" w:type="dxa"/>
          </w:tcPr>
          <w:p w14:paraId="4AC4DCD3" w14:textId="77777777" w:rsidR="007B0AA0" w:rsidRPr="007B0AA0" w:rsidRDefault="007B0AA0" w:rsidP="00F363FE">
            <w:pPr>
              <w:spacing w:before="60" w:after="60" w:line="260" w:lineRule="exact"/>
              <w:rPr>
                <w:b/>
                <w:bCs/>
                <w:rtl/>
              </w:rPr>
            </w:pPr>
          </w:p>
        </w:tc>
        <w:tc>
          <w:tcPr>
            <w:tcW w:w="2972" w:type="dxa"/>
          </w:tcPr>
          <w:p w14:paraId="7D58579A"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0D292BE2" w14:textId="77777777" w:rsidTr="000D654F">
        <w:tc>
          <w:tcPr>
            <w:tcW w:w="6099" w:type="dxa"/>
          </w:tcPr>
          <w:p w14:paraId="5B1F54C2" w14:textId="77777777" w:rsidR="007B0AA0" w:rsidRDefault="007B0AA0" w:rsidP="00F363FE">
            <w:pPr>
              <w:spacing w:before="60" w:after="60" w:line="260" w:lineRule="exact"/>
              <w:rPr>
                <w:lang w:bidi="ar-EG"/>
              </w:rPr>
            </w:pPr>
          </w:p>
        </w:tc>
        <w:tc>
          <w:tcPr>
            <w:tcW w:w="2972" w:type="dxa"/>
          </w:tcPr>
          <w:p w14:paraId="5C037EED" w14:textId="77777777" w:rsidR="007B0AA0" w:rsidRDefault="007B0AA0" w:rsidP="00F363FE">
            <w:pPr>
              <w:spacing w:before="60" w:after="60" w:line="260" w:lineRule="exact"/>
              <w:rPr>
                <w:rtl/>
              </w:rPr>
            </w:pPr>
          </w:p>
        </w:tc>
      </w:tr>
      <w:tr w:rsidR="007B0AA0" w14:paraId="33E1CCB9" w14:textId="77777777" w:rsidTr="000D654F">
        <w:tc>
          <w:tcPr>
            <w:tcW w:w="9071" w:type="dxa"/>
            <w:gridSpan w:val="2"/>
          </w:tcPr>
          <w:p w14:paraId="7F853226" w14:textId="31F6B57C" w:rsidR="007B0AA0" w:rsidRPr="000D654F" w:rsidRDefault="000D654F" w:rsidP="000D654F">
            <w:pPr>
              <w:pStyle w:val="Source"/>
            </w:pPr>
            <w:r w:rsidRPr="000D654F">
              <w:rPr>
                <w:rtl/>
              </w:rPr>
              <w:t>محضر موجز</w:t>
            </w:r>
            <w:r w:rsidR="00A73F7B">
              <w:rPr>
                <w:rFonts w:hint="cs"/>
                <w:rtl/>
              </w:rPr>
              <w:t xml:space="preserve"> </w:t>
            </w:r>
            <w:r w:rsidR="0085760D">
              <w:rPr>
                <w:rtl/>
              </w:rPr>
              <w:br/>
            </w:r>
            <w:r w:rsidRPr="000D654F">
              <w:rPr>
                <w:rtl/>
              </w:rPr>
              <w:t>للجلسة العامة</w:t>
            </w:r>
            <w:r>
              <w:rPr>
                <w:rtl/>
              </w:rPr>
              <w:t xml:space="preserve"> </w:t>
            </w:r>
            <w:r w:rsidR="00806C91">
              <w:rPr>
                <w:rFonts w:hint="cs"/>
                <w:rtl/>
              </w:rPr>
              <w:t>الأولى</w:t>
            </w:r>
          </w:p>
        </w:tc>
      </w:tr>
      <w:tr w:rsidR="007B0AA0" w14:paraId="20FC429F" w14:textId="77777777" w:rsidTr="000D654F">
        <w:tc>
          <w:tcPr>
            <w:tcW w:w="9071" w:type="dxa"/>
            <w:gridSpan w:val="2"/>
            <w:tcBorders>
              <w:bottom w:val="single" w:sz="4" w:space="0" w:color="auto"/>
            </w:tcBorders>
          </w:tcPr>
          <w:p w14:paraId="0CC0C849" w14:textId="58E11320" w:rsidR="000D654F" w:rsidRPr="000D654F" w:rsidRDefault="00806C91" w:rsidP="004F5B21">
            <w:pPr>
              <w:jc w:val="center"/>
            </w:pPr>
            <w:r w:rsidRPr="00806C91">
              <w:rPr>
                <w:rtl/>
              </w:rPr>
              <w:t>الثلاثاء</w:t>
            </w:r>
            <w:r w:rsidR="00343367">
              <w:rPr>
                <w:rFonts w:hint="cs"/>
                <w:rtl/>
                <w:lang w:bidi="ar-EG"/>
              </w:rPr>
              <w:t>،</w:t>
            </w:r>
            <w:r w:rsidRPr="00806C91">
              <w:rPr>
                <w:rtl/>
              </w:rPr>
              <w:t xml:space="preserve"> 17 يونيو 2025، من الساعة </w:t>
            </w:r>
            <w:r>
              <w:t>14:30</w:t>
            </w:r>
            <w:r w:rsidRPr="00806C91">
              <w:rPr>
                <w:rtl/>
              </w:rPr>
              <w:t xml:space="preserve"> إلى الساعة </w:t>
            </w:r>
            <w:r>
              <w:t>17:40</w:t>
            </w:r>
          </w:p>
          <w:p w14:paraId="7877A4DA" w14:textId="5AD05E6D" w:rsidR="007B0AA0" w:rsidRPr="005546CF" w:rsidRDefault="000D654F" w:rsidP="004F5B21">
            <w:pPr>
              <w:jc w:val="center"/>
            </w:pPr>
            <w:r w:rsidRPr="000D654F">
              <w:rPr>
                <w:b/>
                <w:bCs/>
                <w:rtl/>
              </w:rPr>
              <w:t>الرئيسة</w:t>
            </w:r>
            <w:r w:rsidRPr="000D654F">
              <w:rPr>
                <w:rtl/>
              </w:rPr>
              <w:t xml:space="preserve">: السيدة ك. </w:t>
            </w:r>
            <w:proofErr w:type="spellStart"/>
            <w:r w:rsidRPr="000D654F">
              <w:rPr>
                <w:rtl/>
              </w:rPr>
              <w:t>فلوتور</w:t>
            </w:r>
            <w:proofErr w:type="spellEnd"/>
            <w:r w:rsidRPr="000D654F">
              <w:rPr>
                <w:rtl/>
              </w:rPr>
              <w:t xml:space="preserve"> (رومانيا)</w:t>
            </w:r>
          </w:p>
        </w:tc>
      </w:tr>
    </w:tbl>
    <w:p w14:paraId="073A6BB6" w14:textId="77777777" w:rsidR="00E61BE8" w:rsidRDefault="00E61BE8" w:rsidP="00E61BE8"/>
    <w:tbl>
      <w:tblPr>
        <w:bidiVisual/>
        <w:tblW w:w="5000" w:type="pct"/>
        <w:jc w:val="center"/>
        <w:tblLayout w:type="fixed"/>
        <w:tblLook w:val="04A0" w:firstRow="1" w:lastRow="0" w:firstColumn="1" w:lastColumn="0" w:noHBand="0" w:noVBand="1"/>
      </w:tblPr>
      <w:tblGrid>
        <w:gridCol w:w="439"/>
        <w:gridCol w:w="6644"/>
        <w:gridCol w:w="1988"/>
      </w:tblGrid>
      <w:tr w:rsidR="000D654F" w:rsidRPr="00BC00CB" w14:paraId="531AC9A2" w14:textId="77777777" w:rsidTr="00375A19">
        <w:trPr>
          <w:jc w:val="center"/>
        </w:trPr>
        <w:tc>
          <w:tcPr>
            <w:tcW w:w="242" w:type="pct"/>
          </w:tcPr>
          <w:p w14:paraId="40323002" w14:textId="77777777" w:rsidR="000D654F" w:rsidRPr="00BC00CB" w:rsidRDefault="000D654F" w:rsidP="00343367">
            <w:pPr>
              <w:spacing w:before="80" w:after="80" w:line="280" w:lineRule="exact"/>
              <w:rPr>
                <w:position w:val="2"/>
              </w:rPr>
            </w:pPr>
            <w:bookmarkStart w:id="0" w:name="_Hlk141438382"/>
            <w:r w:rsidRPr="00BC00CB">
              <w:rPr>
                <w:position w:val="2"/>
                <w:rtl/>
              </w:rPr>
              <w:br w:type="page"/>
            </w:r>
            <w:r w:rsidRPr="00BC00CB">
              <w:rPr>
                <w:position w:val="2"/>
                <w:rtl/>
              </w:rPr>
              <w:br w:type="page"/>
            </w:r>
          </w:p>
        </w:tc>
        <w:tc>
          <w:tcPr>
            <w:tcW w:w="3662" w:type="pct"/>
            <w:hideMark/>
          </w:tcPr>
          <w:p w14:paraId="606884CE" w14:textId="778B2655" w:rsidR="000D654F" w:rsidRPr="00BC00CB" w:rsidRDefault="000D654F" w:rsidP="00343367">
            <w:pPr>
              <w:spacing w:before="80" w:after="80" w:line="280" w:lineRule="exact"/>
              <w:rPr>
                <w:b/>
                <w:bCs/>
                <w:position w:val="2"/>
              </w:rPr>
            </w:pPr>
            <w:r w:rsidRPr="00BC00CB">
              <w:rPr>
                <w:b/>
                <w:bCs/>
                <w:position w:val="2"/>
                <w:rtl/>
              </w:rPr>
              <w:t>المواضيع التي نوقشت</w:t>
            </w:r>
          </w:p>
        </w:tc>
        <w:tc>
          <w:tcPr>
            <w:tcW w:w="1096" w:type="pct"/>
            <w:hideMark/>
          </w:tcPr>
          <w:p w14:paraId="24BBC900" w14:textId="2C7AEC87" w:rsidR="000D654F" w:rsidRPr="00BC00CB" w:rsidRDefault="000D654F" w:rsidP="00343367">
            <w:pPr>
              <w:spacing w:before="80" w:after="80" w:line="280" w:lineRule="exact"/>
              <w:jc w:val="center"/>
              <w:rPr>
                <w:b/>
                <w:bCs/>
                <w:position w:val="2"/>
              </w:rPr>
            </w:pPr>
            <w:r w:rsidRPr="00BC00CB">
              <w:rPr>
                <w:b/>
                <w:bCs/>
                <w:position w:val="2"/>
                <w:rtl/>
              </w:rPr>
              <w:t>الوثائق</w:t>
            </w:r>
          </w:p>
        </w:tc>
      </w:tr>
      <w:tr w:rsidR="006B454C" w:rsidRPr="00BC00CB" w14:paraId="637EA7DF" w14:textId="77777777" w:rsidTr="00375A19">
        <w:trPr>
          <w:trHeight w:val="20"/>
          <w:jc w:val="center"/>
        </w:trPr>
        <w:tc>
          <w:tcPr>
            <w:tcW w:w="242" w:type="pct"/>
            <w:hideMark/>
          </w:tcPr>
          <w:p w14:paraId="45B63460" w14:textId="26EAE133" w:rsidR="006B454C" w:rsidRPr="00BC00CB" w:rsidRDefault="00D452B0" w:rsidP="00343367">
            <w:pPr>
              <w:spacing w:before="80" w:after="80" w:line="280" w:lineRule="exact"/>
              <w:rPr>
                <w:position w:val="2"/>
              </w:rPr>
            </w:pPr>
            <w:bookmarkStart w:id="1" w:name="_Hlk203750205"/>
            <w:r w:rsidRPr="00BC00CB">
              <w:rPr>
                <w:position w:val="2"/>
              </w:rPr>
              <w:t>1</w:t>
            </w:r>
          </w:p>
        </w:tc>
        <w:tc>
          <w:tcPr>
            <w:tcW w:w="3662" w:type="pct"/>
          </w:tcPr>
          <w:p w14:paraId="7A042F9F" w14:textId="1175F0D0" w:rsidR="006B454C" w:rsidRPr="00BC00CB" w:rsidRDefault="006B454C" w:rsidP="00343367">
            <w:pPr>
              <w:spacing w:before="80" w:after="80" w:line="280" w:lineRule="exact"/>
              <w:rPr>
                <w:position w:val="2"/>
                <w:lang w:eastAsia="en-GB"/>
              </w:rPr>
            </w:pPr>
            <w:r w:rsidRPr="00BC00CB">
              <w:rPr>
                <w:position w:val="2"/>
                <w:rtl/>
                <w:lang w:eastAsia="en-GB"/>
              </w:rPr>
              <w:t>التقرير السنوي عن تنفيذ الخطة الاستراتيجية للاتحاد وعن أنشطة الاتحاد،</w:t>
            </w:r>
            <w:r w:rsidRPr="00BC00CB">
              <w:rPr>
                <w:rFonts w:hint="cs"/>
                <w:position w:val="2"/>
                <w:rtl/>
                <w:lang w:eastAsia="en-GB"/>
              </w:rPr>
              <w:t xml:space="preserve"> </w:t>
            </w:r>
            <w:r w:rsidRPr="00BC00CB">
              <w:rPr>
                <w:position w:val="2"/>
                <w:rtl/>
                <w:lang w:eastAsia="en-GB"/>
              </w:rPr>
              <w:t>2024</w:t>
            </w:r>
          </w:p>
        </w:tc>
        <w:bookmarkStart w:id="2" w:name="_Hlk201062718"/>
        <w:tc>
          <w:tcPr>
            <w:tcW w:w="1096" w:type="pct"/>
          </w:tcPr>
          <w:p w14:paraId="0DA3E46B" w14:textId="69BA8A90" w:rsidR="006B454C" w:rsidRPr="00BC00CB" w:rsidRDefault="006B454C" w:rsidP="00343367">
            <w:pPr>
              <w:spacing w:before="80" w:after="80" w:line="280" w:lineRule="exact"/>
              <w:jc w:val="center"/>
              <w:rPr>
                <w:rStyle w:val="Hyperlink"/>
                <w:position w:val="2"/>
                <w:lang w:eastAsia="en-GB"/>
              </w:rPr>
            </w:pPr>
            <w:r w:rsidRPr="00BC00CB">
              <w:rPr>
                <w:position w:val="2"/>
                <w:szCs w:val="24"/>
              </w:rPr>
              <w:fldChar w:fldCharType="begin"/>
            </w:r>
            <w:r w:rsidRPr="00BC00CB">
              <w:rPr>
                <w:position w:val="2"/>
                <w:szCs w:val="24"/>
              </w:rPr>
              <w:instrText>HYPERLINK "https://www.itu.int/md/S25-CL-C-0035/en" \t "_blank"</w:instrText>
            </w:r>
            <w:r w:rsidRPr="00BC00CB">
              <w:rPr>
                <w:position w:val="2"/>
                <w:szCs w:val="24"/>
              </w:rPr>
            </w:r>
            <w:r w:rsidRPr="00BC00CB">
              <w:rPr>
                <w:position w:val="2"/>
                <w:szCs w:val="24"/>
              </w:rPr>
              <w:fldChar w:fldCharType="separate"/>
            </w:r>
            <w:r w:rsidRPr="00BC00CB">
              <w:rPr>
                <w:rStyle w:val="Hyperlink"/>
                <w:rFonts w:cs="Calibri"/>
                <w:position w:val="2"/>
                <w:szCs w:val="24"/>
                <w:lang w:eastAsia="en-GB"/>
              </w:rPr>
              <w:t>C25/35</w:t>
            </w:r>
            <w:r w:rsidRPr="00BC00CB">
              <w:rPr>
                <w:position w:val="2"/>
                <w:szCs w:val="24"/>
              </w:rPr>
              <w:fldChar w:fldCharType="end"/>
            </w:r>
            <w:bookmarkEnd w:id="2"/>
          </w:p>
        </w:tc>
      </w:tr>
      <w:tr w:rsidR="006B454C" w:rsidRPr="00BC00CB" w14:paraId="77A42038" w14:textId="77777777" w:rsidTr="00003404">
        <w:trPr>
          <w:trHeight w:val="20"/>
          <w:jc w:val="center"/>
        </w:trPr>
        <w:tc>
          <w:tcPr>
            <w:tcW w:w="242" w:type="pct"/>
          </w:tcPr>
          <w:p w14:paraId="0CFB0F66" w14:textId="51C29714" w:rsidR="006B454C" w:rsidRPr="00BC00CB" w:rsidRDefault="00D452B0" w:rsidP="00343367">
            <w:pPr>
              <w:spacing w:before="80" w:after="80" w:line="280" w:lineRule="exact"/>
              <w:rPr>
                <w:position w:val="2"/>
              </w:rPr>
            </w:pPr>
            <w:r w:rsidRPr="00BC00CB">
              <w:rPr>
                <w:position w:val="2"/>
              </w:rPr>
              <w:t>2</w:t>
            </w:r>
          </w:p>
        </w:tc>
        <w:tc>
          <w:tcPr>
            <w:tcW w:w="3662" w:type="pct"/>
          </w:tcPr>
          <w:p w14:paraId="168A796C" w14:textId="303DA0DC" w:rsidR="006B454C" w:rsidRPr="00BC00CB" w:rsidRDefault="00AE04E4" w:rsidP="00343367">
            <w:pPr>
              <w:spacing w:before="80" w:after="80" w:line="280" w:lineRule="exact"/>
              <w:rPr>
                <w:position w:val="2"/>
                <w:rtl/>
                <w:lang w:eastAsia="en-GB" w:bidi="ar-EG"/>
              </w:rPr>
            </w:pPr>
            <w:r w:rsidRPr="00BC00CB">
              <w:rPr>
                <w:position w:val="2"/>
                <w:rtl/>
                <w:lang w:eastAsia="en-GB"/>
              </w:rPr>
              <w:t>مشروع الخطة التشغيلية الرباعية المتجددة للاتحاد للفترة</w:t>
            </w:r>
            <w:r w:rsidRPr="00BC00CB">
              <w:rPr>
                <w:rFonts w:hint="cs"/>
                <w:position w:val="2"/>
                <w:rtl/>
                <w:lang w:eastAsia="en-GB"/>
              </w:rPr>
              <w:t xml:space="preserve"> </w:t>
            </w:r>
            <w:r w:rsidR="00C83C87">
              <w:rPr>
                <w:position w:val="2"/>
                <w:lang w:eastAsia="en-GB"/>
              </w:rPr>
              <w:t>2029-2026</w:t>
            </w:r>
          </w:p>
        </w:tc>
        <w:tc>
          <w:tcPr>
            <w:tcW w:w="1096" w:type="pct"/>
            <w:vAlign w:val="center"/>
          </w:tcPr>
          <w:p w14:paraId="5960F501" w14:textId="4976BDD5" w:rsidR="006B454C" w:rsidRPr="00BC00CB" w:rsidRDefault="006B454C" w:rsidP="00343367">
            <w:pPr>
              <w:spacing w:before="80" w:after="80" w:line="280" w:lineRule="exact"/>
              <w:jc w:val="center"/>
              <w:rPr>
                <w:rStyle w:val="Hyperlink"/>
                <w:position w:val="2"/>
                <w:lang w:eastAsia="en-GB"/>
              </w:rPr>
            </w:pPr>
            <w:hyperlink r:id="rId8" w:history="1">
              <w:r w:rsidRPr="00BC00CB">
                <w:rPr>
                  <w:rStyle w:val="Hyperlink"/>
                  <w:position w:val="2"/>
                  <w:szCs w:val="24"/>
                </w:rPr>
                <w:t>C25/28</w:t>
              </w:r>
            </w:hyperlink>
          </w:p>
        </w:tc>
      </w:tr>
      <w:tr w:rsidR="006B454C" w:rsidRPr="00BC00CB" w14:paraId="225460CA" w14:textId="77777777" w:rsidTr="00375A19">
        <w:trPr>
          <w:trHeight w:val="20"/>
          <w:jc w:val="center"/>
        </w:trPr>
        <w:tc>
          <w:tcPr>
            <w:tcW w:w="242" w:type="pct"/>
          </w:tcPr>
          <w:p w14:paraId="6E750405" w14:textId="4F773408" w:rsidR="006B454C" w:rsidRPr="00BC00CB" w:rsidRDefault="00D452B0" w:rsidP="00343367">
            <w:pPr>
              <w:spacing w:before="80" w:after="80" w:line="280" w:lineRule="exact"/>
              <w:rPr>
                <w:position w:val="2"/>
              </w:rPr>
            </w:pPr>
            <w:r w:rsidRPr="00BC00CB">
              <w:rPr>
                <w:position w:val="2"/>
              </w:rPr>
              <w:t>3</w:t>
            </w:r>
          </w:p>
        </w:tc>
        <w:tc>
          <w:tcPr>
            <w:tcW w:w="3662" w:type="pct"/>
          </w:tcPr>
          <w:p w14:paraId="1A282170" w14:textId="7385F160" w:rsidR="006B454C" w:rsidRPr="00BC00CB" w:rsidRDefault="00AE04E4" w:rsidP="00343367">
            <w:pPr>
              <w:spacing w:before="80" w:after="80" w:line="280" w:lineRule="exact"/>
              <w:rPr>
                <w:position w:val="2"/>
                <w:rtl/>
                <w:lang w:eastAsia="en-GB" w:bidi="ar-EG"/>
              </w:rPr>
            </w:pPr>
            <w:r w:rsidRPr="00BC00CB">
              <w:rPr>
                <w:position w:val="2"/>
                <w:rtl/>
                <w:lang w:eastAsia="en-GB"/>
              </w:rPr>
              <w:t>مشروع ميزانية الاتحاد لفترة السنتين</w:t>
            </w:r>
            <w:r w:rsidRPr="00BC00CB">
              <w:rPr>
                <w:rFonts w:hint="cs"/>
                <w:position w:val="2"/>
                <w:rtl/>
                <w:lang w:eastAsia="en-GB"/>
              </w:rPr>
              <w:t xml:space="preserve"> </w:t>
            </w:r>
            <w:r w:rsidR="00C83C87">
              <w:rPr>
                <w:position w:val="2"/>
                <w:lang w:eastAsia="en-GB"/>
              </w:rPr>
              <w:t>2027-2026</w:t>
            </w:r>
          </w:p>
        </w:tc>
        <w:tc>
          <w:tcPr>
            <w:tcW w:w="1096" w:type="pct"/>
          </w:tcPr>
          <w:p w14:paraId="109795A4" w14:textId="7B2EE271" w:rsidR="006B454C" w:rsidRPr="00BC00CB" w:rsidRDefault="006B454C" w:rsidP="00343367">
            <w:pPr>
              <w:spacing w:before="80" w:after="80" w:line="280" w:lineRule="exact"/>
              <w:jc w:val="center"/>
              <w:rPr>
                <w:rStyle w:val="Hyperlink"/>
                <w:position w:val="2"/>
                <w:lang w:eastAsia="en-GB"/>
              </w:rPr>
            </w:pPr>
            <w:hyperlink r:id="rId9" w:history="1">
              <w:r w:rsidRPr="00BC00CB">
                <w:rPr>
                  <w:rStyle w:val="Hyperlink"/>
                  <w:position w:val="2"/>
                  <w:szCs w:val="24"/>
                </w:rPr>
                <w:t>C25/47</w:t>
              </w:r>
            </w:hyperlink>
          </w:p>
        </w:tc>
      </w:tr>
      <w:tr w:rsidR="006B454C" w:rsidRPr="00BC00CB" w14:paraId="72E94955" w14:textId="77777777" w:rsidTr="00375A19">
        <w:trPr>
          <w:trHeight w:val="20"/>
          <w:jc w:val="center"/>
        </w:trPr>
        <w:tc>
          <w:tcPr>
            <w:tcW w:w="242" w:type="pct"/>
          </w:tcPr>
          <w:p w14:paraId="1A11DF4E" w14:textId="35F96D37" w:rsidR="006B454C" w:rsidRPr="00BC00CB" w:rsidRDefault="00D452B0" w:rsidP="00343367">
            <w:pPr>
              <w:spacing w:before="80" w:after="80" w:line="280" w:lineRule="exact"/>
              <w:rPr>
                <w:position w:val="2"/>
              </w:rPr>
            </w:pPr>
            <w:r w:rsidRPr="00BC00CB">
              <w:rPr>
                <w:position w:val="2"/>
              </w:rPr>
              <w:t>4</w:t>
            </w:r>
          </w:p>
        </w:tc>
        <w:tc>
          <w:tcPr>
            <w:tcW w:w="3662" w:type="pct"/>
          </w:tcPr>
          <w:p w14:paraId="3AB07679" w14:textId="59318402" w:rsidR="006B454C" w:rsidRPr="00BC00CB" w:rsidRDefault="00AE04E4" w:rsidP="00343367">
            <w:pPr>
              <w:spacing w:before="80" w:after="80" w:line="280" w:lineRule="exact"/>
              <w:rPr>
                <w:position w:val="2"/>
                <w:lang w:eastAsia="en-GB"/>
              </w:rPr>
            </w:pPr>
            <w:r w:rsidRPr="00BC00CB">
              <w:rPr>
                <w:position w:val="2"/>
                <w:rtl/>
                <w:lang w:eastAsia="en-GB"/>
              </w:rPr>
              <w:t>معلومات محدّثة بشأن عملية التحول وخارطة الطريق للاتحاد</w:t>
            </w:r>
          </w:p>
        </w:tc>
        <w:tc>
          <w:tcPr>
            <w:tcW w:w="1096" w:type="pct"/>
          </w:tcPr>
          <w:p w14:paraId="1EBDD035" w14:textId="595351C6" w:rsidR="006B454C" w:rsidRPr="00BC00CB" w:rsidRDefault="006B454C" w:rsidP="00343367">
            <w:pPr>
              <w:spacing w:before="80" w:after="80" w:line="280" w:lineRule="exact"/>
              <w:jc w:val="center"/>
              <w:rPr>
                <w:rStyle w:val="Hyperlink"/>
                <w:position w:val="2"/>
                <w:lang w:eastAsia="en-GB"/>
              </w:rPr>
            </w:pPr>
            <w:hyperlink r:id="rId10" w:history="1">
              <w:r w:rsidRPr="00BC00CB">
                <w:rPr>
                  <w:rStyle w:val="Hyperlink"/>
                  <w:position w:val="2"/>
                  <w:szCs w:val="24"/>
                </w:rPr>
                <w:t>C25/55</w:t>
              </w:r>
            </w:hyperlink>
          </w:p>
        </w:tc>
      </w:tr>
      <w:tr w:rsidR="006B454C" w:rsidRPr="00BC00CB" w14:paraId="4EE03C9A" w14:textId="77777777" w:rsidTr="00375A19">
        <w:trPr>
          <w:trHeight w:val="20"/>
          <w:jc w:val="center"/>
        </w:trPr>
        <w:tc>
          <w:tcPr>
            <w:tcW w:w="242" w:type="pct"/>
          </w:tcPr>
          <w:p w14:paraId="7AAF380A" w14:textId="6D0DB445" w:rsidR="006B454C" w:rsidRPr="00BC00CB" w:rsidRDefault="00D452B0" w:rsidP="00343367">
            <w:pPr>
              <w:spacing w:before="80" w:after="80" w:line="280" w:lineRule="exact"/>
              <w:rPr>
                <w:position w:val="2"/>
              </w:rPr>
            </w:pPr>
            <w:r w:rsidRPr="00BC00CB">
              <w:rPr>
                <w:position w:val="2"/>
              </w:rPr>
              <w:t>5</w:t>
            </w:r>
          </w:p>
        </w:tc>
        <w:tc>
          <w:tcPr>
            <w:tcW w:w="3662" w:type="pct"/>
          </w:tcPr>
          <w:p w14:paraId="2F05C2B5" w14:textId="68BE6564" w:rsidR="006B454C" w:rsidRPr="00BC00CB" w:rsidRDefault="00AE04E4" w:rsidP="00343367">
            <w:pPr>
              <w:spacing w:before="80" w:after="80" w:line="280" w:lineRule="exact"/>
              <w:rPr>
                <w:position w:val="2"/>
                <w:lang w:eastAsia="en-GB"/>
              </w:rPr>
            </w:pPr>
            <w:r w:rsidRPr="00BC00CB">
              <w:rPr>
                <w:position w:val="2"/>
                <w:rtl/>
                <w:lang w:eastAsia="en-GB"/>
              </w:rPr>
              <w:t>تدابير رفع الكفاءة التي نُفذت في الفترة</w:t>
            </w:r>
            <w:r w:rsidRPr="00BC00CB">
              <w:rPr>
                <w:rFonts w:hint="cs"/>
                <w:position w:val="2"/>
                <w:rtl/>
                <w:lang w:eastAsia="en-GB"/>
              </w:rPr>
              <w:t xml:space="preserve"> </w:t>
            </w:r>
            <w:r w:rsidRPr="00BC00CB">
              <w:rPr>
                <w:position w:val="2"/>
                <w:lang w:eastAsia="en-GB"/>
              </w:rPr>
              <w:t>2024-2023</w:t>
            </w:r>
            <w:r w:rsidRPr="00BC00CB">
              <w:rPr>
                <w:rFonts w:hint="cs"/>
                <w:position w:val="2"/>
                <w:rtl/>
                <w:lang w:eastAsia="en-GB"/>
              </w:rPr>
              <w:t xml:space="preserve"> </w:t>
            </w:r>
            <w:r w:rsidRPr="00BC00CB">
              <w:rPr>
                <w:position w:val="2"/>
                <w:rtl/>
                <w:lang w:eastAsia="en-GB"/>
              </w:rPr>
              <w:t>والخطط المستقبلية</w:t>
            </w:r>
          </w:p>
        </w:tc>
        <w:tc>
          <w:tcPr>
            <w:tcW w:w="1096" w:type="pct"/>
          </w:tcPr>
          <w:p w14:paraId="0B0B62F6" w14:textId="5DB1DFD0" w:rsidR="006B454C" w:rsidRPr="00BC00CB" w:rsidRDefault="006B454C" w:rsidP="00343367">
            <w:pPr>
              <w:spacing w:before="80" w:after="80" w:line="280" w:lineRule="exact"/>
              <w:jc w:val="center"/>
              <w:rPr>
                <w:rStyle w:val="Hyperlink"/>
                <w:position w:val="2"/>
                <w:lang w:eastAsia="en-GB"/>
              </w:rPr>
            </w:pPr>
            <w:hyperlink r:id="rId11" w:history="1">
              <w:r w:rsidRPr="00BC00CB">
                <w:rPr>
                  <w:rStyle w:val="Hyperlink"/>
                  <w:position w:val="2"/>
                  <w:szCs w:val="24"/>
                </w:rPr>
                <w:t>C25/62</w:t>
              </w:r>
            </w:hyperlink>
          </w:p>
        </w:tc>
      </w:tr>
      <w:tr w:rsidR="006B454C" w:rsidRPr="00BC00CB" w14:paraId="607B937E" w14:textId="77777777" w:rsidTr="00375A19">
        <w:trPr>
          <w:trHeight w:val="20"/>
          <w:jc w:val="center"/>
        </w:trPr>
        <w:tc>
          <w:tcPr>
            <w:tcW w:w="242" w:type="pct"/>
          </w:tcPr>
          <w:p w14:paraId="0B81B37E" w14:textId="6EE388B2" w:rsidR="006B454C" w:rsidRPr="00BC00CB" w:rsidRDefault="00D452B0" w:rsidP="00343367">
            <w:pPr>
              <w:spacing w:before="80" w:after="80" w:line="280" w:lineRule="exact"/>
              <w:rPr>
                <w:position w:val="2"/>
              </w:rPr>
            </w:pPr>
            <w:r w:rsidRPr="00BC00CB">
              <w:rPr>
                <w:position w:val="2"/>
              </w:rPr>
              <w:t>6</w:t>
            </w:r>
          </w:p>
        </w:tc>
        <w:tc>
          <w:tcPr>
            <w:tcW w:w="3662" w:type="pct"/>
          </w:tcPr>
          <w:p w14:paraId="09CFB08F" w14:textId="4D83B64B" w:rsidR="006B454C" w:rsidRPr="00BC00CB" w:rsidRDefault="00AE04E4" w:rsidP="00343367">
            <w:pPr>
              <w:spacing w:before="80" w:after="80" w:line="280" w:lineRule="exact"/>
              <w:rPr>
                <w:position w:val="2"/>
                <w:lang w:eastAsia="en-GB"/>
              </w:rPr>
            </w:pPr>
            <w:r w:rsidRPr="00BC00CB">
              <w:rPr>
                <w:position w:val="2"/>
                <w:rtl/>
                <w:lang w:eastAsia="en-GB"/>
              </w:rPr>
              <w:t xml:space="preserve">بيانات </w:t>
            </w:r>
            <w:r w:rsidR="00C83C87">
              <w:rPr>
                <w:rFonts w:hint="cs"/>
                <w:position w:val="2"/>
                <w:rtl/>
                <w:lang w:eastAsia="en-GB"/>
              </w:rPr>
              <w:t xml:space="preserve">أدلى بها </w:t>
            </w:r>
            <w:r w:rsidRPr="00BC00CB">
              <w:rPr>
                <w:position w:val="2"/>
                <w:rtl/>
                <w:lang w:eastAsia="en-GB"/>
              </w:rPr>
              <w:t>أعضاء المجلس</w:t>
            </w:r>
          </w:p>
        </w:tc>
        <w:tc>
          <w:tcPr>
            <w:tcW w:w="1096" w:type="pct"/>
          </w:tcPr>
          <w:p w14:paraId="7FB511DF" w14:textId="4AC9338C" w:rsidR="006B454C" w:rsidRPr="00BC00CB" w:rsidRDefault="006B454C" w:rsidP="00343367">
            <w:pPr>
              <w:spacing w:before="80" w:after="80" w:line="280" w:lineRule="exact"/>
              <w:jc w:val="center"/>
              <w:rPr>
                <w:position w:val="2"/>
              </w:rPr>
            </w:pPr>
            <w:r w:rsidRPr="00BC00CB">
              <w:rPr>
                <w:position w:val="2"/>
              </w:rPr>
              <w:t>-</w:t>
            </w:r>
          </w:p>
        </w:tc>
      </w:tr>
      <w:bookmarkEnd w:id="0"/>
      <w:bookmarkEnd w:id="1"/>
    </w:tbl>
    <w:p w14:paraId="6742E6D4" w14:textId="77777777" w:rsidR="00F50E3F" w:rsidRDefault="00F50E3F" w:rsidP="0043260A">
      <w:pPr>
        <w:rPr>
          <w:rtl/>
          <w:lang w:bidi="ar-EG"/>
        </w:rPr>
      </w:pPr>
      <w:r>
        <w:rPr>
          <w:rtl/>
          <w:lang w:bidi="ar-EG"/>
        </w:rPr>
        <w:br w:type="page"/>
      </w:r>
    </w:p>
    <w:p w14:paraId="7B31EC93" w14:textId="17B2E939" w:rsidR="00AE04E4" w:rsidRPr="007F0A56" w:rsidRDefault="00AE04E4" w:rsidP="00AE04E4">
      <w:pPr>
        <w:pStyle w:val="Heading1"/>
        <w:rPr>
          <w:rtl/>
        </w:rPr>
      </w:pPr>
      <w:r w:rsidRPr="007F0A56">
        <w:rPr>
          <w:rtl/>
        </w:rPr>
        <w:lastRenderedPageBreak/>
        <w:t>1</w:t>
      </w:r>
      <w:r w:rsidRPr="007F0A56">
        <w:rPr>
          <w:rtl/>
        </w:rPr>
        <w:tab/>
      </w:r>
      <w:r w:rsidR="007F0A56" w:rsidRPr="007F0A56">
        <w:rPr>
          <w:rtl/>
        </w:rPr>
        <w:t xml:space="preserve">التقرير السنوي عن تنفيذ الخطة الاستراتيجية للاتحاد وعن أنشطة الاتحاد، 2024 </w:t>
      </w:r>
      <w:r w:rsidRPr="007F0A56">
        <w:rPr>
          <w:rtl/>
        </w:rPr>
        <w:t>(الوثيقة</w:t>
      </w:r>
      <w:r w:rsidR="007F0A56">
        <w:rPr>
          <w:rFonts w:hint="eastAsia"/>
          <w:rtl/>
        </w:rPr>
        <w:t> </w:t>
      </w:r>
      <w:hyperlink r:id="rId12" w:history="1">
        <w:r w:rsidRPr="007F0A56">
          <w:rPr>
            <w:rStyle w:val="Hyperlink"/>
            <w:noProof w:val="0"/>
            <w:lang w:val="en-US" w:eastAsia="zh-CN"/>
          </w:rPr>
          <w:t>C25/35</w:t>
        </w:r>
      </w:hyperlink>
      <w:r w:rsidRPr="007F0A56">
        <w:rPr>
          <w:rtl/>
        </w:rPr>
        <w:t>)</w:t>
      </w:r>
    </w:p>
    <w:p w14:paraId="495109E9" w14:textId="6511F300" w:rsidR="00D452B0" w:rsidRDefault="00AE04E4" w:rsidP="00AE04E4">
      <w:pPr>
        <w:rPr>
          <w:rtl/>
        </w:rPr>
      </w:pPr>
      <w:r>
        <w:t>1.1</w:t>
      </w:r>
      <w:r w:rsidRPr="00AE04E4">
        <w:rPr>
          <w:rtl/>
        </w:rPr>
        <w:tab/>
        <w:t xml:space="preserve">قدم نائب الأمينة العامة الوثيقة </w:t>
      </w:r>
      <w:r w:rsidRPr="00AE04E4">
        <w:t>C25/35</w:t>
      </w:r>
      <w:r w:rsidRPr="00AE04E4">
        <w:rPr>
          <w:rtl/>
        </w:rPr>
        <w:t xml:space="preserve"> التي تتضمن التقرير السنوي عن تنفيذ الخطة الاستراتيجية للفترة</w:t>
      </w:r>
      <w:r w:rsidR="001442FF">
        <w:t> </w:t>
      </w:r>
      <w:r w:rsidRPr="00AE04E4">
        <w:rPr>
          <w:rtl/>
        </w:rPr>
        <w:t>2024-2027 وأنشطة الاتحاد. ولأول مرة، اتسقت فترة التقرير مع السنة التقويمية، بما يطابق الدورة المالية ويدعم الإدارة القائمة على النتائج. وعلى الرغم من التقدم المحرز، ظلت الفجوات الرقمية قائمة، واستمرت إشكالات القدرة على تحمل التكاليف والتأثير</w:t>
      </w:r>
      <w:r w:rsidR="00D452B0">
        <w:rPr>
          <w:rFonts w:hint="cs"/>
          <w:rtl/>
        </w:rPr>
        <w:t xml:space="preserve"> </w:t>
      </w:r>
      <w:r w:rsidRPr="00AE04E4">
        <w:rPr>
          <w:rtl/>
        </w:rPr>
        <w:t>البيئي. وانطوت الأنشطة المتعلقة بالتكنولوجيات الناشئة، مثل الذكاء الاصطناعي</w:t>
      </w:r>
      <w:r w:rsidR="002D691C">
        <w:rPr>
          <w:rFonts w:hint="cs"/>
          <w:rtl/>
        </w:rPr>
        <w:t> </w:t>
      </w:r>
      <w:r w:rsidRPr="00AE04E4">
        <w:rPr>
          <w:rtl/>
        </w:rPr>
        <w:t>(</w:t>
      </w:r>
      <w:r w:rsidRPr="00AE04E4">
        <w:t>AI</w:t>
      </w:r>
      <w:r w:rsidRPr="00AE04E4">
        <w:rPr>
          <w:rtl/>
        </w:rPr>
        <w:t xml:space="preserve">) والتكنولوجيا الكمومية </w:t>
      </w:r>
      <w:proofErr w:type="spellStart"/>
      <w:r w:rsidRPr="00AE04E4">
        <w:rPr>
          <w:rtl/>
        </w:rPr>
        <w:t>والميتافيرس</w:t>
      </w:r>
      <w:proofErr w:type="spellEnd"/>
      <w:r w:rsidRPr="00AE04E4">
        <w:rPr>
          <w:rtl/>
        </w:rPr>
        <w:t>، على التعاون عبر منظومة الأمم المتحدة. وكان لأنشطة تنمية القدرات والمساعدة التقنية تأثير مباشر على البلدان، في حين مكنت منصات، مثل الذكاء الاصطناعي من أجل تحقيق المصلحة العامة، المشاركة متعددة الأطراف. وظل تنفيذ لوائح الراديو ومعالجة بطاقات التبليغ من الأنشطة الأساسية ودعم استرداد التكاليف. وكانت</w:t>
      </w:r>
      <w:r w:rsidR="0065555E">
        <w:rPr>
          <w:rtl/>
        </w:rPr>
        <w:t xml:space="preserve"> </w:t>
      </w:r>
      <w:r w:rsidRPr="00AE04E4">
        <w:rPr>
          <w:rtl/>
        </w:rPr>
        <w:t>أداة الملاحة الراديوية الجديدة ودليل الملاحة البحرية من الوسائل المساعدة للالتزام. ورحّب بانضمام بالاو إلى الاتحاد كالدولة العضو رقم 194، وأعرب عن ارتياحه لزيادة عضوية القطاعات.</w:t>
      </w:r>
    </w:p>
    <w:p w14:paraId="22A5E096" w14:textId="66C0FEE0" w:rsidR="00D452B0" w:rsidRDefault="00AE04E4" w:rsidP="00AE04E4">
      <w:pPr>
        <w:rPr>
          <w:rtl/>
        </w:rPr>
      </w:pPr>
      <w:r>
        <w:t>2.1</w:t>
      </w:r>
      <w:r w:rsidRPr="00AE04E4">
        <w:rPr>
          <w:rtl/>
        </w:rPr>
        <w:tab/>
        <w:t>واسترشادا</w:t>
      </w:r>
      <w:r w:rsidR="008D28BB">
        <w:rPr>
          <w:rFonts w:hint="cs"/>
          <w:rtl/>
        </w:rPr>
        <w:t>ً</w:t>
      </w:r>
      <w:r w:rsidRPr="00AE04E4">
        <w:rPr>
          <w:rtl/>
        </w:rPr>
        <w:t xml:space="preserve"> بمقررات المجلس، </w:t>
      </w:r>
      <w:r w:rsidR="008D28BB">
        <w:rPr>
          <w:rFonts w:hint="cs"/>
          <w:rtl/>
        </w:rPr>
        <w:t>عُ</w:t>
      </w:r>
      <w:r w:rsidRPr="00AE04E4">
        <w:rPr>
          <w:rtl/>
        </w:rPr>
        <w:t>قدت مائدة مستديرة رفيعة المستوى بشأن دور التكنولوجيات الرقمية في</w:t>
      </w:r>
      <w:r w:rsidR="008D28BB">
        <w:rPr>
          <w:rFonts w:hint="cs"/>
          <w:rtl/>
        </w:rPr>
        <w:t> </w:t>
      </w:r>
      <w:r w:rsidRPr="00AE04E4">
        <w:rPr>
          <w:rtl/>
        </w:rPr>
        <w:t>العمل المناخي في مؤتمر الأمم المتحدة التاسع والعشرين بشأن تغير المناخ (</w:t>
      </w:r>
      <w:r w:rsidRPr="00AE04E4">
        <w:t>COP 29</w:t>
      </w:r>
      <w:r w:rsidRPr="00AE04E4">
        <w:rPr>
          <w:rtl/>
        </w:rPr>
        <w:t xml:space="preserve">)، ويشمل العمل المتعلق بالاستدامة البيئية الآن مبادرة الإنذار المبكر للجميع. وشمل عمل الشراكة في عام 2024 أول منتدى لاستدامة الفضاء وإطلاق مبادرة الاستثمار في البنية التحتية الرقمية والهيئة الاستشارية الدولية المعنية بصمود </w:t>
      </w:r>
      <w:proofErr w:type="spellStart"/>
      <w:r w:rsidRPr="00AE04E4">
        <w:rPr>
          <w:rtl/>
        </w:rPr>
        <w:t>الكبلات</w:t>
      </w:r>
      <w:proofErr w:type="spellEnd"/>
      <w:r w:rsidRPr="00AE04E4">
        <w:rPr>
          <w:rtl/>
        </w:rPr>
        <w:t xml:space="preserve"> البحرية. وواصل الائتلاف الرقمي للشراكة من أجل التوصيل نموه، بهدف جمع 100 مليار دولار أمريكي من الالتزامات في متناول اليد. وأكد مجددا</w:t>
      </w:r>
      <w:r w:rsidR="008D28BB">
        <w:rPr>
          <w:rFonts w:hint="cs"/>
          <w:rtl/>
        </w:rPr>
        <w:t>ً</w:t>
      </w:r>
      <w:r w:rsidRPr="00AE04E4">
        <w:rPr>
          <w:rtl/>
        </w:rPr>
        <w:t xml:space="preserve"> الالتزام المستمر بالاستفادة المثلى من الموارد، وأشار إلى أن الموارد البشرية والإصلاحات المؤسسية قد عززت المنظمة ودعمت تجديد المواهب. واختتم حديثه بالإشارة إلى أن هناك خطة مُحكمة لتحديث الموقع الإلكتروني.</w:t>
      </w:r>
    </w:p>
    <w:p w14:paraId="7F297C60" w14:textId="14FEBE68" w:rsidR="00D452B0" w:rsidRDefault="00AE04E4" w:rsidP="00AE04E4">
      <w:pPr>
        <w:rPr>
          <w:rtl/>
        </w:rPr>
      </w:pPr>
      <w:r>
        <w:t>3.1</w:t>
      </w:r>
      <w:r w:rsidRPr="00AE04E4">
        <w:rPr>
          <w:rtl/>
        </w:rPr>
        <w:tab/>
        <w:t>ورحب أعضاء المجلس بالتقرير الشامل ومواءمته مع الأولويات الاستراتيجية والنهج القائم على النتائج، فضلا</w:t>
      </w:r>
      <w:r w:rsidR="008D28BB">
        <w:rPr>
          <w:rFonts w:hint="cs"/>
          <w:rtl/>
        </w:rPr>
        <w:t>ً</w:t>
      </w:r>
      <w:r w:rsidRPr="00AE04E4">
        <w:rPr>
          <w:rtl/>
        </w:rPr>
        <w:t xml:space="preserve"> عن التقدم المحرز في تنفيذ الخطة الاستراتيجية. واقترح أحد أعضاء المجلس إدراج إحالات إلى تقارير الأفرقة الاستشارية توخياً لمزيد من التفاصيل. وطلب عضو ثان معلومات عن تحديات التنفيذ لتوجيه الخطة الاستراتيجية المقبلة. واقترح عضو ثالث توسيع الأولوية المحورية بشأن موارد الترقيم الدولية في الخطة الاستراتيجية المقبلة لتشمل إعداد المعايير الدولية على نطاق أوسع.</w:t>
      </w:r>
    </w:p>
    <w:p w14:paraId="4DEDA63A" w14:textId="36842E8B" w:rsidR="00AE04E4" w:rsidRPr="00AE04E4" w:rsidRDefault="00AE04E4" w:rsidP="00AE04E4">
      <w:pPr>
        <w:rPr>
          <w:rtl/>
        </w:rPr>
      </w:pPr>
      <w:r>
        <w:t>4.1</w:t>
      </w:r>
      <w:r w:rsidRPr="00AE04E4">
        <w:rPr>
          <w:rtl/>
        </w:rPr>
        <w:tab/>
        <w:t>وأكد عضوان في المجلس على الدور المحوري للاتحاد في مجال تكنولوجيا المعلومات والاتصالات (</w:t>
      </w:r>
      <w:r w:rsidRPr="00AE04E4">
        <w:t>ICT</w:t>
      </w:r>
      <w:r w:rsidRPr="00AE04E4">
        <w:rPr>
          <w:rtl/>
        </w:rPr>
        <w:t>) والاتصالات ضمن النظام الإيكولوجي متعدد الأطراف. وأيد أعضاء المجلس مبادرات الذكاء الاصطناعي للاتحاد، بما في</w:t>
      </w:r>
      <w:r w:rsidR="008D28BB">
        <w:rPr>
          <w:rFonts w:hint="cs"/>
          <w:rtl/>
        </w:rPr>
        <w:t> </w:t>
      </w:r>
      <w:r w:rsidRPr="00AE04E4">
        <w:rPr>
          <w:rtl/>
        </w:rPr>
        <w:t>ذلك الذكاء الاصطناعي من أجل المصلحة العامة، معترفين بالدور الرئيسي الذي يؤديه الذكاء الاصطناعي في مواجهة تحديات التنمية العالمية. وأعرب أحد أعضاء المجلس عن دعمه لمشروع التكنولوجيا الكمومية من أجل المصلحة العامة، مشيرا</w:t>
      </w:r>
      <w:r w:rsidR="008D28BB">
        <w:rPr>
          <w:rFonts w:hint="cs"/>
          <w:rtl/>
        </w:rPr>
        <w:t>ً</w:t>
      </w:r>
      <w:r w:rsidRPr="00AE04E4">
        <w:rPr>
          <w:rtl/>
        </w:rPr>
        <w:t xml:space="preserve"> إلى التحديات والفرص المرتبطة بالتكنولوجيات الكمومية. ورحب عدد من أعضاء المجلس بعملية التحول وتعزيز الشراكات. وسلط أعضاء المجلس الضوء على الإشكال المستمر المتعلق بالقدرة على تحمل التكاليف وفجوة المهارات الرقمية، لا سيما في أقل البلدان نموا</w:t>
      </w:r>
      <w:r w:rsidR="008D28BB">
        <w:rPr>
          <w:rFonts w:hint="cs"/>
          <w:rtl/>
        </w:rPr>
        <w:t>ً</w:t>
      </w:r>
      <w:r w:rsidRPr="00AE04E4">
        <w:rPr>
          <w:rtl/>
        </w:rPr>
        <w:t>، ورحب أحدهم بالمبادرة الإقليمية المقترحة للأمريكتين لدعم التقييم الوطني للمهارات الرقمية، وأشاد عضو آخر بالتركيز على المساواة بين الجنسين وإشراك الشباب وإمكانية النفاذ.</w:t>
      </w:r>
    </w:p>
    <w:p w14:paraId="310EE6C6" w14:textId="2C8621CD" w:rsidR="00AE04E4" w:rsidRPr="00AE04E4" w:rsidRDefault="00AE04E4" w:rsidP="00AE04E4">
      <w:pPr>
        <w:rPr>
          <w:rtl/>
        </w:rPr>
      </w:pPr>
      <w:r>
        <w:t>5.1</w:t>
      </w:r>
      <w:r w:rsidRPr="00AE04E4">
        <w:rPr>
          <w:rtl/>
        </w:rPr>
        <w:tab/>
        <w:t>وسلط عدد من أعضاء المجلس الضوء على الدور الحاسم للاتحاد في وضع المعايير الدولية وتحقيق التوازن بين المخاوف الأمنية والإدارية وبين الابتكار. ورُحب بالتزام قطاع تنمية الاتصالات بإمكانية النفاذ الشاملة والهادفة وميسورة التكلفة؛ ولكن شدد أحد أعضاء المجلس على الحاجة إلى تعبئة الموارد وبناء القدرات المصممة خصيصا</w:t>
      </w:r>
      <w:r w:rsidR="008D28BB">
        <w:rPr>
          <w:rFonts w:hint="cs"/>
          <w:rtl/>
        </w:rPr>
        <w:t>ً</w:t>
      </w:r>
      <w:r w:rsidRPr="00AE04E4">
        <w:rPr>
          <w:rtl/>
        </w:rPr>
        <w:t xml:space="preserve"> للاقتصادات الصغيرة، بما في ذلك حلول قابلة للمقايسة وقابلة للاعتماد ومنسقة إقليميا</w:t>
      </w:r>
      <w:r w:rsidR="008D28BB">
        <w:rPr>
          <w:rFonts w:hint="cs"/>
          <w:rtl/>
        </w:rPr>
        <w:t>ً</w:t>
      </w:r>
      <w:r w:rsidRPr="00AE04E4">
        <w:rPr>
          <w:rtl/>
        </w:rPr>
        <w:t>.</w:t>
      </w:r>
    </w:p>
    <w:p w14:paraId="23B7FC65" w14:textId="0EAF6B95" w:rsidR="00AE04E4" w:rsidRPr="00AE04E4" w:rsidRDefault="00AE04E4" w:rsidP="00AE04E4">
      <w:pPr>
        <w:rPr>
          <w:rtl/>
        </w:rPr>
      </w:pPr>
      <w:r>
        <w:t>6.1</w:t>
      </w:r>
      <w:r w:rsidRPr="00AE04E4">
        <w:rPr>
          <w:rtl/>
        </w:rPr>
        <w:tab/>
        <w:t>وشدد أحد المراقبين على أن الاتحاد ينبغي ألا ينمي الأمانة العامة على حساب قطاعاته التقنية أو أن يسعى إلى عقد ندوات دولية على حساب العمل التقني الأساسي. وأن الدول الأعضاء تعتمد على الاتحاد في وضع توصيات ومعايير تقنية بتوافق الآراء بشأن قضايا تقنية محددة. والافتقار إلى آلية قانونية دولية متفق عليها في الاتحاد بشأن تنظيم التكنولوجيات الناشئة بسرعة يعني أن تضع البلدان شروطاً لاستخدامها على المستوى الوطني بدون توصيات أو معايير دولية متفق عليها. ودعا إلى إنشاء فريق خبراء مستقل رفيع المستوى لوضع مقترحات لتحقيق فعالية عمليات الاتحاد وكفاءتها بالشكل الأمثل.</w:t>
      </w:r>
    </w:p>
    <w:p w14:paraId="645A6696" w14:textId="54EF2ECD" w:rsidR="00AE04E4" w:rsidRPr="00AE04E4" w:rsidRDefault="00AE04E4" w:rsidP="00AE04E4">
      <w:pPr>
        <w:rPr>
          <w:rtl/>
        </w:rPr>
      </w:pPr>
      <w:r>
        <w:t>7.1</w:t>
      </w:r>
      <w:r w:rsidRPr="00AE04E4">
        <w:rPr>
          <w:rtl/>
        </w:rPr>
        <w:tab/>
        <w:t xml:space="preserve">وأخذ المراقب عن جمهورية إيران الإسلامية الكلمة لإدانة أعمال عدوان دولة على البنية التحتية الحيوية للاتصالات فيها، والتي تعطل الخدمات المدنية وتعرض صحة المدنيين وسلامتهم للخطر. وقال المراقب عن فلسطين </w:t>
      </w:r>
      <w:r w:rsidRPr="00AE04E4">
        <w:rPr>
          <w:rtl/>
        </w:rPr>
        <w:lastRenderedPageBreak/>
        <w:t>إن الحاجة تدعو إلى إعادة نظر عاجلة في وضع التوصيل لضمان عدم تخلف أحد عن الركب في أوقات النزاع أو السلم. وحذر المراقب عن إسرائيل من تسييس الاتحاد، باعتباره مؤسسة تقنية.</w:t>
      </w:r>
    </w:p>
    <w:p w14:paraId="7B1E75A9" w14:textId="69EDDCEF" w:rsidR="00AE04E4" w:rsidRPr="00AE04E4" w:rsidRDefault="00AE04E4" w:rsidP="00AE04E4">
      <w:pPr>
        <w:rPr>
          <w:rtl/>
        </w:rPr>
      </w:pPr>
      <w:r>
        <w:t>8.1</w:t>
      </w:r>
      <w:r w:rsidRPr="00AE04E4">
        <w:rPr>
          <w:rtl/>
        </w:rPr>
        <w:tab/>
        <w:t>وأكد نائب الأمينة العامة أن التقدم المبلغ عنه قد تحقق بالتنسيق مع الدول الأعضاء. وأخذ علماً بطلبات تحسين إعداد التقارير وإدراج بيانات القطاعات ورحب بالدعوات إلى تحديد تحديات التنفيذ كي يسترشد بها التخطيط في</w:t>
      </w:r>
      <w:r w:rsidR="004D1485">
        <w:rPr>
          <w:rFonts w:hint="cs"/>
          <w:rtl/>
        </w:rPr>
        <w:t> </w:t>
      </w:r>
      <w:r w:rsidRPr="00AE04E4">
        <w:rPr>
          <w:rtl/>
        </w:rPr>
        <w:t>المستقبل؛ وسيتناول فريق العمل التابع للمجلس والمعني بالتخطيط الاستراتيجي والمالي هذا الأمر. وأقر بوجود أولويات متنافسة في البلدان التي تواجه أوضاع اقتصادية صعبة، وقال إن التقدم المستدام في التنمية الرقمية الشاملة يتطلب أن يكون الاتحاد وولايته الفريدة في الطليعة، نظرا</w:t>
      </w:r>
      <w:r w:rsidR="004D1485">
        <w:rPr>
          <w:rFonts w:hint="cs"/>
          <w:rtl/>
        </w:rPr>
        <w:t>ً</w:t>
      </w:r>
      <w:r w:rsidRPr="00AE04E4">
        <w:rPr>
          <w:rtl/>
        </w:rPr>
        <w:t xml:space="preserve"> لأن منظمات متعددة تعنى بالقضايا الرقمية. وتسعى الأمانة إلى اتخاذ تدابير الكفاءة الداخلية والتحول، على النحو المفصل في الوثيقتين </w:t>
      </w:r>
      <w:hyperlink r:id="rId13" w:history="1">
        <w:r w:rsidRPr="004D1485">
          <w:rPr>
            <w:rStyle w:val="Hyperlink"/>
            <w:noProof w:val="0"/>
            <w:lang w:val="en-US" w:eastAsia="zh-CN"/>
          </w:rPr>
          <w:t>C25/62</w:t>
        </w:r>
      </w:hyperlink>
      <w:r w:rsidRPr="00AE04E4">
        <w:rPr>
          <w:rtl/>
        </w:rPr>
        <w:t xml:space="preserve"> و</w:t>
      </w:r>
      <w:hyperlink r:id="rId14" w:history="1">
        <w:r w:rsidRPr="004D1485">
          <w:rPr>
            <w:rStyle w:val="Hyperlink"/>
            <w:noProof w:val="0"/>
            <w:lang w:val="en-US" w:eastAsia="zh-CN"/>
          </w:rPr>
          <w:t>C25/55</w:t>
        </w:r>
      </w:hyperlink>
      <w:r w:rsidRPr="00AE04E4">
        <w:rPr>
          <w:rtl/>
        </w:rPr>
        <w:t>، وهي تشارك في الجهود التعاونية عبر منظومة الأمم المتحدة.</w:t>
      </w:r>
    </w:p>
    <w:p w14:paraId="5A94C72F" w14:textId="0887CE8D" w:rsidR="00AE04E4" w:rsidRPr="00AE04E4" w:rsidRDefault="00AE04E4" w:rsidP="00AE04E4">
      <w:pPr>
        <w:rPr>
          <w:rtl/>
        </w:rPr>
      </w:pPr>
      <w:r>
        <w:t>9.1</w:t>
      </w:r>
      <w:r w:rsidRPr="00AE04E4">
        <w:rPr>
          <w:rtl/>
        </w:rPr>
        <w:tab/>
        <w:t>وقال مدير مكتب تنمية الاتصالات، ردا</w:t>
      </w:r>
      <w:r w:rsidR="004D1485">
        <w:rPr>
          <w:rFonts w:hint="cs"/>
          <w:rtl/>
        </w:rPr>
        <w:t>ً</w:t>
      </w:r>
      <w:r w:rsidRPr="00AE04E4">
        <w:rPr>
          <w:rtl/>
        </w:rPr>
        <w:t xml:space="preserve"> على أسئلة عن الخطوات المتخذة لمعالجة فجوات البيانات، ولا سيما فيما يتعلق بالغايتين </w:t>
      </w:r>
      <w:r w:rsidR="004D1485">
        <w:t>3.2</w:t>
      </w:r>
      <w:r w:rsidRPr="00AE04E4">
        <w:rPr>
          <w:rtl/>
        </w:rPr>
        <w:t xml:space="preserve"> و</w:t>
      </w:r>
      <w:r w:rsidR="004D1485">
        <w:t>4.2</w:t>
      </w:r>
      <w:r w:rsidRPr="00AE04E4">
        <w:rPr>
          <w:rtl/>
        </w:rPr>
        <w:t xml:space="preserve"> من برنامج التوصيل عام 2030 لدى الاتحاد، إن الأمانة تعمل مع أصحاب المصلحة لمعالجة هذه الفجوات. وأشار إلى التعاون مع كيانات الأمم المتحدة الأخرى من خلال شراكة تشترك في رئاستها إدارة الأمم المتحدة للشؤون الاقتصادية والاجتماعية وهي تركز على قياس تطور تكنولوجيا المعلومات والاتصالات. ومن شأن مشروع عالمي للتوصيلية، تشترك المفوضية الأوروبية في تمويله، أن يقدم رؤى بشأن كيفية استخدام التوصيلية. وتقوم اللجنة الإحصائية للأمم المتحدة، التي تنتمي إليها جميع منظمات المنظومة، بإدارة معايير ومنهجيات جمع البيانات. وتنفذ الأمانة بنشاط القرار 8 (المراج</w:t>
      </w:r>
      <w:r w:rsidR="00D11A80">
        <w:rPr>
          <w:rFonts w:hint="cs"/>
          <w:rtl/>
        </w:rPr>
        <w:t>َ</w:t>
      </w:r>
      <w:r w:rsidRPr="00AE04E4">
        <w:rPr>
          <w:rtl/>
        </w:rPr>
        <w:t>ع في كيغالي، 2022) للمؤتمر العالمي لتنمية الاتصالات والقرار 131 (المراج</w:t>
      </w:r>
      <w:r w:rsidR="00D11A80">
        <w:rPr>
          <w:rFonts w:hint="cs"/>
          <w:rtl/>
        </w:rPr>
        <w:t>َ</w:t>
      </w:r>
      <w:r w:rsidRPr="00AE04E4">
        <w:rPr>
          <w:rtl/>
        </w:rPr>
        <w:t>ع في</w:t>
      </w:r>
      <w:r w:rsidR="00D11A80">
        <w:rPr>
          <w:rFonts w:hint="cs"/>
          <w:rtl/>
        </w:rPr>
        <w:t> </w:t>
      </w:r>
      <w:r w:rsidRPr="00AE04E4">
        <w:rPr>
          <w:rtl/>
        </w:rPr>
        <w:t>بوخارست، 2022) لمؤتمر المندوبين المفوضين وتشجع الدول الأعضاء على تمكين مشاركة الخبراء في لجان الدراسات لدعم جمع بيانات ذات مصداقية.</w:t>
      </w:r>
    </w:p>
    <w:p w14:paraId="18AA3A68" w14:textId="6A3C2C11" w:rsidR="00AE04E4" w:rsidRPr="00AE04E4" w:rsidRDefault="00AE04E4" w:rsidP="00AE04E4">
      <w:pPr>
        <w:rPr>
          <w:rtl/>
        </w:rPr>
      </w:pPr>
      <w:r>
        <w:t>10.1</w:t>
      </w:r>
      <w:r w:rsidRPr="00AE04E4">
        <w:rPr>
          <w:rtl/>
        </w:rPr>
        <w:tab/>
      </w:r>
      <w:r w:rsidR="00BC00CB" w:rsidRPr="00BC00CB">
        <w:rPr>
          <w:b/>
          <w:bCs/>
          <w:rtl/>
        </w:rPr>
        <w:t>وأحاط</w:t>
      </w:r>
      <w:r w:rsidR="00BC00CB" w:rsidRPr="00BC00CB">
        <w:rPr>
          <w:rtl/>
        </w:rPr>
        <w:t xml:space="preserve"> </w:t>
      </w:r>
      <w:r w:rsidRPr="00AE04E4">
        <w:rPr>
          <w:rtl/>
        </w:rPr>
        <w:t xml:space="preserve">المجلس </w:t>
      </w:r>
      <w:r w:rsidRPr="00AE04E4">
        <w:rPr>
          <w:b/>
          <w:bCs/>
          <w:rtl/>
        </w:rPr>
        <w:t>علما</w:t>
      </w:r>
      <w:r w:rsidR="003C43AF">
        <w:rPr>
          <w:rFonts w:hint="cs"/>
          <w:b/>
          <w:bCs/>
          <w:rtl/>
        </w:rPr>
        <w:t>ً</w:t>
      </w:r>
      <w:r w:rsidRPr="00AE04E4">
        <w:rPr>
          <w:rtl/>
        </w:rPr>
        <w:t xml:space="preserve"> بالتقرير الوارد في الوثيقة </w:t>
      </w:r>
      <w:r w:rsidRPr="00AE04E4">
        <w:t>C25/35</w:t>
      </w:r>
      <w:r w:rsidRPr="00AE04E4">
        <w:rPr>
          <w:rtl/>
        </w:rPr>
        <w:t>.</w:t>
      </w:r>
    </w:p>
    <w:p w14:paraId="558F6393" w14:textId="794F2439" w:rsidR="00AE04E4" w:rsidRPr="00D01CFE" w:rsidRDefault="00AE04E4" w:rsidP="00542219">
      <w:pPr>
        <w:pStyle w:val="Heading1"/>
        <w:rPr>
          <w:spacing w:val="-3"/>
          <w:rtl/>
        </w:rPr>
      </w:pPr>
      <w:r w:rsidRPr="00D01CFE">
        <w:rPr>
          <w:spacing w:val="-3"/>
        </w:rPr>
        <w:t>2</w:t>
      </w:r>
      <w:r w:rsidRPr="00D01CFE">
        <w:rPr>
          <w:spacing w:val="-3"/>
          <w:rtl/>
        </w:rPr>
        <w:tab/>
      </w:r>
      <w:r w:rsidR="00D01CFE" w:rsidRPr="00D01CFE">
        <w:rPr>
          <w:spacing w:val="-3"/>
          <w:rtl/>
        </w:rPr>
        <w:t xml:space="preserve">مشروع الخطة التشغيلية الرباعية المتجددة للاتحاد للفترة </w:t>
      </w:r>
      <w:r w:rsidR="00D01CFE" w:rsidRPr="00D01CFE">
        <w:rPr>
          <w:spacing w:val="-3"/>
        </w:rPr>
        <w:t>2029-2026</w:t>
      </w:r>
      <w:r w:rsidRPr="00D01CFE">
        <w:rPr>
          <w:spacing w:val="-3"/>
          <w:rtl/>
        </w:rPr>
        <w:t xml:space="preserve"> (الوثيقة</w:t>
      </w:r>
      <w:r w:rsidR="00D01CFE" w:rsidRPr="00D01CFE">
        <w:rPr>
          <w:rFonts w:hint="eastAsia"/>
          <w:spacing w:val="-3"/>
          <w:rtl/>
        </w:rPr>
        <w:t> </w:t>
      </w:r>
      <w:hyperlink r:id="rId15" w:history="1">
        <w:r w:rsidRPr="003C43AF">
          <w:rPr>
            <w:rStyle w:val="Hyperlink"/>
            <w:noProof w:val="0"/>
            <w:spacing w:val="-3"/>
            <w:lang w:val="en-US" w:eastAsia="zh-CN"/>
          </w:rPr>
          <w:t>C25/28</w:t>
        </w:r>
      </w:hyperlink>
      <w:r w:rsidRPr="00D01CFE">
        <w:rPr>
          <w:spacing w:val="-3"/>
          <w:rtl/>
        </w:rPr>
        <w:t>)</w:t>
      </w:r>
    </w:p>
    <w:p w14:paraId="01B359EE" w14:textId="050857FA" w:rsidR="00D452B0" w:rsidRDefault="00AE04E4" w:rsidP="00AE04E4">
      <w:pPr>
        <w:rPr>
          <w:rtl/>
        </w:rPr>
      </w:pPr>
      <w:r>
        <w:t>1.2</w:t>
      </w:r>
      <w:r w:rsidRPr="00AE04E4">
        <w:rPr>
          <w:rtl/>
        </w:rPr>
        <w:tab/>
        <w:t xml:space="preserve">قدم رئيس دائرة الشؤون الإدارية والمالية الوثيقة </w:t>
      </w:r>
      <w:r w:rsidRPr="00AE04E4">
        <w:t>C25/28</w:t>
      </w:r>
      <w:r w:rsidRPr="00AE04E4">
        <w:rPr>
          <w:rtl/>
        </w:rPr>
        <w:t xml:space="preserve"> التي تتضمن مشروع الخطة التشغيلية للاتحاد للفترة 2026-2029، ومشروع قرار في الملحق </w:t>
      </w:r>
      <w:r w:rsidRPr="00AE04E4">
        <w:t>A</w:t>
      </w:r>
      <w:r w:rsidRPr="00AE04E4">
        <w:rPr>
          <w:rtl/>
        </w:rPr>
        <w:t xml:space="preserve">، للموافقة عليهما. ويتبع مشروع الخطة هيكل الخطة الاستراتيجية للاتحاد للفترة 2024-2027 ويتناول تنفيذ أولوياتها المحورية الخمس </w:t>
      </w:r>
      <w:r w:rsidR="00F51319">
        <w:rPr>
          <w:rFonts w:hint="cs"/>
          <w:rtl/>
        </w:rPr>
        <w:t>ومخرجاتها</w:t>
      </w:r>
      <w:r w:rsidRPr="00AE04E4">
        <w:rPr>
          <w:rtl/>
        </w:rPr>
        <w:t xml:space="preserve"> البالغ عددها 43. ويحدد مشروع الخطة التشغيلية كيف سيواصل الاتحاد استخدام موارده في مبادراته الاستراتيجية، ويقدم تحليلا</w:t>
      </w:r>
      <w:r w:rsidR="00471AA4">
        <w:rPr>
          <w:rFonts w:hint="cs"/>
          <w:rtl/>
        </w:rPr>
        <w:t>ً</w:t>
      </w:r>
      <w:r w:rsidRPr="00AE04E4">
        <w:rPr>
          <w:rtl/>
        </w:rPr>
        <w:t xml:space="preserve"> مفصلا</w:t>
      </w:r>
      <w:r w:rsidR="00471AA4">
        <w:rPr>
          <w:rFonts w:hint="cs"/>
          <w:rtl/>
        </w:rPr>
        <w:t>ً</w:t>
      </w:r>
      <w:r w:rsidRPr="00AE04E4">
        <w:rPr>
          <w:rtl/>
        </w:rPr>
        <w:t xml:space="preserve"> لعام 2026 وتحليلا</w:t>
      </w:r>
      <w:r w:rsidR="00471AA4">
        <w:rPr>
          <w:rFonts w:hint="cs"/>
          <w:rtl/>
        </w:rPr>
        <w:t>ً</w:t>
      </w:r>
      <w:r w:rsidRPr="00AE04E4">
        <w:rPr>
          <w:rtl/>
        </w:rPr>
        <w:t xml:space="preserve"> موجزا</w:t>
      </w:r>
      <w:r w:rsidR="00471AA4">
        <w:rPr>
          <w:rFonts w:hint="cs"/>
          <w:rtl/>
        </w:rPr>
        <w:t>ً</w:t>
      </w:r>
      <w:r w:rsidRPr="00AE04E4">
        <w:rPr>
          <w:rtl/>
        </w:rPr>
        <w:t xml:space="preserve"> للسنوات الثلاث اللاحقة. ويرد وصف منهجية توزيع التكاليف المستخدمة في مقرر المجلس 535 (الصادر في دورة المجلس لعام 2004، التعديل الأخير في </w:t>
      </w:r>
      <w:r w:rsidR="00F51319">
        <w:rPr>
          <w:rFonts w:hint="cs"/>
          <w:rtl/>
        </w:rPr>
        <w:t>دورته</w:t>
      </w:r>
      <w:r w:rsidRPr="00AE04E4">
        <w:rPr>
          <w:rtl/>
        </w:rPr>
        <w:t xml:space="preserve"> لعام 2014). وبالنسبة لعام 2026، سيعزو الاتحاد أكبر حصة من موارده إلى الأولوية المحورية 1، الطيف والمدارات الساتلية، تليها الأولويات المحورية 5 و3 و4 و2.</w:t>
      </w:r>
    </w:p>
    <w:p w14:paraId="4DE5C092" w14:textId="615A9EA7" w:rsidR="00D452B0" w:rsidRPr="00471AA4" w:rsidRDefault="00AE04E4" w:rsidP="00AE04E4">
      <w:pPr>
        <w:rPr>
          <w:spacing w:val="-1"/>
          <w:rtl/>
        </w:rPr>
      </w:pPr>
      <w:r w:rsidRPr="00471AA4">
        <w:rPr>
          <w:spacing w:val="-1"/>
        </w:rPr>
        <w:t>2.2</w:t>
      </w:r>
      <w:r w:rsidRPr="00471AA4">
        <w:rPr>
          <w:spacing w:val="-1"/>
          <w:rtl/>
        </w:rPr>
        <w:tab/>
        <w:t>وطلب أعضاء المجلس، مشيرين إلى التوزيع غير المتساوي على الأولويات المحورية الخمس، مزيدا</w:t>
      </w:r>
      <w:r w:rsidR="00471AA4" w:rsidRPr="00471AA4">
        <w:rPr>
          <w:rFonts w:hint="cs"/>
          <w:spacing w:val="-1"/>
          <w:rtl/>
        </w:rPr>
        <w:t>ً</w:t>
      </w:r>
      <w:r w:rsidRPr="00471AA4">
        <w:rPr>
          <w:spacing w:val="-1"/>
          <w:rtl/>
        </w:rPr>
        <w:t xml:space="preserve"> من المعلومات عن آليات تحديد الأولويات وشفافيتها. ومن شأن تحديث سنوي لتنفيذ الخطة التشغيلية أن يحسن الشفافية وأن يتيح للدول الأعضاء فرصة للبقاء على اطلاع وتفاعلٍ مستمر. وأكد أعضاء المجلس على الالتزام القوي بالمواءمة الاستراتيجية والانضباط المالي والإدارة القائمة على النتائج على النحو المبين في مشروع الخطة وأيدوا الحاجة إلى المرونة للأمينة العامة والمديرين في تنفيذها على النحو المنصوص عليه في مشروع القرار. غير أن أحد أعضاء المجلس اقترح تعريف تلك "المرونة". وفي معرض تأييدهم لمشروع الخطة، أكد أعضاء المجلس على ضرورة إعداد ميزانية أكثر تفصيلاً، على النحو </w:t>
      </w:r>
      <w:proofErr w:type="spellStart"/>
      <w:r w:rsidRPr="00471AA4">
        <w:rPr>
          <w:spacing w:val="-1"/>
          <w:rtl/>
        </w:rPr>
        <w:t>الموصى</w:t>
      </w:r>
      <w:proofErr w:type="spellEnd"/>
      <w:r w:rsidRPr="00471AA4">
        <w:rPr>
          <w:spacing w:val="-1"/>
          <w:rtl/>
        </w:rPr>
        <w:t xml:space="preserve"> به في تقارير وحدة التفتيش المشتركة التابعة لمنظومة الأمم المتحدة، لأن من شأن ذلك أن يوضح هيكل التكاليف ويمكن الدول الأعضاء من اتخاذ قرارات أكثر استنارة، ولا سيما في ظل التضحيات التي يتعين تقديمها. وأثنى أحد أعضاء المجلس على الالتزام القوي بإعداد الميزانية على أساس النتائج، وطلب توضيحا</w:t>
      </w:r>
      <w:r w:rsidR="00471AA4" w:rsidRPr="00471AA4">
        <w:rPr>
          <w:rFonts w:hint="cs"/>
          <w:spacing w:val="-1"/>
          <w:rtl/>
        </w:rPr>
        <w:t>ً</w:t>
      </w:r>
      <w:r w:rsidRPr="00471AA4">
        <w:rPr>
          <w:spacing w:val="-1"/>
          <w:rtl/>
        </w:rPr>
        <w:t xml:space="preserve"> بشأن الاتجاه التصاعدي في تخصيص الموارد للخدمات الإدارية المركزية وإقامة روابط أوضح</w:t>
      </w:r>
      <w:r w:rsidR="0065555E" w:rsidRPr="00471AA4">
        <w:rPr>
          <w:spacing w:val="-1"/>
          <w:rtl/>
        </w:rPr>
        <w:t xml:space="preserve"> </w:t>
      </w:r>
      <w:r w:rsidRPr="00471AA4">
        <w:rPr>
          <w:spacing w:val="-1"/>
          <w:rtl/>
        </w:rPr>
        <w:t>بين الأنشطة التشغيلية والمبادرات الإقليمية.</w:t>
      </w:r>
    </w:p>
    <w:p w14:paraId="26667D18" w14:textId="2FC60137" w:rsidR="00D452B0" w:rsidRDefault="00AE04E4" w:rsidP="00AE04E4">
      <w:pPr>
        <w:rPr>
          <w:rtl/>
        </w:rPr>
      </w:pPr>
      <w:r>
        <w:t>3.2</w:t>
      </w:r>
      <w:r w:rsidRPr="00AE04E4">
        <w:rPr>
          <w:rtl/>
        </w:rPr>
        <w:tab/>
        <w:t>وأقر رئيس دائرة الشؤون الإدارية والمالية، ردا</w:t>
      </w:r>
      <w:r w:rsidR="00B1604C">
        <w:rPr>
          <w:rFonts w:hint="cs"/>
          <w:rtl/>
        </w:rPr>
        <w:t>ً</w:t>
      </w:r>
      <w:r w:rsidRPr="00AE04E4">
        <w:rPr>
          <w:rtl/>
        </w:rPr>
        <w:t xml:space="preserve"> على الأسئلة، بعدم تكافؤ توزيع الموارد على الأولويات الاستراتيجية، وقال إن ذلك يعبِّر عن واقع وطبيعة العمل </w:t>
      </w:r>
      <w:proofErr w:type="spellStart"/>
      <w:r w:rsidRPr="00AE04E4">
        <w:rPr>
          <w:rtl/>
        </w:rPr>
        <w:t>المضطلع</w:t>
      </w:r>
      <w:proofErr w:type="spellEnd"/>
      <w:r w:rsidRPr="00AE04E4">
        <w:rPr>
          <w:rtl/>
        </w:rPr>
        <w:t xml:space="preserve"> به في مختلف القطاعات. والنظر فيما إذا كان مقاس الأولويات الاستراتيجية مناسباً</w:t>
      </w:r>
      <w:r w:rsidR="001658DF">
        <w:rPr>
          <w:rFonts w:hint="cs"/>
          <w:rtl/>
        </w:rPr>
        <w:t>،</w:t>
      </w:r>
      <w:r w:rsidR="001658DF" w:rsidRPr="001658DF">
        <w:rPr>
          <w:rtl/>
        </w:rPr>
        <w:t xml:space="preserve"> و</w:t>
      </w:r>
      <w:r w:rsidR="001658DF">
        <w:rPr>
          <w:rFonts w:hint="cs"/>
          <w:rtl/>
        </w:rPr>
        <w:t xml:space="preserve">في </w:t>
      </w:r>
      <w:r w:rsidR="001658DF" w:rsidRPr="001658DF">
        <w:rPr>
          <w:rtl/>
        </w:rPr>
        <w:t>إجراء التعديلات على الأولوية النسبية،</w:t>
      </w:r>
      <w:r w:rsidRPr="00AE04E4">
        <w:rPr>
          <w:rtl/>
        </w:rPr>
        <w:t xml:space="preserve"> سيعود بالفائدة على</w:t>
      </w:r>
      <w:r w:rsidR="0065555E">
        <w:rPr>
          <w:rtl/>
        </w:rPr>
        <w:t xml:space="preserve"> </w:t>
      </w:r>
      <w:r w:rsidRPr="00AE04E4">
        <w:rPr>
          <w:rtl/>
        </w:rPr>
        <w:t>التخطيط الاستراتيجي المستقبل</w:t>
      </w:r>
      <w:r w:rsidR="001658DF">
        <w:rPr>
          <w:rFonts w:hint="cs"/>
          <w:rtl/>
        </w:rPr>
        <w:t>ي</w:t>
      </w:r>
      <w:r w:rsidR="001658DF" w:rsidRPr="001658DF">
        <w:rPr>
          <w:rtl/>
        </w:rPr>
        <w:t xml:space="preserve"> إذا </w:t>
      </w:r>
      <w:r w:rsidR="001658DF">
        <w:rPr>
          <w:rFonts w:hint="cs"/>
          <w:rtl/>
        </w:rPr>
        <w:t>استشعرنا</w:t>
      </w:r>
      <w:r w:rsidR="001658DF" w:rsidRPr="001658DF">
        <w:rPr>
          <w:rtl/>
        </w:rPr>
        <w:t xml:space="preserve"> </w:t>
      </w:r>
      <w:r w:rsidR="001658DF">
        <w:rPr>
          <w:rFonts w:hint="cs"/>
          <w:rtl/>
        </w:rPr>
        <w:t>عدم تواؤم</w:t>
      </w:r>
      <w:r w:rsidR="001658DF" w:rsidRPr="001658DF">
        <w:rPr>
          <w:rtl/>
        </w:rPr>
        <w:t xml:space="preserve"> توزيع الموارد</w:t>
      </w:r>
      <w:r w:rsidRPr="00AE04E4">
        <w:rPr>
          <w:rtl/>
        </w:rPr>
        <w:t xml:space="preserve">. وكذلك، من المهم توقع الانتقال بشكل أوضح من التخطيط الاستراتيجي والمالي إلى التخطيط التشغيلي، ثم إلى وضع الميزانية. ويتوفر مزيد من المعلومات عن مواءمة الخطة التشغيلية والميزانية في مشروع ميزانية فترة السنتين 2026-2027 (الوثيقة </w:t>
      </w:r>
      <w:hyperlink r:id="rId16" w:history="1">
        <w:r w:rsidRPr="00473C3B">
          <w:rPr>
            <w:rStyle w:val="Hyperlink"/>
            <w:noProof w:val="0"/>
            <w:lang w:val="en-US" w:eastAsia="zh-CN"/>
          </w:rPr>
          <w:t>C25/47</w:t>
        </w:r>
      </w:hyperlink>
      <w:r w:rsidRPr="00AE04E4">
        <w:rPr>
          <w:rtl/>
        </w:rPr>
        <w:t xml:space="preserve">). ويشمل تحديد الأولويات تقييم </w:t>
      </w:r>
      <w:r w:rsidRPr="00AE04E4">
        <w:rPr>
          <w:rtl/>
        </w:rPr>
        <w:lastRenderedPageBreak/>
        <w:t xml:space="preserve">مجالات الاحتياجات والطلبات المقدمة من الدول الأعضاء، مع النظر في السياق الأوسع واستخدام البيانات الإحصائية، ثم تحديد الموارد البشرية اللازمة لأداء العمل وتخصيصها وتقدير تكاليفها. وقد تستفيد هذه العملية، التي تُنفَّذ بشكل رئيسي في الأمانة، من </w:t>
      </w:r>
      <w:r w:rsidR="001658DF">
        <w:rPr>
          <w:rFonts w:hint="cs"/>
          <w:rtl/>
        </w:rPr>
        <w:t>توجيهات واضحة من</w:t>
      </w:r>
      <w:r w:rsidRPr="00AE04E4">
        <w:rPr>
          <w:rtl/>
        </w:rPr>
        <w:t xml:space="preserve"> الدول الأعضاء</w:t>
      </w:r>
      <w:r w:rsidR="001658DF">
        <w:rPr>
          <w:rFonts w:hint="cs"/>
          <w:rtl/>
        </w:rPr>
        <w:t xml:space="preserve"> على المستوى الاستراتيجي</w:t>
      </w:r>
      <w:r w:rsidRPr="00AE04E4">
        <w:rPr>
          <w:rtl/>
        </w:rPr>
        <w:t>. وكان هناك بالفعل تركيز في</w:t>
      </w:r>
      <w:r w:rsidR="00A57213">
        <w:rPr>
          <w:rFonts w:hint="cs"/>
          <w:rtl/>
        </w:rPr>
        <w:t> </w:t>
      </w:r>
      <w:r w:rsidRPr="00AE04E4">
        <w:rPr>
          <w:rtl/>
        </w:rPr>
        <w:t>عملية التخطيط الاستراتيجي</w:t>
      </w:r>
      <w:r w:rsidR="001658DF">
        <w:rPr>
          <w:rFonts w:hint="cs"/>
          <w:rtl/>
        </w:rPr>
        <w:t xml:space="preserve"> </w:t>
      </w:r>
      <w:r w:rsidR="00DE3D89">
        <w:rPr>
          <w:rFonts w:hint="cs"/>
          <w:rtl/>
        </w:rPr>
        <w:t>المتواصلة</w:t>
      </w:r>
      <w:r w:rsidRPr="00AE04E4">
        <w:rPr>
          <w:rtl/>
        </w:rPr>
        <w:t xml:space="preserve"> على قياس أفضل للأنشطة وربطها </w:t>
      </w:r>
      <w:r w:rsidR="00F51319">
        <w:rPr>
          <w:rFonts w:hint="cs"/>
          <w:rtl/>
        </w:rPr>
        <w:t>بالمحصلات</w:t>
      </w:r>
      <w:r w:rsidRPr="00AE04E4">
        <w:rPr>
          <w:rtl/>
        </w:rPr>
        <w:t>. وعموما</w:t>
      </w:r>
      <w:r w:rsidR="00B1604C">
        <w:rPr>
          <w:rFonts w:hint="cs"/>
          <w:rtl/>
        </w:rPr>
        <w:t>ً</w:t>
      </w:r>
      <w:r w:rsidRPr="00AE04E4">
        <w:rPr>
          <w:rtl/>
        </w:rPr>
        <w:t>، انخفضت تكاليف الأمانة العامة في السنوات الأخيرة، مع إجراء تخفيضات كبيرة خلال عملية التحول. وتعزى الزيادة الظاهرة في الخطة إلى</w:t>
      </w:r>
      <w:r w:rsidR="00B1604C">
        <w:rPr>
          <w:rFonts w:hint="cs"/>
          <w:rtl/>
        </w:rPr>
        <w:t> </w:t>
      </w:r>
      <w:r w:rsidR="00DE3D89">
        <w:rPr>
          <w:rFonts w:hint="cs"/>
          <w:rtl/>
        </w:rPr>
        <w:t>عقد</w:t>
      </w:r>
      <w:r w:rsidRPr="00AE04E4">
        <w:rPr>
          <w:rtl/>
        </w:rPr>
        <w:t xml:space="preserve"> مؤتمرين رئيسيين خلال الفترة</w:t>
      </w:r>
      <w:r w:rsidR="00DE3D89">
        <w:rPr>
          <w:rFonts w:hint="cs"/>
          <w:rtl/>
        </w:rPr>
        <w:t xml:space="preserve"> 2026-2027 (مؤتمر المندوبين المفوضين عام 2026 والمؤتمر العالمي للاتصالات الراديوية عام 2027)</w:t>
      </w:r>
      <w:r w:rsidRPr="00AE04E4">
        <w:rPr>
          <w:rtl/>
        </w:rPr>
        <w:t xml:space="preserve">، </w:t>
      </w:r>
      <w:r w:rsidR="00DE3D89">
        <w:rPr>
          <w:rFonts w:hint="cs"/>
          <w:rtl/>
        </w:rPr>
        <w:t>وسيجري تمويلهما</w:t>
      </w:r>
      <w:r w:rsidRPr="00AE04E4">
        <w:rPr>
          <w:rtl/>
        </w:rPr>
        <w:t xml:space="preserve"> </w:t>
      </w:r>
      <w:r w:rsidR="00DE3D89" w:rsidRPr="00DE3D89">
        <w:rPr>
          <w:rtl/>
        </w:rPr>
        <w:t>إلى حد</w:t>
      </w:r>
      <w:r w:rsidR="00DE3D89">
        <w:rPr>
          <w:rFonts w:hint="cs"/>
          <w:rtl/>
        </w:rPr>
        <w:t xml:space="preserve"> </w:t>
      </w:r>
      <w:r w:rsidRPr="00AE04E4">
        <w:rPr>
          <w:rtl/>
        </w:rPr>
        <w:t>كبيرٍ من</w:t>
      </w:r>
      <w:r w:rsidR="00DE3D89">
        <w:rPr>
          <w:rFonts w:hint="cs"/>
          <w:rtl/>
        </w:rPr>
        <w:t xml:space="preserve"> </w:t>
      </w:r>
      <w:r w:rsidR="00DE3D89" w:rsidRPr="00DE3D89">
        <w:rPr>
          <w:rtl/>
        </w:rPr>
        <w:t>خلال الخدمات التي تقدمها</w:t>
      </w:r>
      <w:r w:rsidRPr="00AE04E4">
        <w:rPr>
          <w:rtl/>
        </w:rPr>
        <w:t xml:space="preserve"> الأمانة العامة</w:t>
      </w:r>
      <w:r w:rsidR="00B1604C">
        <w:rPr>
          <w:rFonts w:hint="cs"/>
          <w:rtl/>
        </w:rPr>
        <w:t>.</w:t>
      </w:r>
    </w:p>
    <w:p w14:paraId="713F6E5C" w14:textId="00BA7CC1" w:rsidR="00D452B0" w:rsidRDefault="00AE04E4" w:rsidP="00AE04E4">
      <w:pPr>
        <w:rPr>
          <w:rtl/>
        </w:rPr>
      </w:pPr>
      <w:r>
        <w:t>4.2</w:t>
      </w:r>
      <w:r w:rsidRPr="00AE04E4">
        <w:rPr>
          <w:rtl/>
        </w:rPr>
        <w:tab/>
        <w:t>وقال رئيس دائرة إدارة الموارد المالية (</w:t>
      </w:r>
      <w:r w:rsidRPr="00AE04E4">
        <w:t>FRMD</w:t>
      </w:r>
      <w:r w:rsidRPr="00AE04E4">
        <w:rPr>
          <w:rtl/>
        </w:rPr>
        <w:t>) إن البرامج الإقليمية تنفذ من خلال قطاع تنمية الاتصالات وأن الجهود تبذل لضمان التوزيع المنصف للموارد والمبادرات عبر المناطق. وقدمت الأمانة تمويلا</w:t>
      </w:r>
      <w:r w:rsidR="00017C9E">
        <w:rPr>
          <w:rFonts w:hint="cs"/>
          <w:rtl/>
        </w:rPr>
        <w:t>ً</w:t>
      </w:r>
      <w:r w:rsidRPr="00AE04E4">
        <w:rPr>
          <w:rtl/>
        </w:rPr>
        <w:t xml:space="preserve"> أوليا</w:t>
      </w:r>
      <w:r w:rsidR="00017C9E">
        <w:rPr>
          <w:rFonts w:hint="cs"/>
          <w:rtl/>
        </w:rPr>
        <w:t>ً</w:t>
      </w:r>
      <w:r w:rsidRPr="00AE04E4">
        <w:rPr>
          <w:rtl/>
        </w:rPr>
        <w:t xml:space="preserve"> وأصدرت نداءات أخرى تلتمس المانحين والمساهمات الطوعية. وأضاف أن طلب "المرونة" </w:t>
      </w:r>
      <w:r w:rsidRPr="00F51319">
        <w:rPr>
          <w:rtl/>
        </w:rPr>
        <w:t>للأمين العام</w:t>
      </w:r>
      <w:r w:rsidRPr="00AE04E4">
        <w:rPr>
          <w:rtl/>
        </w:rPr>
        <w:t xml:space="preserve"> ومديري المكاتب في القرارات التي توافق على مشاريع الميزانيات والخطط التشغيلية عرف شائع.</w:t>
      </w:r>
    </w:p>
    <w:p w14:paraId="3C5D8A08" w14:textId="77777777" w:rsidR="00D452B0" w:rsidRDefault="00AE04E4" w:rsidP="00AE04E4">
      <w:pPr>
        <w:rPr>
          <w:rtl/>
        </w:rPr>
      </w:pPr>
      <w:r>
        <w:t>5.2</w:t>
      </w:r>
      <w:r w:rsidRPr="00AE04E4">
        <w:rPr>
          <w:rtl/>
        </w:rPr>
        <w:tab/>
      </w:r>
      <w:r w:rsidRPr="00017C9E">
        <w:rPr>
          <w:b/>
          <w:bCs/>
          <w:rtl/>
        </w:rPr>
        <w:t>ووافق</w:t>
      </w:r>
      <w:r w:rsidRPr="00AE04E4">
        <w:rPr>
          <w:rtl/>
        </w:rPr>
        <w:t xml:space="preserve"> المجلس على الوثيقة </w:t>
      </w:r>
      <w:r w:rsidRPr="00AE04E4">
        <w:t>C25/28</w:t>
      </w:r>
      <w:r w:rsidRPr="00AE04E4">
        <w:rPr>
          <w:rtl/>
        </w:rPr>
        <w:t xml:space="preserve"> </w:t>
      </w:r>
      <w:r w:rsidRPr="00017C9E">
        <w:rPr>
          <w:b/>
          <w:bCs/>
          <w:rtl/>
        </w:rPr>
        <w:t>واعتمد</w:t>
      </w:r>
      <w:r w:rsidRPr="00AE04E4">
        <w:rPr>
          <w:rtl/>
        </w:rPr>
        <w:t xml:space="preserve"> مشروع القرار الوارد في ملحقها.</w:t>
      </w:r>
    </w:p>
    <w:p w14:paraId="6041E2D5" w14:textId="15DB27FE" w:rsidR="00AE04E4" w:rsidRPr="00AE04E4" w:rsidRDefault="00AE04E4" w:rsidP="00542219">
      <w:pPr>
        <w:pStyle w:val="Heading1"/>
        <w:rPr>
          <w:rtl/>
        </w:rPr>
      </w:pPr>
      <w:r>
        <w:t>3</w:t>
      </w:r>
      <w:r w:rsidRPr="00AE04E4">
        <w:rPr>
          <w:rtl/>
        </w:rPr>
        <w:tab/>
      </w:r>
      <w:r w:rsidR="00D01CFE" w:rsidRPr="00D01CFE">
        <w:rPr>
          <w:rtl/>
        </w:rPr>
        <w:t xml:space="preserve">مشروع ميزانية الاتحاد لفترة السنتين </w:t>
      </w:r>
      <w:r w:rsidR="00D01CFE">
        <w:t>2027-2026</w:t>
      </w:r>
      <w:r w:rsidRPr="00AE04E4">
        <w:rPr>
          <w:rtl/>
        </w:rPr>
        <w:t xml:space="preserve"> (الوثيقة </w:t>
      </w:r>
      <w:hyperlink r:id="rId17" w:history="1">
        <w:r w:rsidRPr="00017C9E">
          <w:rPr>
            <w:rStyle w:val="Hyperlink"/>
            <w:noProof w:val="0"/>
            <w:lang w:val="en-US" w:eastAsia="zh-CN"/>
          </w:rPr>
          <w:t>C25/47</w:t>
        </w:r>
      </w:hyperlink>
      <w:r w:rsidRPr="00AE04E4">
        <w:rPr>
          <w:rtl/>
        </w:rPr>
        <w:t>)</w:t>
      </w:r>
    </w:p>
    <w:p w14:paraId="6DCF9908" w14:textId="13AAF913" w:rsidR="00D452B0" w:rsidRDefault="00AE04E4" w:rsidP="00AE04E4">
      <w:pPr>
        <w:rPr>
          <w:rtl/>
        </w:rPr>
      </w:pPr>
      <w:r>
        <w:t>1.3</w:t>
      </w:r>
      <w:r w:rsidRPr="00AE04E4">
        <w:rPr>
          <w:rtl/>
        </w:rPr>
        <w:tab/>
        <w:t xml:space="preserve">قال رئيس دائرة إدارة الموارد المالية، في معرض تقديمه للوثيقة </w:t>
      </w:r>
      <w:r w:rsidRPr="00AE04E4">
        <w:t>C25/47</w:t>
      </w:r>
      <w:r w:rsidRPr="00AE04E4">
        <w:rPr>
          <w:rtl/>
        </w:rPr>
        <w:t>، التي تعرض مشروع ميزانية فترة السنتين 2026-2027، إنه أُعد على أساس التبليغات بشأن الميزانية المقدمة من القطاعات الثلاثة والأمانة العامة وتماشيا</w:t>
      </w:r>
      <w:r w:rsidR="00545494">
        <w:rPr>
          <w:rFonts w:hint="cs"/>
          <w:rtl/>
        </w:rPr>
        <w:t>ً</w:t>
      </w:r>
      <w:r w:rsidRPr="00AE04E4">
        <w:rPr>
          <w:rtl/>
        </w:rPr>
        <w:t xml:space="preserve"> مع المقرر 5 (المراج</w:t>
      </w:r>
      <w:r w:rsidR="00545494">
        <w:rPr>
          <w:rFonts w:hint="cs"/>
          <w:rtl/>
        </w:rPr>
        <w:t>َ</w:t>
      </w:r>
      <w:r w:rsidRPr="00AE04E4">
        <w:rPr>
          <w:rtl/>
        </w:rPr>
        <w:t>ع في بوخارست، 2022) لمؤتمر المندوبين المفوضين. وكان مشروع الميزانية متوازنا</w:t>
      </w:r>
      <w:r w:rsidR="00545494">
        <w:rPr>
          <w:rFonts w:hint="cs"/>
          <w:rtl/>
        </w:rPr>
        <w:t>ً</w:t>
      </w:r>
      <w:r w:rsidRPr="00AE04E4">
        <w:rPr>
          <w:rtl/>
        </w:rPr>
        <w:t>، حيث تعادل الإيرادات النفقات؛ وأظهر نموا</w:t>
      </w:r>
      <w:r w:rsidR="00545494">
        <w:rPr>
          <w:rFonts w:hint="cs"/>
          <w:rtl/>
        </w:rPr>
        <w:t>ً</w:t>
      </w:r>
      <w:r w:rsidRPr="00AE04E4">
        <w:rPr>
          <w:rtl/>
        </w:rPr>
        <w:t xml:space="preserve"> سلبيا</w:t>
      </w:r>
      <w:r w:rsidR="00545494">
        <w:rPr>
          <w:rFonts w:hint="cs"/>
          <w:rtl/>
        </w:rPr>
        <w:t>ً</w:t>
      </w:r>
      <w:r w:rsidRPr="00AE04E4">
        <w:rPr>
          <w:rtl/>
        </w:rPr>
        <w:t xml:space="preserve"> بنسبة 2,66 في </w:t>
      </w:r>
      <w:proofErr w:type="gramStart"/>
      <w:r w:rsidRPr="00AE04E4">
        <w:rPr>
          <w:rtl/>
        </w:rPr>
        <w:t>المائة</w:t>
      </w:r>
      <w:proofErr w:type="gramEnd"/>
      <w:r w:rsidRPr="00AE04E4">
        <w:rPr>
          <w:rtl/>
        </w:rPr>
        <w:t xml:space="preserve"> مقارنة</w:t>
      </w:r>
      <w:r w:rsidR="00545494">
        <w:rPr>
          <w:rFonts w:hint="cs"/>
          <w:rtl/>
        </w:rPr>
        <w:t>ً</w:t>
      </w:r>
      <w:r w:rsidRPr="00AE04E4">
        <w:rPr>
          <w:rtl/>
        </w:rPr>
        <w:t xml:space="preserve"> بميزانية الفترة 2024-2025، ويعزى إلى حد كبير إلى تدابير الكفاءة المبينة في الوثيقة. ويُتوقع أن ترتفع الإيرادات من استرداد تكاليف معالجة بطاقات التبليغ عن الشبكات الساتلية (</w:t>
      </w:r>
      <w:r w:rsidRPr="00AE04E4">
        <w:t>SNF</w:t>
      </w:r>
      <w:r w:rsidRPr="00AE04E4">
        <w:rPr>
          <w:rtl/>
        </w:rPr>
        <w:t xml:space="preserve">) إلى 18 مليون فرنك سويسري، على الرغم من تقدير التكلفة الإجمالية للعمل في هذا المجال بمبلغ 22,8 مليون فرنك سويسري. ويمكن الاطلاع على المنهجية المقترحة لحساب استرداد تكاليف بطاقات التبليغ عن الشبكات الساتلية، في الوثيقة </w:t>
      </w:r>
      <w:hyperlink r:id="rId18" w:history="1">
        <w:r w:rsidRPr="005F422B">
          <w:rPr>
            <w:rStyle w:val="Hyperlink"/>
            <w:noProof w:val="0"/>
            <w:lang w:val="en-US" w:eastAsia="zh-CN"/>
          </w:rPr>
          <w:t>C25/64</w:t>
        </w:r>
      </w:hyperlink>
      <w:r w:rsidRPr="00AE04E4">
        <w:rPr>
          <w:rtl/>
        </w:rPr>
        <w:t>. وستواصل الأمانة استخدام الإدارة القائمة على النتائج في تنفيذ الميزانية ومتابعة تدابير الكفاءة. ويقدم مشروع الميزانية معلومات مفصلة عن التخطيط المالي وعدد الوظائف المرصودة في</w:t>
      </w:r>
      <w:r w:rsidR="00545494">
        <w:rPr>
          <w:rFonts w:hint="cs"/>
          <w:rtl/>
        </w:rPr>
        <w:t> </w:t>
      </w:r>
      <w:r w:rsidRPr="00AE04E4">
        <w:rPr>
          <w:rtl/>
        </w:rPr>
        <w:t>الميزانية وتكاليف الخدمات اللغوية والبنية التحتية.</w:t>
      </w:r>
    </w:p>
    <w:p w14:paraId="2D4CB118" w14:textId="77777777" w:rsidR="00D452B0" w:rsidRDefault="00AE04E4" w:rsidP="00AE04E4">
      <w:pPr>
        <w:rPr>
          <w:rtl/>
        </w:rPr>
      </w:pPr>
      <w:r>
        <w:t>2.3</w:t>
      </w:r>
      <w:r w:rsidRPr="00AE04E4">
        <w:rPr>
          <w:rtl/>
        </w:rPr>
        <w:tab/>
        <w:t xml:space="preserve">واقترح الرئيس إحالة مناقشة الوثيقة إلى اللجنة الدائمة للتنظيم والإدارة (لجنة </w:t>
      </w:r>
      <w:r w:rsidRPr="00AE04E4">
        <w:t>ADM</w:t>
      </w:r>
      <w:r w:rsidRPr="00AE04E4">
        <w:rPr>
          <w:rtl/>
        </w:rPr>
        <w:t>).</w:t>
      </w:r>
    </w:p>
    <w:p w14:paraId="2EF0BCAD" w14:textId="502EC51C" w:rsidR="00AE04E4" w:rsidRPr="00AE04E4" w:rsidRDefault="00AE04E4" w:rsidP="00AE04E4">
      <w:pPr>
        <w:rPr>
          <w:rtl/>
        </w:rPr>
      </w:pPr>
      <w:r>
        <w:t>3.3</w:t>
      </w:r>
      <w:r w:rsidRPr="00AE04E4">
        <w:rPr>
          <w:rtl/>
        </w:rPr>
        <w:tab/>
      </w:r>
      <w:r w:rsidRPr="00821372">
        <w:rPr>
          <w:b/>
          <w:bCs/>
          <w:rtl/>
        </w:rPr>
        <w:t>واتُفق</w:t>
      </w:r>
      <w:r w:rsidRPr="00AE04E4">
        <w:rPr>
          <w:rtl/>
        </w:rPr>
        <w:t xml:space="preserve"> على ذلك.</w:t>
      </w:r>
    </w:p>
    <w:p w14:paraId="6482F6A9" w14:textId="31FF3C20" w:rsidR="00AE04E4" w:rsidRPr="00AE04E4" w:rsidRDefault="00AE04E4" w:rsidP="00542219">
      <w:pPr>
        <w:pStyle w:val="Heading1"/>
        <w:rPr>
          <w:rtl/>
        </w:rPr>
      </w:pPr>
      <w:r>
        <w:t>4</w:t>
      </w:r>
      <w:r w:rsidRPr="00AE04E4">
        <w:rPr>
          <w:rtl/>
        </w:rPr>
        <w:tab/>
      </w:r>
      <w:r w:rsidR="001675D0" w:rsidRPr="001675D0">
        <w:rPr>
          <w:rtl/>
        </w:rPr>
        <w:t xml:space="preserve">معلومات محدّثة بشأن عملية التحول وخارطة الطريق للاتحاد </w:t>
      </w:r>
      <w:r w:rsidRPr="00AE04E4">
        <w:rPr>
          <w:rtl/>
        </w:rPr>
        <w:t xml:space="preserve">(الوثيقة </w:t>
      </w:r>
      <w:hyperlink r:id="rId19" w:history="1">
        <w:r w:rsidRPr="00821372">
          <w:rPr>
            <w:rStyle w:val="Hyperlink"/>
            <w:noProof w:val="0"/>
            <w:lang w:val="en-US" w:eastAsia="zh-CN"/>
          </w:rPr>
          <w:t>C25/55</w:t>
        </w:r>
      </w:hyperlink>
      <w:r w:rsidRPr="00AE04E4">
        <w:rPr>
          <w:rtl/>
        </w:rPr>
        <w:t>)</w:t>
      </w:r>
    </w:p>
    <w:p w14:paraId="0F3DABFB" w14:textId="2D2AB496" w:rsidR="00AE04E4" w:rsidRPr="00AE04E4" w:rsidRDefault="00AE04E4" w:rsidP="00AE04E4">
      <w:pPr>
        <w:rPr>
          <w:rtl/>
        </w:rPr>
      </w:pPr>
      <w:r>
        <w:t>1.4</w:t>
      </w:r>
      <w:r w:rsidRPr="00AE04E4">
        <w:rPr>
          <w:rtl/>
        </w:rPr>
        <w:tab/>
        <w:t xml:space="preserve">قدمت رئيسة فريق التحول الوثيقة </w:t>
      </w:r>
      <w:r w:rsidRPr="00AE04E4">
        <w:t>C25/55</w:t>
      </w:r>
      <w:r w:rsidRPr="00AE04E4">
        <w:rPr>
          <w:rtl/>
        </w:rPr>
        <w:t>، التي تُبرز جهود الاتحاد لتحقيق التميز المؤسسي والكفاءات المُحققة. وعقب مناقشات في إطار فريق العمل التابع للمجلس والمعني بالموارد المالية والبشرية (</w:t>
      </w:r>
      <w:r w:rsidRPr="00AE04E4">
        <w:t>CWG-FHR</w:t>
      </w:r>
      <w:r w:rsidRPr="00AE04E4">
        <w:rPr>
          <w:rtl/>
        </w:rPr>
        <w:t>) وفريق العمل التابع للمجلس والمعني باستخدام اللغات الرسمية الست (</w:t>
      </w:r>
      <w:r w:rsidRPr="00AE04E4">
        <w:t>CWG-LANG</w:t>
      </w:r>
      <w:r w:rsidRPr="00AE04E4">
        <w:rPr>
          <w:rtl/>
        </w:rPr>
        <w:t>)، واستجابة</w:t>
      </w:r>
      <w:r w:rsidR="00340DB9">
        <w:rPr>
          <w:rFonts w:hint="cs"/>
          <w:rtl/>
        </w:rPr>
        <w:t>ً</w:t>
      </w:r>
      <w:r w:rsidRPr="00AE04E4">
        <w:rPr>
          <w:rtl/>
        </w:rPr>
        <w:t xml:space="preserve"> لطلبات الدول الأعضاء، قُدِّم في ملحق تقرير مرحلي عن مشروع الموقع الإلكتروني. ومنذ نشر هذا التقرير، توصِّل إلى مرحلة حاسمة في المشروع بإكمال التقييمات التقنية والتجارية، مما سمح ببدء التنفيذ.</w:t>
      </w:r>
    </w:p>
    <w:p w14:paraId="4BFB75F4" w14:textId="470D9BDE" w:rsidR="00AE04E4" w:rsidRPr="00AE04E4" w:rsidRDefault="00AE04E4" w:rsidP="001937F3">
      <w:pPr>
        <w:rPr>
          <w:rtl/>
        </w:rPr>
      </w:pPr>
      <w:r>
        <w:t>2.4</w:t>
      </w:r>
      <w:r w:rsidRPr="00AE04E4">
        <w:rPr>
          <w:rtl/>
        </w:rPr>
        <w:tab/>
        <w:t xml:space="preserve">وضمن الركائز الخمس لعملية التحول، أعطيت الأولوية لست مبادرات لتسريع الإجراءات وهي: إدارة الأداء، والتوظيف، والسفر، </w:t>
      </w:r>
      <w:r w:rsidR="00145A91">
        <w:rPr>
          <w:rFonts w:hint="cs"/>
          <w:rtl/>
        </w:rPr>
        <w:t>و</w:t>
      </w:r>
      <w:r w:rsidRPr="00AE04E4">
        <w:rPr>
          <w:rtl/>
        </w:rPr>
        <w:t>التنقل</w:t>
      </w:r>
      <w:r w:rsidR="00145A91">
        <w:rPr>
          <w:rFonts w:hint="cs"/>
          <w:rtl/>
        </w:rPr>
        <w:t xml:space="preserve"> الداخلي</w:t>
      </w:r>
      <w:r w:rsidRPr="00AE04E4">
        <w:rPr>
          <w:rtl/>
        </w:rPr>
        <w:t xml:space="preserve">، </w:t>
      </w:r>
      <w:r w:rsidR="00145A91">
        <w:rPr>
          <w:rFonts w:hint="cs"/>
          <w:rtl/>
        </w:rPr>
        <w:t>والتنفيذ الداخلي</w:t>
      </w:r>
      <w:r w:rsidRPr="00AE04E4">
        <w:rPr>
          <w:rtl/>
        </w:rPr>
        <w:t xml:space="preserve"> </w:t>
      </w:r>
      <w:r w:rsidR="00145A91">
        <w:rPr>
          <w:rFonts w:hint="cs"/>
          <w:rtl/>
        </w:rPr>
        <w:t>ل</w:t>
      </w:r>
      <w:r w:rsidRPr="00AE04E4">
        <w:rPr>
          <w:rtl/>
        </w:rPr>
        <w:t xml:space="preserve">لذكاء الاصطناعي، والثقافة القيادية. واستمر العمل </w:t>
      </w:r>
      <w:r w:rsidR="00145A91">
        <w:rPr>
          <w:rFonts w:hint="cs"/>
          <w:rtl/>
        </w:rPr>
        <w:t xml:space="preserve">أيضاً </w:t>
      </w:r>
      <w:r w:rsidR="001937F3">
        <w:rPr>
          <w:rFonts w:hint="cs"/>
          <w:rtl/>
        </w:rPr>
        <w:t xml:space="preserve">عبر بقية المبادرات المعنية بجميع الركائز في إطار </w:t>
      </w:r>
      <w:r w:rsidRPr="00AE04E4">
        <w:rPr>
          <w:rtl/>
        </w:rPr>
        <w:t>خارطة طريق التحول. واعتُبر التواصل القوي والواضح ضروريا</w:t>
      </w:r>
      <w:r w:rsidR="00340DB9">
        <w:rPr>
          <w:rFonts w:hint="cs"/>
          <w:rtl/>
        </w:rPr>
        <w:t>ً</w:t>
      </w:r>
      <w:r w:rsidRPr="00AE04E4">
        <w:rPr>
          <w:rtl/>
        </w:rPr>
        <w:t xml:space="preserve"> للتحول. ونشط فريق التحول بإدارة آثار التغيير من خلال فريق صانعي التغيير والمشاورات</w:t>
      </w:r>
      <w:r w:rsidR="001937F3">
        <w:rPr>
          <w:rFonts w:hint="cs"/>
          <w:rtl/>
        </w:rPr>
        <w:t xml:space="preserve"> الأوسع</w:t>
      </w:r>
      <w:r w:rsidRPr="00AE04E4">
        <w:rPr>
          <w:rtl/>
        </w:rPr>
        <w:t xml:space="preserve"> مع</w:t>
      </w:r>
      <w:r w:rsidR="001937F3">
        <w:rPr>
          <w:rFonts w:hint="cs"/>
          <w:rtl/>
        </w:rPr>
        <w:t xml:space="preserve"> الموظفين</w:t>
      </w:r>
      <w:r w:rsidRPr="00AE04E4">
        <w:rPr>
          <w:rtl/>
        </w:rPr>
        <w:t xml:space="preserve"> </w:t>
      </w:r>
      <w:r w:rsidR="001937F3">
        <w:rPr>
          <w:rFonts w:hint="cs"/>
          <w:rtl/>
        </w:rPr>
        <w:t>عبر المكاتب</w:t>
      </w:r>
      <w:r w:rsidRPr="00AE04E4">
        <w:rPr>
          <w:rtl/>
        </w:rPr>
        <w:t>. وكان هذا التعاون أساسياً لإحراز التقدم</w:t>
      </w:r>
      <w:r w:rsidR="001937F3">
        <w:rPr>
          <w:rFonts w:hint="cs"/>
          <w:rtl/>
        </w:rPr>
        <w:t xml:space="preserve"> وسيتواصل</w:t>
      </w:r>
      <w:r w:rsidR="001937F3" w:rsidRPr="001937F3">
        <w:rPr>
          <w:rtl/>
        </w:rPr>
        <w:t xml:space="preserve"> هذا التعاون</w:t>
      </w:r>
      <w:r w:rsidRPr="00AE04E4">
        <w:rPr>
          <w:rtl/>
        </w:rPr>
        <w:t>.</w:t>
      </w:r>
    </w:p>
    <w:p w14:paraId="08E8ED35" w14:textId="5A295FEA" w:rsidR="00AE04E4" w:rsidRPr="00AE04E4" w:rsidRDefault="00AE04E4" w:rsidP="001937F3">
      <w:pPr>
        <w:rPr>
          <w:rtl/>
        </w:rPr>
      </w:pPr>
      <w:r>
        <w:t>3.4</w:t>
      </w:r>
      <w:r w:rsidRPr="00AE04E4">
        <w:rPr>
          <w:rtl/>
        </w:rPr>
        <w:tab/>
        <w:t xml:space="preserve">ورحب أعضاء المجلس بالتقرير وشددوا على أهمية مشاركة الموظفين في العملية. </w:t>
      </w:r>
      <w:r w:rsidR="001937F3">
        <w:rPr>
          <w:rFonts w:hint="cs"/>
          <w:rtl/>
        </w:rPr>
        <w:t xml:space="preserve">وأشادوا بالأمانة العامة بشأن </w:t>
      </w:r>
      <w:r w:rsidR="001937F3" w:rsidRPr="001937F3">
        <w:rPr>
          <w:rtl/>
        </w:rPr>
        <w:t xml:space="preserve">مبادرات التحول واسعة النطاق </w:t>
      </w:r>
      <w:r w:rsidR="001937F3">
        <w:rPr>
          <w:rFonts w:hint="cs"/>
          <w:rtl/>
        </w:rPr>
        <w:t>الجاري</w:t>
      </w:r>
      <w:r w:rsidR="001937F3" w:rsidRPr="001937F3">
        <w:rPr>
          <w:rtl/>
        </w:rPr>
        <w:t xml:space="preserve"> تنفيذها في جميع </w:t>
      </w:r>
      <w:r w:rsidR="001937F3">
        <w:rPr>
          <w:rFonts w:hint="cs"/>
          <w:rtl/>
        </w:rPr>
        <w:t>أقسام</w:t>
      </w:r>
      <w:r w:rsidR="001937F3" w:rsidRPr="001937F3">
        <w:rPr>
          <w:rtl/>
        </w:rPr>
        <w:t xml:space="preserve"> المنظمة</w:t>
      </w:r>
      <w:r w:rsidR="001937F3">
        <w:rPr>
          <w:rFonts w:hint="cs"/>
          <w:rtl/>
        </w:rPr>
        <w:t xml:space="preserve">. </w:t>
      </w:r>
      <w:r w:rsidRPr="00AE04E4">
        <w:rPr>
          <w:rtl/>
        </w:rPr>
        <w:t xml:space="preserve">وقالوا إن التحول بالغ الأهمية لضمان القدرة التنافسية للاتحاد وتميزه التشغيلي، ولكنه سيكون </w:t>
      </w:r>
      <w:r w:rsidR="001937F3">
        <w:rPr>
          <w:rFonts w:hint="cs"/>
          <w:rtl/>
        </w:rPr>
        <w:t>تدريجياً</w:t>
      </w:r>
      <w:r w:rsidRPr="00AE04E4">
        <w:rPr>
          <w:rtl/>
        </w:rPr>
        <w:t xml:space="preserve"> ومتطورا</w:t>
      </w:r>
      <w:r w:rsidR="00340DB9">
        <w:rPr>
          <w:rFonts w:hint="cs"/>
          <w:rtl/>
        </w:rPr>
        <w:t>ً</w:t>
      </w:r>
      <w:r w:rsidRPr="00AE04E4">
        <w:rPr>
          <w:rtl/>
        </w:rPr>
        <w:t xml:space="preserve"> باستمرار. وطلبوا معلومات أكثر تفصيلا</w:t>
      </w:r>
      <w:r w:rsidR="00340DB9">
        <w:rPr>
          <w:rFonts w:hint="cs"/>
          <w:rtl/>
        </w:rPr>
        <w:t>ً</w:t>
      </w:r>
      <w:r w:rsidRPr="00AE04E4">
        <w:rPr>
          <w:rtl/>
        </w:rPr>
        <w:t xml:space="preserve"> عن المبادرات الجارية والناشئة </w:t>
      </w:r>
      <w:r w:rsidR="001937F3">
        <w:rPr>
          <w:rFonts w:hint="cs"/>
          <w:rtl/>
        </w:rPr>
        <w:t>لضمان</w:t>
      </w:r>
      <w:r w:rsidR="008F1A44">
        <w:rPr>
          <w:rFonts w:hint="cs"/>
          <w:rtl/>
        </w:rPr>
        <w:t xml:space="preserve"> تواؤمها</w:t>
      </w:r>
      <w:r w:rsidRPr="00AE04E4">
        <w:rPr>
          <w:rtl/>
        </w:rPr>
        <w:t xml:space="preserve"> مع مقررات المجلس</w:t>
      </w:r>
      <w:r w:rsidR="008F1A44">
        <w:rPr>
          <w:rFonts w:hint="cs"/>
          <w:rtl/>
        </w:rPr>
        <w:t xml:space="preserve"> الصادرة في الآونة الأخيرة</w:t>
      </w:r>
      <w:r w:rsidR="00A57213">
        <w:rPr>
          <w:rFonts w:hint="cs"/>
          <w:rtl/>
        </w:rPr>
        <w:t>.</w:t>
      </w:r>
      <w:r w:rsidRPr="00AE04E4">
        <w:rPr>
          <w:rtl/>
        </w:rPr>
        <w:t xml:space="preserve"> وكانت المعلومات </w:t>
      </w:r>
      <w:r w:rsidR="008F1A44">
        <w:rPr>
          <w:rFonts w:hint="cs"/>
          <w:rtl/>
        </w:rPr>
        <w:t>المقدَّمة</w:t>
      </w:r>
      <w:r w:rsidRPr="00AE04E4">
        <w:rPr>
          <w:rtl/>
        </w:rPr>
        <w:t xml:space="preserve"> ب</w:t>
      </w:r>
      <w:r w:rsidR="008F1A44">
        <w:rPr>
          <w:rFonts w:hint="cs"/>
          <w:rtl/>
        </w:rPr>
        <w:t xml:space="preserve">شأن </w:t>
      </w:r>
      <w:r w:rsidRPr="00AE04E4">
        <w:rPr>
          <w:rtl/>
        </w:rPr>
        <w:t xml:space="preserve">تحديد الأولويات والآثار المالية ذات أهمية خاصة. ومن شأن استخدام النسب المئوية للإنجاز أن يحسن الرؤية وأن </w:t>
      </w:r>
      <w:r w:rsidRPr="00AE04E4">
        <w:rPr>
          <w:rtl/>
        </w:rPr>
        <w:lastRenderedPageBreak/>
        <w:t xml:space="preserve">يسهل التتبع والقياس؛ ومن شأن تقييم المبادرات المنجزة أن يساعد على تقييم الفعالية على المدى الطويل وتحديد مجالات التحسين. ولا تزال هناك حاجة لخارطة طريق شاملة وخطة عمل وجداول زمنية شاملة. وطلب أحد أعضاء المجلس أن يبين التقرير بوضوح ربط المبادرات بتوصيات المراجع الخارجي للحسابات. واقترح عضو آخر في المجلس أن تعطى الأولوية، في ظلّ الوضع المالي الراهن، للمبادرات التي تحقق فوائد سريعة وملموسة. وتنبغي أيضا مراعاة عدد الاجتماعات </w:t>
      </w:r>
      <w:proofErr w:type="gramStart"/>
      <w:r w:rsidRPr="00AE04E4">
        <w:rPr>
          <w:rtl/>
        </w:rPr>
        <w:t>السنوية</w:t>
      </w:r>
      <w:proofErr w:type="gramEnd"/>
      <w:r w:rsidRPr="00AE04E4">
        <w:rPr>
          <w:rtl/>
        </w:rPr>
        <w:t xml:space="preserve"> ومدتها وموقعها ونطاقها.</w:t>
      </w:r>
    </w:p>
    <w:p w14:paraId="6AE0BC61" w14:textId="31D76F0A" w:rsidR="00AE04E4" w:rsidRPr="00AE04E4" w:rsidRDefault="00AE04E4" w:rsidP="00AE04E4">
      <w:pPr>
        <w:rPr>
          <w:rtl/>
        </w:rPr>
      </w:pPr>
      <w:r>
        <w:t>4.4</w:t>
      </w:r>
      <w:r w:rsidRPr="00AE04E4">
        <w:rPr>
          <w:rtl/>
        </w:rPr>
        <w:tab/>
        <w:t xml:space="preserve">وأكد أعضاء المجلس ومراقب واحد من جديد الحاجة إلى موقع إلكتروني </w:t>
      </w:r>
      <w:r w:rsidR="00A57213">
        <w:rPr>
          <w:rFonts w:hint="cs"/>
          <w:rtl/>
        </w:rPr>
        <w:t xml:space="preserve">للاتحاد </w:t>
      </w:r>
      <w:r w:rsidR="00A57213">
        <w:rPr>
          <w:rFonts w:hint="cs"/>
          <w:rtl/>
          <w:lang w:bidi="ar-EG"/>
        </w:rPr>
        <w:t xml:space="preserve">يكون </w:t>
      </w:r>
      <w:r w:rsidRPr="00AE04E4">
        <w:rPr>
          <w:rtl/>
        </w:rPr>
        <w:t>حديث</w:t>
      </w:r>
      <w:r w:rsidR="00A57213">
        <w:rPr>
          <w:rFonts w:hint="cs"/>
          <w:rtl/>
        </w:rPr>
        <w:t>اً</w:t>
      </w:r>
      <w:r w:rsidRPr="00AE04E4">
        <w:rPr>
          <w:rtl/>
        </w:rPr>
        <w:t xml:space="preserve"> وآمن</w:t>
      </w:r>
      <w:r w:rsidR="00A57213">
        <w:rPr>
          <w:rFonts w:hint="cs"/>
          <w:rtl/>
        </w:rPr>
        <w:t>اً</w:t>
      </w:r>
      <w:r w:rsidRPr="00AE04E4">
        <w:rPr>
          <w:rtl/>
        </w:rPr>
        <w:t xml:space="preserve"> وجيد التنظيم وسهل الاستعمال ومتعدد اللغات. وقال أحد أعضاء المجلس إن الصيغة الحالية المتقادمة تعيق النفاذ إلى المعلومات. وطلب عدد من أعضاء المجلس توضيحا</w:t>
      </w:r>
      <w:r w:rsidR="00340DB9">
        <w:rPr>
          <w:rFonts w:hint="cs"/>
          <w:rtl/>
        </w:rPr>
        <w:t>ً</w:t>
      </w:r>
      <w:r w:rsidRPr="00AE04E4">
        <w:rPr>
          <w:rtl/>
        </w:rPr>
        <w:t xml:space="preserve"> بشأن تمويل المشاريع، حيث يبدو تمويل التنفيذ الكامل غير مؤكد. واقترح أحد المراقبين تطوير تطبيق خاص بالأحداث، كما سبق </w:t>
      </w:r>
      <w:r w:rsidR="00D452B0" w:rsidRPr="00AE04E4">
        <w:rPr>
          <w:rFonts w:hint="cs"/>
          <w:rtl/>
        </w:rPr>
        <w:t>أن</w:t>
      </w:r>
      <w:r w:rsidRPr="00AE04E4">
        <w:rPr>
          <w:rtl/>
        </w:rPr>
        <w:t xml:space="preserve"> فعلت منظمات أخرى تتخذ من جنيف مقراً لها.</w:t>
      </w:r>
    </w:p>
    <w:p w14:paraId="4AA7C2EF" w14:textId="46509E95" w:rsidR="00AE04E4" w:rsidRPr="00AE04E4" w:rsidRDefault="00AE04E4" w:rsidP="00AE04E4">
      <w:pPr>
        <w:rPr>
          <w:rtl/>
        </w:rPr>
      </w:pPr>
      <w:r>
        <w:t>5.4</w:t>
      </w:r>
      <w:r w:rsidRPr="00AE04E4">
        <w:rPr>
          <w:rtl/>
        </w:rPr>
        <w:tab/>
        <w:t>وشدد عدد من أعضاء المجلس على أهمية تأمين تمويل الميزانية العادية للتحول</w:t>
      </w:r>
      <w:r w:rsidR="008F1A44">
        <w:rPr>
          <w:rFonts w:hint="cs"/>
          <w:rtl/>
        </w:rPr>
        <w:t xml:space="preserve"> بدلاً من تمويله من الوفورات المحقَقة</w:t>
      </w:r>
      <w:r w:rsidRPr="00AE04E4">
        <w:rPr>
          <w:rtl/>
        </w:rPr>
        <w:t>. ونظرا</w:t>
      </w:r>
      <w:r w:rsidR="00340DB9">
        <w:rPr>
          <w:rFonts w:hint="cs"/>
          <w:rtl/>
        </w:rPr>
        <w:t>ً</w:t>
      </w:r>
      <w:r w:rsidRPr="00AE04E4">
        <w:rPr>
          <w:rtl/>
        </w:rPr>
        <w:t xml:space="preserve"> لأهمية العملية وقدرتها على تحقيق وفورات، فإنها تحتاج إلى تمويل يمكن التنبؤ به. ولاحظ أحد أعضاء المجلس أن زيادة الاستثمارات قصيرة الأجل يمكن أن تؤدي إلى خفض التكاليف طويلة الأجل. وأيد عدد من أعضاء المجلس أيضا</w:t>
      </w:r>
      <w:r w:rsidR="00340DB9">
        <w:rPr>
          <w:rFonts w:hint="cs"/>
          <w:rtl/>
        </w:rPr>
        <w:t>ً</w:t>
      </w:r>
      <w:r w:rsidRPr="00AE04E4">
        <w:rPr>
          <w:rtl/>
        </w:rPr>
        <w:t xml:space="preserve"> تمويل مشروع الموقع الإلكتروني من الميزانية العادية.</w:t>
      </w:r>
    </w:p>
    <w:p w14:paraId="20EE21AB" w14:textId="30CB9911" w:rsidR="00AE04E4" w:rsidRPr="00AE04E4" w:rsidRDefault="00AE04E4" w:rsidP="00AE04E4">
      <w:pPr>
        <w:rPr>
          <w:rtl/>
        </w:rPr>
      </w:pPr>
      <w:r>
        <w:t>6.4</w:t>
      </w:r>
      <w:r w:rsidRPr="00AE04E4">
        <w:rPr>
          <w:rtl/>
        </w:rPr>
        <w:tab/>
        <w:t>وردا</w:t>
      </w:r>
      <w:r w:rsidR="00340DB9">
        <w:rPr>
          <w:rFonts w:hint="cs"/>
          <w:rtl/>
        </w:rPr>
        <w:t>ً</w:t>
      </w:r>
      <w:r w:rsidRPr="00AE04E4">
        <w:rPr>
          <w:rtl/>
        </w:rPr>
        <w:t xml:space="preserve"> على الأسئلة والتعليقات، ذكَّرت رئيسة فريق التحول بأن ركيزة التحول الخامسة قد أضيفت بعد اقتراح قُدم في اجتماع </w:t>
      </w:r>
      <w:r w:rsidRPr="00AE04E4">
        <w:rPr>
          <w:cs/>
        </w:rPr>
        <w:t>‎</w:t>
      </w:r>
      <w:r w:rsidRPr="00AE04E4">
        <w:rPr>
          <w:rtl/>
        </w:rPr>
        <w:t xml:space="preserve"> فريق العمل التابع للمجلس والمعني بالموارد المالية والبشرية (</w:t>
      </w:r>
      <w:r w:rsidRPr="00AE04E4">
        <w:t>CWG-FHR</w:t>
      </w:r>
      <w:r w:rsidRPr="00AE04E4">
        <w:rPr>
          <w:rtl/>
        </w:rPr>
        <w:t xml:space="preserve">) ‏في فبراير </w:t>
      </w:r>
      <w:r w:rsidRPr="00AE04E4">
        <w:rPr>
          <w:cs/>
        </w:rPr>
        <w:t>‎</w:t>
      </w:r>
      <w:r w:rsidRPr="00AE04E4">
        <w:t>2025</w:t>
      </w:r>
      <w:r w:rsidRPr="00AE04E4">
        <w:rPr>
          <w:rtl/>
        </w:rPr>
        <w:t xml:space="preserve"> ‏لتجميع المبادرات الرامية إلى تحسين المشاركة. واتفقت بشأن أن التحول يتطلب رؤية واضحة وتحديداً فعالاً للأولويات</w:t>
      </w:r>
      <w:r w:rsidR="008A5289">
        <w:rPr>
          <w:rFonts w:hint="cs"/>
          <w:rtl/>
        </w:rPr>
        <w:t>.</w:t>
      </w:r>
      <w:r w:rsidRPr="00AE04E4">
        <w:rPr>
          <w:rtl/>
        </w:rPr>
        <w:t xml:space="preserve"> </w:t>
      </w:r>
      <w:r w:rsidR="00A57213">
        <w:rPr>
          <w:rFonts w:hint="cs"/>
          <w:rtl/>
        </w:rPr>
        <w:t>و</w:t>
      </w:r>
      <w:r w:rsidR="008F1A44" w:rsidRPr="008F1A44">
        <w:rPr>
          <w:rtl/>
        </w:rPr>
        <w:t>ذكرت أن</w:t>
      </w:r>
      <w:r w:rsidRPr="00AE04E4">
        <w:rPr>
          <w:rtl/>
        </w:rPr>
        <w:t xml:space="preserve"> المبادرات </w:t>
      </w:r>
      <w:r w:rsidR="008F1A44" w:rsidRPr="008F1A44">
        <w:rPr>
          <w:rtl/>
        </w:rPr>
        <w:t>تؤدي إلى نتائج</w:t>
      </w:r>
      <w:r w:rsidR="008F1A44">
        <w:rPr>
          <w:rFonts w:hint="cs"/>
          <w:rtl/>
        </w:rPr>
        <w:t xml:space="preserve"> </w:t>
      </w:r>
      <w:r w:rsidRPr="00AE04E4">
        <w:rPr>
          <w:rtl/>
        </w:rPr>
        <w:t xml:space="preserve">ملموسة </w:t>
      </w:r>
      <w:r w:rsidR="008F1A44" w:rsidRPr="008F1A44">
        <w:rPr>
          <w:rtl/>
        </w:rPr>
        <w:t>وغير ملموسة، مثل التحولات في العقليات والثقافة التنظيمية.</w:t>
      </w:r>
      <w:r w:rsidR="008F1A44">
        <w:rPr>
          <w:rFonts w:hint="cs"/>
          <w:rtl/>
        </w:rPr>
        <w:t xml:space="preserve"> </w:t>
      </w:r>
      <w:r w:rsidRPr="00AE04E4">
        <w:rPr>
          <w:rtl/>
        </w:rPr>
        <w:t>وق</w:t>
      </w:r>
      <w:r w:rsidR="008F1A44">
        <w:rPr>
          <w:rFonts w:hint="cs"/>
          <w:rtl/>
        </w:rPr>
        <w:t>ُ</w:t>
      </w:r>
      <w:r w:rsidRPr="00AE04E4">
        <w:rPr>
          <w:rtl/>
        </w:rPr>
        <w:t>يِّمت المبادرات واختيرت استنادا</w:t>
      </w:r>
      <w:r w:rsidR="00340DB9">
        <w:rPr>
          <w:rFonts w:hint="cs"/>
          <w:rtl/>
        </w:rPr>
        <w:t>ً</w:t>
      </w:r>
      <w:r w:rsidRPr="00AE04E4">
        <w:rPr>
          <w:rtl/>
        </w:rPr>
        <w:t xml:space="preserve"> إلى جاهزية الأعمال والاحتياجات من الموارد والتأثير المتوقع، مع تتبع التقدم المحرز طوال عمر المشروع. ولم تتغير متطلبات التمويل لمشروع الموقع الإلكتروني. ومن الميزانية المعتمدة البالغة </w:t>
      </w:r>
      <w:r w:rsidRPr="00AE04E4">
        <w:rPr>
          <w:cs/>
        </w:rPr>
        <w:t>‎</w:t>
      </w:r>
      <w:r w:rsidRPr="00AE04E4">
        <w:t>600 000</w:t>
      </w:r>
      <w:r w:rsidRPr="00AE04E4">
        <w:rPr>
          <w:rtl/>
        </w:rPr>
        <w:t xml:space="preserve"> ‏فرنك سويسري، خصص بالفعل </w:t>
      </w:r>
      <w:r w:rsidRPr="00AE04E4">
        <w:rPr>
          <w:cs/>
        </w:rPr>
        <w:t>‎</w:t>
      </w:r>
      <w:r w:rsidRPr="00AE04E4">
        <w:t>350 000</w:t>
      </w:r>
      <w:r w:rsidRPr="00AE04E4">
        <w:rPr>
          <w:rtl/>
        </w:rPr>
        <w:t xml:space="preserve"> ‏فرنك سويسري، وطُلب المبلغ المتبقي البالغ </w:t>
      </w:r>
      <w:r w:rsidRPr="00AE04E4">
        <w:rPr>
          <w:cs/>
        </w:rPr>
        <w:t>‎</w:t>
      </w:r>
      <w:r w:rsidRPr="00AE04E4">
        <w:t>250 000</w:t>
      </w:r>
      <w:r w:rsidRPr="00AE04E4">
        <w:rPr>
          <w:rtl/>
        </w:rPr>
        <w:t xml:space="preserve"> ‏فرنك سويسري من الوفورات </w:t>
      </w:r>
      <w:r w:rsidR="008F1A44">
        <w:rPr>
          <w:rFonts w:hint="cs"/>
          <w:rtl/>
        </w:rPr>
        <w:t xml:space="preserve">المحققَة </w:t>
      </w:r>
      <w:r w:rsidRPr="00AE04E4">
        <w:rPr>
          <w:rtl/>
        </w:rPr>
        <w:t xml:space="preserve">عام </w:t>
      </w:r>
      <w:r w:rsidRPr="00AE04E4">
        <w:rPr>
          <w:cs/>
        </w:rPr>
        <w:t>‎</w:t>
      </w:r>
      <w:r w:rsidRPr="00AE04E4">
        <w:t>2024</w:t>
      </w:r>
      <w:r w:rsidRPr="00AE04E4">
        <w:rPr>
          <w:rtl/>
        </w:rPr>
        <w:t>. ويُتوقع إطلاق الموقع الإلكتروني في</w:t>
      </w:r>
      <w:r w:rsidR="00340DB9">
        <w:rPr>
          <w:rFonts w:hint="cs"/>
          <w:rtl/>
        </w:rPr>
        <w:t> </w:t>
      </w:r>
      <w:r w:rsidRPr="00AE04E4">
        <w:rPr>
          <w:rtl/>
        </w:rPr>
        <w:t xml:space="preserve">عام </w:t>
      </w:r>
      <w:r w:rsidRPr="00AE04E4">
        <w:rPr>
          <w:cs/>
        </w:rPr>
        <w:t>‎</w:t>
      </w:r>
      <w:r w:rsidRPr="00AE04E4">
        <w:t>2026</w:t>
      </w:r>
      <w:r w:rsidRPr="00AE04E4">
        <w:rPr>
          <w:rtl/>
        </w:rPr>
        <w:t>. ‏‏وتعد مشاركة الموظفين أساسية حقاً للتحول، الذي يمتد إلى ما هو أبعد من الأدوات والأنظمة ويشمل الثقافة المؤسسية. وقد بدأ بالفعل تحسين المهارات، بما يشمل تطبيقات الذكاء الاصطناعي وبناء القدرات القيادية. ومن شأن الذكاء الاصطناعي أن يدعم الموظفين لا أن يحل محلهم. ويجري التخطيط لعقد جلس</w:t>
      </w:r>
      <w:r w:rsidR="008F1A44">
        <w:rPr>
          <w:rFonts w:hint="cs"/>
          <w:rtl/>
        </w:rPr>
        <w:t>ة</w:t>
      </w:r>
      <w:r w:rsidRPr="00AE04E4">
        <w:rPr>
          <w:rtl/>
        </w:rPr>
        <w:t xml:space="preserve"> إعلامية للدول الأعضاء، ويمكن تقديم محتوى محدد عند الطلب</w:t>
      </w:r>
      <w:r w:rsidR="00D717B2">
        <w:rPr>
          <w:rFonts w:hint="cs"/>
          <w:rtl/>
        </w:rPr>
        <w:t>.</w:t>
      </w:r>
    </w:p>
    <w:p w14:paraId="1CDAE5EE" w14:textId="5AD5EF31" w:rsidR="00D452B0" w:rsidRDefault="00AE04E4" w:rsidP="00AE04E4">
      <w:pPr>
        <w:rPr>
          <w:rtl/>
        </w:rPr>
      </w:pPr>
      <w:r>
        <w:t>7.4</w:t>
      </w:r>
      <w:r>
        <w:tab/>
      </w:r>
      <w:r w:rsidRPr="00AE04E4">
        <w:rPr>
          <w:rtl/>
        </w:rPr>
        <w:t>‏قال رئيس الشؤون الإدارية والمالية: في غياب ميزانية كبيرة ومسبقة للتحويل، اعتُمد نهج لإدارة الحافظة. وينطوي ذلك على تحديد دقيق للأولويات على أساس الاستعجال والموارد الداخلية المتاحة وتكاليف التنفيذ الكاملة. وعلى الرغم من أن هذا النهج لا يتماشى بسلاسة مع ميزانية فترة السنتين، فإنه يستخدم الوفورات بفعالية. وعملاً بمدخلات أعضاء المجلس، ستستكشف الأمانة كيفية تمويل عملية التحول من الميزانية العادية، على الرغم من أن ذلك سيتطلب مواصلة تحديد الأولويات والتغييرات في ميزانية فترة السنتين. ويمكن للأمانة أن تشارك مع الدول الأعضاء بشأن تحديد الأولويات من خلال فريق العمل التابع للمجلس والمعني بالموارد المالية والبشرية (</w:t>
      </w:r>
      <w:r w:rsidRPr="00AE04E4">
        <w:t>CWG-FHR</w:t>
      </w:r>
      <w:r w:rsidRPr="00AE04E4">
        <w:rPr>
          <w:rtl/>
        </w:rPr>
        <w:t>)‏؛ وفي</w:t>
      </w:r>
      <w:r w:rsidR="00D717B2">
        <w:rPr>
          <w:rFonts w:hint="cs"/>
          <w:rtl/>
        </w:rPr>
        <w:t> </w:t>
      </w:r>
      <w:r w:rsidRPr="00AE04E4">
        <w:rPr>
          <w:rtl/>
        </w:rPr>
        <w:t xml:space="preserve">غضون ذلك، يمكن استخدام الوفورات في المبادرات الرئيسية عام </w:t>
      </w:r>
      <w:r w:rsidRPr="00AE04E4">
        <w:rPr>
          <w:cs/>
        </w:rPr>
        <w:t>‎</w:t>
      </w:r>
      <w:r w:rsidRPr="00AE04E4">
        <w:t>2025</w:t>
      </w:r>
      <w:r w:rsidRPr="00AE04E4">
        <w:rPr>
          <w:rtl/>
        </w:rPr>
        <w:t>.</w:t>
      </w:r>
    </w:p>
    <w:p w14:paraId="73B64CB9" w14:textId="4FEEDC26" w:rsidR="00AE04E4" w:rsidRPr="00AE04E4" w:rsidRDefault="00AE04E4" w:rsidP="00AE04E4">
      <w:pPr>
        <w:rPr>
          <w:rtl/>
        </w:rPr>
      </w:pPr>
      <w:r>
        <w:t>8.4</w:t>
      </w:r>
      <w:r>
        <w:tab/>
      </w:r>
      <w:r w:rsidRPr="00AE04E4">
        <w:rPr>
          <w:rtl/>
        </w:rPr>
        <w:t>‏</w:t>
      </w:r>
      <w:r w:rsidR="00BC00CB" w:rsidRPr="00BC00CB">
        <w:rPr>
          <w:rFonts w:hint="cs"/>
          <w:b/>
          <w:bCs/>
          <w:rtl/>
        </w:rPr>
        <w:t>وأحاط</w:t>
      </w:r>
      <w:r w:rsidRPr="00AE04E4">
        <w:rPr>
          <w:rtl/>
        </w:rPr>
        <w:t xml:space="preserve"> المجلس </w:t>
      </w:r>
      <w:r w:rsidRPr="008658C5">
        <w:rPr>
          <w:b/>
          <w:bCs/>
          <w:rtl/>
        </w:rPr>
        <w:t>علم</w:t>
      </w:r>
      <w:r w:rsidR="008658C5">
        <w:rPr>
          <w:rFonts w:hint="cs"/>
          <w:b/>
          <w:bCs/>
          <w:rtl/>
        </w:rPr>
        <w:t xml:space="preserve">اً </w:t>
      </w:r>
      <w:r w:rsidRPr="00AE04E4">
        <w:rPr>
          <w:rtl/>
        </w:rPr>
        <w:t xml:space="preserve">بالتقرير الوارد في الوثيقة </w:t>
      </w:r>
      <w:r w:rsidRPr="00AE04E4">
        <w:rPr>
          <w:cs/>
        </w:rPr>
        <w:t>‎</w:t>
      </w:r>
      <w:r w:rsidRPr="00AE04E4">
        <w:t>C25/55</w:t>
      </w:r>
      <w:r w:rsidRPr="00AE04E4">
        <w:rPr>
          <w:rtl/>
        </w:rPr>
        <w:t>.</w:t>
      </w:r>
    </w:p>
    <w:p w14:paraId="33AA3AD0" w14:textId="2878ABBE" w:rsidR="00AE04E4" w:rsidRPr="001675D0" w:rsidRDefault="00AE04E4" w:rsidP="00AE04E4">
      <w:pPr>
        <w:pStyle w:val="Heading1"/>
        <w:rPr>
          <w:spacing w:val="-4"/>
          <w:rtl/>
        </w:rPr>
      </w:pPr>
      <w:r w:rsidRPr="001675D0">
        <w:rPr>
          <w:spacing w:val="-4"/>
          <w:rtl/>
        </w:rPr>
        <w:t>5</w:t>
      </w:r>
      <w:r w:rsidR="00D452B0">
        <w:rPr>
          <w:spacing w:val="-4"/>
          <w:rtl/>
        </w:rPr>
        <w:tab/>
      </w:r>
      <w:r w:rsidR="001675D0" w:rsidRPr="001675D0">
        <w:rPr>
          <w:spacing w:val="-4"/>
          <w:rtl/>
        </w:rPr>
        <w:t xml:space="preserve">تدابير رفع الكفاءة التي نُفذت في الفترة </w:t>
      </w:r>
      <w:r w:rsidR="001675D0" w:rsidRPr="001675D0">
        <w:rPr>
          <w:spacing w:val="-4"/>
        </w:rPr>
        <w:t>2024-2023</w:t>
      </w:r>
      <w:r w:rsidR="001675D0" w:rsidRPr="001675D0">
        <w:rPr>
          <w:spacing w:val="-4"/>
          <w:rtl/>
        </w:rPr>
        <w:t xml:space="preserve"> والخطط المستقبلية </w:t>
      </w:r>
      <w:r w:rsidRPr="001675D0">
        <w:rPr>
          <w:spacing w:val="-4"/>
          <w:rtl/>
        </w:rPr>
        <w:t xml:space="preserve">(الوثيقة </w:t>
      </w:r>
      <w:hyperlink r:id="rId20" w:history="1">
        <w:r w:rsidRPr="008658C5">
          <w:rPr>
            <w:rStyle w:val="Hyperlink"/>
            <w:noProof w:val="0"/>
            <w:spacing w:val="-4"/>
            <w:cs/>
            <w:lang w:val="en-US" w:eastAsia="zh-CN"/>
          </w:rPr>
          <w:t>‎</w:t>
        </w:r>
        <w:r w:rsidRPr="008658C5">
          <w:rPr>
            <w:rStyle w:val="Hyperlink"/>
            <w:noProof w:val="0"/>
            <w:spacing w:val="-4"/>
            <w:lang w:val="en-US" w:eastAsia="zh-CN"/>
          </w:rPr>
          <w:t>C25/62</w:t>
        </w:r>
      </w:hyperlink>
      <w:r w:rsidRPr="001675D0">
        <w:rPr>
          <w:spacing w:val="-4"/>
          <w:rtl/>
        </w:rPr>
        <w:t>)</w:t>
      </w:r>
    </w:p>
    <w:p w14:paraId="249EFCBB" w14:textId="527D44F0" w:rsidR="00AE04E4" w:rsidRPr="00AE04E4" w:rsidRDefault="00AE04E4" w:rsidP="00AE04E4">
      <w:pPr>
        <w:rPr>
          <w:rtl/>
        </w:rPr>
      </w:pPr>
      <w:r>
        <w:t>1.5</w:t>
      </w:r>
      <w:r>
        <w:tab/>
      </w:r>
      <w:r w:rsidRPr="00AE04E4">
        <w:rPr>
          <w:rtl/>
        </w:rPr>
        <w:t xml:space="preserve">‏قدم رئيس دائرة الشؤون المالية والإدارية الوثيقة </w:t>
      </w:r>
      <w:r w:rsidRPr="00AE04E4">
        <w:rPr>
          <w:cs/>
        </w:rPr>
        <w:t>‎</w:t>
      </w:r>
      <w:r w:rsidRPr="00AE04E4">
        <w:t>C25/62</w:t>
      </w:r>
      <w:r w:rsidRPr="00AE04E4">
        <w:rPr>
          <w:rtl/>
        </w:rPr>
        <w:t xml:space="preserve">‏، التي تحدد تدابير الكفاءة المتخذة في عامي </w:t>
      </w:r>
      <w:r w:rsidRPr="00AE04E4">
        <w:rPr>
          <w:cs/>
        </w:rPr>
        <w:t>‎</w:t>
      </w:r>
      <w:r w:rsidRPr="00AE04E4">
        <w:t>2023</w:t>
      </w:r>
      <w:r w:rsidRPr="00AE04E4">
        <w:rPr>
          <w:rtl/>
        </w:rPr>
        <w:t xml:space="preserve"> ‏و</w:t>
      </w:r>
      <w:r w:rsidRPr="00AE04E4">
        <w:rPr>
          <w:cs/>
        </w:rPr>
        <w:t>‎</w:t>
      </w:r>
      <w:r w:rsidRPr="00AE04E4">
        <w:t>2024</w:t>
      </w:r>
      <w:r w:rsidRPr="00AE04E4">
        <w:rPr>
          <w:rtl/>
        </w:rPr>
        <w:t xml:space="preserve"> ‏والخطط المستقبلية للحفاظ على فعالية الاتحاد في ظل ضيق الموارد. وقد دفع هذا الهدف عجلة الإصلاحات في</w:t>
      </w:r>
      <w:r w:rsidR="008658C5">
        <w:rPr>
          <w:rFonts w:hint="cs"/>
          <w:rtl/>
        </w:rPr>
        <w:t> </w:t>
      </w:r>
      <w:r w:rsidRPr="00AE04E4">
        <w:rPr>
          <w:rtl/>
        </w:rPr>
        <w:t>جميع أنحاء الاتحاد، وخاصة</w:t>
      </w:r>
      <w:r w:rsidR="008658C5">
        <w:rPr>
          <w:rFonts w:hint="cs"/>
          <w:rtl/>
        </w:rPr>
        <w:t>ً</w:t>
      </w:r>
      <w:r w:rsidRPr="00AE04E4">
        <w:rPr>
          <w:rtl/>
        </w:rPr>
        <w:t xml:space="preserve"> مبادرة التحول، التي عززت الكفاءة والمساءلة. وقد وضعت مبادرات الأمم المتحدة في</w:t>
      </w:r>
      <w:r w:rsidR="008658C5">
        <w:rPr>
          <w:rFonts w:hint="cs"/>
          <w:rtl/>
        </w:rPr>
        <w:t> </w:t>
      </w:r>
      <w:r w:rsidRPr="00AE04E4">
        <w:rPr>
          <w:rtl/>
        </w:rPr>
        <w:t>الآونة الأخيرة الإصلاحات في سياق عالمي أوسع. ويفصِّل التقرير الإجراءات المتخذة لتحقيق الصيغة الهيكلية والعملياتية المثلى، والتحول المالي، وتحديث تكنولوجيا المعلومات وإدارة الموارد البشرية، وهي تهدف بمجملها إلى تزويد الاتحاد بالأدوات المناسبة لتلبية متطلبات وظائفه ومتطلبات المستقبل. وأظهر الرأي غير المتحفظ الذي أصدره المراجع الخارجي للحسابات أن هذه التدابير تؤتي ثمارها بالفعل</w:t>
      </w:r>
      <w:r w:rsidR="00D452B0">
        <w:rPr>
          <w:rFonts w:hint="cs"/>
          <w:rtl/>
        </w:rPr>
        <w:t>.</w:t>
      </w:r>
    </w:p>
    <w:p w14:paraId="02524A22" w14:textId="5DB264A2" w:rsidR="00AE04E4" w:rsidRPr="00AE04E4" w:rsidRDefault="00AE04E4" w:rsidP="00AE04E4">
      <w:pPr>
        <w:rPr>
          <w:rtl/>
        </w:rPr>
      </w:pPr>
      <w:r>
        <w:t>2.5</w:t>
      </w:r>
      <w:r>
        <w:tab/>
      </w:r>
      <w:r w:rsidRPr="00AE04E4">
        <w:rPr>
          <w:rtl/>
        </w:rPr>
        <w:t>‏واقترح الرئيس إحالة مناقشة هذه الوثيقة إلى لجنة التنظيم والإدارة</w:t>
      </w:r>
      <w:r w:rsidR="00D452B0">
        <w:rPr>
          <w:rFonts w:hint="cs"/>
          <w:rtl/>
        </w:rPr>
        <w:t>.</w:t>
      </w:r>
    </w:p>
    <w:p w14:paraId="29F2B6AC" w14:textId="5B7E88ED" w:rsidR="00AE04E4" w:rsidRPr="00AE04E4" w:rsidRDefault="00AE04E4" w:rsidP="00AE04E4">
      <w:pPr>
        <w:rPr>
          <w:rtl/>
        </w:rPr>
      </w:pPr>
      <w:r>
        <w:t>3.5</w:t>
      </w:r>
      <w:r>
        <w:tab/>
      </w:r>
      <w:r w:rsidRPr="008658C5">
        <w:rPr>
          <w:b/>
          <w:bCs/>
          <w:rtl/>
        </w:rPr>
        <w:t>واتُفق</w:t>
      </w:r>
      <w:r w:rsidRPr="00AE04E4">
        <w:rPr>
          <w:rtl/>
        </w:rPr>
        <w:t xml:space="preserve"> على ذلك.</w:t>
      </w:r>
    </w:p>
    <w:p w14:paraId="5F56A06E" w14:textId="64CC643A" w:rsidR="00AE04E4" w:rsidRPr="00AE04E4" w:rsidRDefault="00AE04E4" w:rsidP="00AE04E4">
      <w:pPr>
        <w:pStyle w:val="Heading1"/>
        <w:rPr>
          <w:rtl/>
        </w:rPr>
      </w:pPr>
      <w:r w:rsidRPr="00AE04E4">
        <w:rPr>
          <w:rtl/>
        </w:rPr>
        <w:lastRenderedPageBreak/>
        <w:t>6</w:t>
      </w:r>
      <w:r w:rsidRPr="00AE04E4">
        <w:rPr>
          <w:rtl/>
        </w:rPr>
        <w:tab/>
      </w:r>
      <w:r w:rsidR="00BB699D" w:rsidRPr="00BB699D">
        <w:rPr>
          <w:rtl/>
        </w:rPr>
        <w:t xml:space="preserve">بيانات </w:t>
      </w:r>
      <w:r w:rsidR="00C83C87">
        <w:rPr>
          <w:rFonts w:hint="cs"/>
          <w:rtl/>
        </w:rPr>
        <w:t xml:space="preserve">أدلى بها </w:t>
      </w:r>
      <w:r w:rsidR="00BB699D" w:rsidRPr="00BB699D">
        <w:rPr>
          <w:rtl/>
        </w:rPr>
        <w:t>أعضاء المجلس</w:t>
      </w:r>
    </w:p>
    <w:p w14:paraId="76069D60" w14:textId="05152876" w:rsidR="00280A83" w:rsidRPr="00280A83" w:rsidRDefault="00AE04E4" w:rsidP="00AE04E4">
      <w:pPr>
        <w:rPr>
          <w:lang w:val="ar-SA" w:bidi="ar-EG"/>
        </w:rPr>
      </w:pPr>
      <w:r>
        <w:t>1.6</w:t>
      </w:r>
      <w:r w:rsidRPr="00AE04E4">
        <w:rPr>
          <w:rtl/>
        </w:rPr>
        <w:tab/>
        <w:t>أعلن عضو المجلس من المملكة المتحدة ترشيح بلده لإعادة انتخابه لعضوية المجلس.</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A0750" w:rsidRPr="002A0750" w14:paraId="7E6B46B6" w14:textId="77777777" w:rsidTr="002A0750">
        <w:tc>
          <w:tcPr>
            <w:tcW w:w="4530" w:type="dxa"/>
          </w:tcPr>
          <w:p w14:paraId="3B1F2D49" w14:textId="0FDC3FE4" w:rsidR="002A0750" w:rsidRPr="002A0750" w:rsidRDefault="002A0750" w:rsidP="00AA0D7A">
            <w:pPr>
              <w:tabs>
                <w:tab w:val="clear" w:pos="794"/>
              </w:tabs>
              <w:spacing w:before="600" w:after="0"/>
              <w:rPr>
                <w:rtl/>
              </w:rPr>
            </w:pPr>
            <w:r w:rsidRPr="002A0750">
              <w:rPr>
                <w:rtl/>
              </w:rPr>
              <w:t>الأمينة العامة</w:t>
            </w:r>
          </w:p>
        </w:tc>
        <w:tc>
          <w:tcPr>
            <w:tcW w:w="4531" w:type="dxa"/>
          </w:tcPr>
          <w:p w14:paraId="361929F4" w14:textId="77777777" w:rsidR="002A0750" w:rsidRPr="002A0750" w:rsidRDefault="002A0750" w:rsidP="00AA0D7A">
            <w:pPr>
              <w:tabs>
                <w:tab w:val="clear" w:pos="794"/>
              </w:tabs>
              <w:spacing w:before="600" w:after="0"/>
              <w:rPr>
                <w:lang w:val="ar-SA" w:bidi="ar-EG"/>
              </w:rPr>
            </w:pPr>
            <w:r w:rsidRPr="002A0750">
              <w:rPr>
                <w:rtl/>
              </w:rPr>
              <w:t>الرئيسة:</w:t>
            </w:r>
          </w:p>
        </w:tc>
      </w:tr>
      <w:tr w:rsidR="002A0750" w:rsidRPr="002A0750" w14:paraId="68E11939" w14:textId="77777777" w:rsidTr="002A0750">
        <w:tc>
          <w:tcPr>
            <w:tcW w:w="4530" w:type="dxa"/>
          </w:tcPr>
          <w:p w14:paraId="7484A27C" w14:textId="5AFE31F2" w:rsidR="002A0750" w:rsidRPr="002A0750" w:rsidRDefault="00A57213" w:rsidP="004F600A">
            <w:pPr>
              <w:tabs>
                <w:tab w:val="clear" w:pos="794"/>
              </w:tabs>
              <w:rPr>
                <w:rtl/>
              </w:rPr>
            </w:pPr>
            <w:r>
              <w:rPr>
                <w:rFonts w:hint="cs"/>
                <w:rtl/>
              </w:rPr>
              <w:t>د.</w:t>
            </w:r>
            <w:r w:rsidR="002A0750" w:rsidRPr="002A0750">
              <w:rPr>
                <w:rtl/>
              </w:rPr>
              <w:t xml:space="preserve"> </w:t>
            </w:r>
            <w:proofErr w:type="spellStart"/>
            <w:r w:rsidR="002A0750" w:rsidRPr="002A0750">
              <w:rPr>
                <w:rtl/>
              </w:rPr>
              <w:t>بوغدان</w:t>
            </w:r>
            <w:proofErr w:type="spellEnd"/>
            <w:r w:rsidR="002A0750" w:rsidRPr="002A0750">
              <w:rPr>
                <w:rtl/>
              </w:rPr>
              <w:t>-مارتن</w:t>
            </w:r>
          </w:p>
        </w:tc>
        <w:tc>
          <w:tcPr>
            <w:tcW w:w="4531" w:type="dxa"/>
          </w:tcPr>
          <w:p w14:paraId="1F5A5E51" w14:textId="666BFD72" w:rsidR="002A0750" w:rsidRPr="002A0750" w:rsidRDefault="00A57213" w:rsidP="004F600A">
            <w:pPr>
              <w:tabs>
                <w:tab w:val="clear" w:pos="794"/>
              </w:tabs>
              <w:rPr>
                <w:lang w:val="ar-SA" w:bidi="ar-EG"/>
              </w:rPr>
            </w:pPr>
            <w:r>
              <w:rPr>
                <w:rFonts w:hint="cs"/>
                <w:rtl/>
              </w:rPr>
              <w:t>ك.</w:t>
            </w:r>
            <w:r w:rsidR="002A0750" w:rsidRPr="002A0750">
              <w:rPr>
                <w:rtl/>
              </w:rPr>
              <w:t xml:space="preserve"> </w:t>
            </w:r>
            <w:proofErr w:type="spellStart"/>
            <w:r w:rsidR="002A0750" w:rsidRPr="002A0750">
              <w:rPr>
                <w:rtl/>
              </w:rPr>
              <w:t>فلوتور</w:t>
            </w:r>
            <w:proofErr w:type="spellEnd"/>
          </w:p>
        </w:tc>
      </w:tr>
    </w:tbl>
    <w:p w14:paraId="5D6C22E6"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21"/>
      <w:headerReference w:type="first" r:id="rId22"/>
      <w:footerReference w:type="first" r:id="rId23"/>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9F5BE" w14:textId="77777777" w:rsidR="006C5AC3" w:rsidRDefault="006C5AC3" w:rsidP="006C3242">
      <w:pPr>
        <w:spacing w:before="0" w:line="240" w:lineRule="auto"/>
      </w:pPr>
      <w:r>
        <w:separator/>
      </w:r>
    </w:p>
  </w:endnote>
  <w:endnote w:type="continuationSeparator" w:id="0">
    <w:p w14:paraId="44FB382D" w14:textId="77777777" w:rsidR="006C5AC3" w:rsidRDefault="006C5AC3"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10D076FB" w14:textId="77777777" w:rsidTr="00A67F05">
      <w:trPr>
        <w:jc w:val="center"/>
      </w:trPr>
      <w:tc>
        <w:tcPr>
          <w:tcW w:w="868" w:type="pct"/>
          <w:vAlign w:val="center"/>
        </w:tcPr>
        <w:p w14:paraId="655392B2" w14:textId="2B3B80AE" w:rsidR="00F50E3F" w:rsidRPr="007B0AA0" w:rsidRDefault="00AE04E4"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AE04E4">
            <w:rPr>
              <w:rFonts w:ascii="Calibri" w:hAnsi="Calibri" w:cs="Arial"/>
              <w:sz w:val="18"/>
              <w:szCs w:val="14"/>
            </w:rPr>
            <w:t>2501744</w:t>
          </w:r>
        </w:p>
      </w:tc>
      <w:tc>
        <w:tcPr>
          <w:tcW w:w="3912" w:type="pct"/>
        </w:tcPr>
        <w:p w14:paraId="522F9B97" w14:textId="1A45DF13"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6F363C">
            <w:rPr>
              <w:rFonts w:ascii="Calibri" w:hAnsi="Calibri" w:cs="Arial"/>
              <w:bCs/>
              <w:color w:val="7F7F7F"/>
              <w:sz w:val="18"/>
            </w:rPr>
            <w:t>5</w:t>
          </w:r>
          <w:proofErr w:type="spellEnd"/>
          <w:r w:rsidRPr="007B0AA0">
            <w:rPr>
              <w:rFonts w:ascii="Calibri" w:hAnsi="Calibri" w:cs="Arial"/>
              <w:bCs/>
              <w:color w:val="7F7F7F"/>
              <w:sz w:val="18"/>
            </w:rPr>
            <w:t>/</w:t>
          </w:r>
          <w:r w:rsidR="00AE04E4">
            <w:rPr>
              <w:rFonts w:ascii="Calibri" w:hAnsi="Calibri" w:cs="Arial"/>
              <w:bCs/>
              <w:color w:val="7F7F7F"/>
              <w:sz w:val="18"/>
            </w:rPr>
            <w:t>107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770E366"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28713422"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659777A7" w14:textId="77777777" w:rsidTr="00A67F05">
      <w:trPr>
        <w:jc w:val="center"/>
      </w:trPr>
      <w:tc>
        <w:tcPr>
          <w:tcW w:w="1013" w:type="pct"/>
          <w:vAlign w:val="center"/>
        </w:tcPr>
        <w:p w14:paraId="13FECF9C" w14:textId="77777777" w:rsidR="007B0AA0" w:rsidRPr="0096716C" w:rsidRDefault="00660DEA" w:rsidP="00A67F05">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history="1">
            <w:r w:rsidRPr="0096716C">
              <w:rPr>
                <w:rStyle w:val="Hyperlink"/>
                <w:sz w:val="18"/>
                <w:szCs w:val="18"/>
                <w:u w:val="none"/>
              </w:rPr>
              <w:t>council.itu.int/2025</w:t>
            </w:r>
          </w:hyperlink>
        </w:p>
      </w:tc>
      <w:tc>
        <w:tcPr>
          <w:tcW w:w="3768" w:type="pct"/>
        </w:tcPr>
        <w:p w14:paraId="316F57A2" w14:textId="01CB65B0"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6F363C">
            <w:rPr>
              <w:rFonts w:ascii="Calibri" w:hAnsi="Calibri" w:cs="Arial"/>
              <w:bCs/>
              <w:color w:val="7F7F7F"/>
              <w:sz w:val="18"/>
            </w:rPr>
            <w:t>5</w:t>
          </w:r>
          <w:proofErr w:type="spellEnd"/>
          <w:r w:rsidRPr="007B0AA0">
            <w:rPr>
              <w:rFonts w:ascii="Calibri" w:hAnsi="Calibri" w:cs="Arial"/>
              <w:bCs/>
              <w:color w:val="7F7F7F"/>
              <w:sz w:val="18"/>
            </w:rPr>
            <w:t>/</w:t>
          </w:r>
          <w:r w:rsidR="00AE04E4">
            <w:rPr>
              <w:rFonts w:ascii="Calibri" w:hAnsi="Calibri" w:cs="Arial"/>
              <w:bCs/>
              <w:color w:val="7F7F7F"/>
              <w:sz w:val="18"/>
            </w:rPr>
            <w:t>107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1781B207"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ED63BF3"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63006" w14:textId="77777777" w:rsidR="006C5AC3" w:rsidRDefault="006C5AC3" w:rsidP="006C3242">
      <w:pPr>
        <w:spacing w:before="0" w:line="240" w:lineRule="auto"/>
      </w:pPr>
      <w:r>
        <w:separator/>
      </w:r>
    </w:p>
  </w:footnote>
  <w:footnote w:type="continuationSeparator" w:id="0">
    <w:p w14:paraId="6727D5FA" w14:textId="77777777" w:rsidR="006C5AC3" w:rsidRDefault="006C5AC3"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2696" w14:textId="77777777" w:rsidR="007B0AA0" w:rsidRDefault="007648A6" w:rsidP="00935AAC">
    <w:pPr>
      <w:pStyle w:val="Header"/>
      <w:spacing w:before="120" w:after="60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6E15DCE1" wp14:editId="57C7A25E">
              <wp:simplePos x="0" y="0"/>
              <wp:positionH relativeFrom="page">
                <wp:posOffset>7453630</wp:posOffset>
              </wp:positionH>
              <wp:positionV relativeFrom="topMargin">
                <wp:posOffset>641294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F6E5B" id="Rectangle 5" o:spid="_x0000_s1026" style="position:absolute;margin-left:586.9pt;margin-top:50.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" fillcolor="#009cd5" stroked="f">
              <w10:wrap anchorx="page" anchory="margin"/>
            </v:rect>
          </w:pict>
        </mc:Fallback>
      </mc:AlternateContent>
    </w:r>
    <w:r w:rsidR="00420F8A">
      <w:rPr>
        <w:rFonts w:ascii="Avenir Nxt2 W1G Medium" w:eastAsia="Avenir Nxt2 W1G Medium" w:hAnsi="Avenir Nxt2 W1G Medium" w:cs="Avenir Nxt2 W1G Medium"/>
        <w:noProof/>
      </w:rPr>
      <w:drawing>
        <wp:inline distT="0" distB="0" distL="0" distR="0" wp14:anchorId="20ACC917" wp14:editId="1FAB4223">
          <wp:extent cx="2999433" cy="612775"/>
          <wp:effectExtent l="0" t="0" r="0" b="0"/>
          <wp:docPr id="163156739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7398"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8302"/>
                  <a:stretch/>
                </pic:blipFill>
                <pic:spPr bwMode="auto">
                  <a:xfrm>
                    <a:off x="0" y="0"/>
                    <a:ext cx="2999932" cy="6128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36399347">
    <w:abstractNumId w:val="9"/>
  </w:num>
  <w:num w:numId="2" w16cid:durableId="913971943">
    <w:abstractNumId w:val="7"/>
  </w:num>
  <w:num w:numId="3" w16cid:durableId="2027291616">
    <w:abstractNumId w:val="6"/>
  </w:num>
  <w:num w:numId="4" w16cid:durableId="2062777579">
    <w:abstractNumId w:val="5"/>
  </w:num>
  <w:num w:numId="5" w16cid:durableId="1302232772">
    <w:abstractNumId w:val="4"/>
  </w:num>
  <w:num w:numId="6" w16cid:durableId="623973541">
    <w:abstractNumId w:val="8"/>
  </w:num>
  <w:num w:numId="7" w16cid:durableId="2028016366">
    <w:abstractNumId w:val="3"/>
  </w:num>
  <w:num w:numId="8" w16cid:durableId="1361515434">
    <w:abstractNumId w:val="2"/>
  </w:num>
  <w:num w:numId="9" w16cid:durableId="210271847">
    <w:abstractNumId w:val="1"/>
  </w:num>
  <w:num w:numId="10" w16cid:durableId="1344476559">
    <w:abstractNumId w:val="0"/>
  </w:num>
  <w:num w:numId="11" w16cid:durableId="1276286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8D"/>
    <w:rsid w:val="00017C9E"/>
    <w:rsid w:val="00026952"/>
    <w:rsid w:val="00033117"/>
    <w:rsid w:val="00061BAB"/>
    <w:rsid w:val="0006468A"/>
    <w:rsid w:val="00077A58"/>
    <w:rsid w:val="00090574"/>
    <w:rsid w:val="00096B9A"/>
    <w:rsid w:val="000B7EC8"/>
    <w:rsid w:val="000C1C0E"/>
    <w:rsid w:val="000C548A"/>
    <w:rsid w:val="000D654F"/>
    <w:rsid w:val="00121F0E"/>
    <w:rsid w:val="001442FF"/>
    <w:rsid w:val="00145A91"/>
    <w:rsid w:val="001658DF"/>
    <w:rsid w:val="001675D0"/>
    <w:rsid w:val="00170AC9"/>
    <w:rsid w:val="00187D80"/>
    <w:rsid w:val="00191059"/>
    <w:rsid w:val="001937F3"/>
    <w:rsid w:val="001B6E2B"/>
    <w:rsid w:val="001C0169"/>
    <w:rsid w:val="001C0C21"/>
    <w:rsid w:val="001D1D50"/>
    <w:rsid w:val="001D64C7"/>
    <w:rsid w:val="001D6745"/>
    <w:rsid w:val="001E446E"/>
    <w:rsid w:val="001E46EF"/>
    <w:rsid w:val="0021540D"/>
    <w:rsid w:val="002154EE"/>
    <w:rsid w:val="002276D2"/>
    <w:rsid w:val="0022778D"/>
    <w:rsid w:val="0023283D"/>
    <w:rsid w:val="00252D45"/>
    <w:rsid w:val="00254393"/>
    <w:rsid w:val="0026373E"/>
    <w:rsid w:val="00271C43"/>
    <w:rsid w:val="00280A83"/>
    <w:rsid w:val="00282591"/>
    <w:rsid w:val="00284783"/>
    <w:rsid w:val="00284FE0"/>
    <w:rsid w:val="00290728"/>
    <w:rsid w:val="00291C23"/>
    <w:rsid w:val="002978F4"/>
    <w:rsid w:val="002A0750"/>
    <w:rsid w:val="002B028D"/>
    <w:rsid w:val="002B02EE"/>
    <w:rsid w:val="002C1B5F"/>
    <w:rsid w:val="002C3F32"/>
    <w:rsid w:val="002C66F8"/>
    <w:rsid w:val="002D691C"/>
    <w:rsid w:val="002E19E7"/>
    <w:rsid w:val="002E6541"/>
    <w:rsid w:val="00334924"/>
    <w:rsid w:val="003409BC"/>
    <w:rsid w:val="00340DB9"/>
    <w:rsid w:val="00343367"/>
    <w:rsid w:val="00357185"/>
    <w:rsid w:val="00366962"/>
    <w:rsid w:val="00375A19"/>
    <w:rsid w:val="00383829"/>
    <w:rsid w:val="003C43AF"/>
    <w:rsid w:val="003D6F72"/>
    <w:rsid w:val="003D758C"/>
    <w:rsid w:val="003F4B29"/>
    <w:rsid w:val="00410B26"/>
    <w:rsid w:val="00420F8A"/>
    <w:rsid w:val="0042686F"/>
    <w:rsid w:val="004317D8"/>
    <w:rsid w:val="0043260A"/>
    <w:rsid w:val="00434183"/>
    <w:rsid w:val="00435DA0"/>
    <w:rsid w:val="00443869"/>
    <w:rsid w:val="00444D15"/>
    <w:rsid w:val="00447F32"/>
    <w:rsid w:val="00471AA4"/>
    <w:rsid w:val="00473C3B"/>
    <w:rsid w:val="00491BA9"/>
    <w:rsid w:val="00494119"/>
    <w:rsid w:val="004A4701"/>
    <w:rsid w:val="004A60BA"/>
    <w:rsid w:val="004B7334"/>
    <w:rsid w:val="004D1485"/>
    <w:rsid w:val="004E11DC"/>
    <w:rsid w:val="004F20D7"/>
    <w:rsid w:val="004F5B21"/>
    <w:rsid w:val="005027E8"/>
    <w:rsid w:val="005130DE"/>
    <w:rsid w:val="00513157"/>
    <w:rsid w:val="00525DDD"/>
    <w:rsid w:val="005409AC"/>
    <w:rsid w:val="00542219"/>
    <w:rsid w:val="005434E0"/>
    <w:rsid w:val="00545494"/>
    <w:rsid w:val="005546CF"/>
    <w:rsid w:val="0055516A"/>
    <w:rsid w:val="005674C1"/>
    <w:rsid w:val="0058491B"/>
    <w:rsid w:val="00592EA5"/>
    <w:rsid w:val="005A3170"/>
    <w:rsid w:val="005C1447"/>
    <w:rsid w:val="005F422B"/>
    <w:rsid w:val="0060230C"/>
    <w:rsid w:val="00607032"/>
    <w:rsid w:val="0065555E"/>
    <w:rsid w:val="00657019"/>
    <w:rsid w:val="00660DEA"/>
    <w:rsid w:val="00677396"/>
    <w:rsid w:val="00683F16"/>
    <w:rsid w:val="0069200F"/>
    <w:rsid w:val="00692A63"/>
    <w:rsid w:val="006A65CB"/>
    <w:rsid w:val="006B12E5"/>
    <w:rsid w:val="006B190A"/>
    <w:rsid w:val="006B454C"/>
    <w:rsid w:val="006B5CEF"/>
    <w:rsid w:val="006C3242"/>
    <w:rsid w:val="006C5AC3"/>
    <w:rsid w:val="006C7CC0"/>
    <w:rsid w:val="006F363C"/>
    <w:rsid w:val="006F63F7"/>
    <w:rsid w:val="006F714E"/>
    <w:rsid w:val="007025C7"/>
    <w:rsid w:val="00706D7A"/>
    <w:rsid w:val="00722F0D"/>
    <w:rsid w:val="007345C5"/>
    <w:rsid w:val="00735081"/>
    <w:rsid w:val="00740D6A"/>
    <w:rsid w:val="0074420E"/>
    <w:rsid w:val="007648A6"/>
    <w:rsid w:val="0077110E"/>
    <w:rsid w:val="00783E26"/>
    <w:rsid w:val="007A6684"/>
    <w:rsid w:val="007B0AA0"/>
    <w:rsid w:val="007C3BC7"/>
    <w:rsid w:val="007C3BCD"/>
    <w:rsid w:val="007D4ACF"/>
    <w:rsid w:val="007F0787"/>
    <w:rsid w:val="007F0A56"/>
    <w:rsid w:val="00806C91"/>
    <w:rsid w:val="00810B7B"/>
    <w:rsid w:val="00821372"/>
    <w:rsid w:val="0082358A"/>
    <w:rsid w:val="008235CD"/>
    <w:rsid w:val="008247DE"/>
    <w:rsid w:val="008339C0"/>
    <w:rsid w:val="00840B10"/>
    <w:rsid w:val="008513CB"/>
    <w:rsid w:val="0085760D"/>
    <w:rsid w:val="008658C5"/>
    <w:rsid w:val="00874E9F"/>
    <w:rsid w:val="008A5289"/>
    <w:rsid w:val="008A7F84"/>
    <w:rsid w:val="008C725E"/>
    <w:rsid w:val="008D28BB"/>
    <w:rsid w:val="008E2BFE"/>
    <w:rsid w:val="008F1A44"/>
    <w:rsid w:val="009067D1"/>
    <w:rsid w:val="0091702E"/>
    <w:rsid w:val="00923B0C"/>
    <w:rsid w:val="00924F46"/>
    <w:rsid w:val="009316ED"/>
    <w:rsid w:val="00935AAC"/>
    <w:rsid w:val="0093725D"/>
    <w:rsid w:val="0094021C"/>
    <w:rsid w:val="00952F86"/>
    <w:rsid w:val="0096716C"/>
    <w:rsid w:val="00982B28"/>
    <w:rsid w:val="0099259C"/>
    <w:rsid w:val="009D313F"/>
    <w:rsid w:val="00A24A72"/>
    <w:rsid w:val="00A47A5A"/>
    <w:rsid w:val="00A57213"/>
    <w:rsid w:val="00A63AE6"/>
    <w:rsid w:val="00A6683B"/>
    <w:rsid w:val="00A67F05"/>
    <w:rsid w:val="00A73F7B"/>
    <w:rsid w:val="00A97F94"/>
    <w:rsid w:val="00AA0D7A"/>
    <w:rsid w:val="00AA7EA2"/>
    <w:rsid w:val="00AB5A56"/>
    <w:rsid w:val="00AE04E4"/>
    <w:rsid w:val="00AE1AD4"/>
    <w:rsid w:val="00B03099"/>
    <w:rsid w:val="00B05BC8"/>
    <w:rsid w:val="00B1604C"/>
    <w:rsid w:val="00B17769"/>
    <w:rsid w:val="00B30F5E"/>
    <w:rsid w:val="00B5151E"/>
    <w:rsid w:val="00B64B47"/>
    <w:rsid w:val="00B95654"/>
    <w:rsid w:val="00B97F32"/>
    <w:rsid w:val="00BA04B2"/>
    <w:rsid w:val="00BA66CC"/>
    <w:rsid w:val="00BA6DB2"/>
    <w:rsid w:val="00BB54F2"/>
    <w:rsid w:val="00BB699D"/>
    <w:rsid w:val="00BC00CB"/>
    <w:rsid w:val="00BC6B0E"/>
    <w:rsid w:val="00C002DE"/>
    <w:rsid w:val="00C04B96"/>
    <w:rsid w:val="00C0602B"/>
    <w:rsid w:val="00C224DA"/>
    <w:rsid w:val="00C53BF8"/>
    <w:rsid w:val="00C66157"/>
    <w:rsid w:val="00C674FE"/>
    <w:rsid w:val="00C67501"/>
    <w:rsid w:val="00C75425"/>
    <w:rsid w:val="00C75633"/>
    <w:rsid w:val="00C83C87"/>
    <w:rsid w:val="00C949A9"/>
    <w:rsid w:val="00CA43E7"/>
    <w:rsid w:val="00CA588E"/>
    <w:rsid w:val="00CE2288"/>
    <w:rsid w:val="00CE2EE1"/>
    <w:rsid w:val="00CE3349"/>
    <w:rsid w:val="00CE36E5"/>
    <w:rsid w:val="00CE4360"/>
    <w:rsid w:val="00CF27F5"/>
    <w:rsid w:val="00CF3A3C"/>
    <w:rsid w:val="00CF3FFD"/>
    <w:rsid w:val="00D010DA"/>
    <w:rsid w:val="00D01CFE"/>
    <w:rsid w:val="00D10CCF"/>
    <w:rsid w:val="00D11A80"/>
    <w:rsid w:val="00D13941"/>
    <w:rsid w:val="00D16112"/>
    <w:rsid w:val="00D21587"/>
    <w:rsid w:val="00D23F5F"/>
    <w:rsid w:val="00D43F7D"/>
    <w:rsid w:val="00D452B0"/>
    <w:rsid w:val="00D63735"/>
    <w:rsid w:val="00D717B2"/>
    <w:rsid w:val="00D75DE2"/>
    <w:rsid w:val="00D77D0F"/>
    <w:rsid w:val="00DA1CF0"/>
    <w:rsid w:val="00DC1E02"/>
    <w:rsid w:val="00DC24B4"/>
    <w:rsid w:val="00DC5FB0"/>
    <w:rsid w:val="00DD1297"/>
    <w:rsid w:val="00DE3D89"/>
    <w:rsid w:val="00DF16DC"/>
    <w:rsid w:val="00DF37B5"/>
    <w:rsid w:val="00E2607E"/>
    <w:rsid w:val="00E45211"/>
    <w:rsid w:val="00E473C5"/>
    <w:rsid w:val="00E515A0"/>
    <w:rsid w:val="00E61BE8"/>
    <w:rsid w:val="00E67BF3"/>
    <w:rsid w:val="00E7230A"/>
    <w:rsid w:val="00E75208"/>
    <w:rsid w:val="00E83FF1"/>
    <w:rsid w:val="00E92863"/>
    <w:rsid w:val="00E979B2"/>
    <w:rsid w:val="00EA7EA0"/>
    <w:rsid w:val="00EB796D"/>
    <w:rsid w:val="00EC34CA"/>
    <w:rsid w:val="00EC56C4"/>
    <w:rsid w:val="00EF5816"/>
    <w:rsid w:val="00F058DC"/>
    <w:rsid w:val="00F24FC4"/>
    <w:rsid w:val="00F2676C"/>
    <w:rsid w:val="00F363FE"/>
    <w:rsid w:val="00F50E3F"/>
    <w:rsid w:val="00F51319"/>
    <w:rsid w:val="00F56B32"/>
    <w:rsid w:val="00F84366"/>
    <w:rsid w:val="00F85089"/>
    <w:rsid w:val="00F974C5"/>
    <w:rsid w:val="00FA3763"/>
    <w:rsid w:val="00FA6F46"/>
    <w:rsid w:val="00FC0E94"/>
    <w:rsid w:val="00FC4592"/>
    <w:rsid w:val="00FD0891"/>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E131C"/>
  <w15:chartTrackingRefBased/>
  <w15:docId w15:val="{5A5003A3-D7AB-47BC-9D27-7A405FE4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unhideWhenUsed/>
    <w:qFormat/>
    <w:rsid w:val="00FD0891"/>
    <w:pPr>
      <w:spacing w:before="60" w:after="60" w:line="168" w:lineRule="auto"/>
      <w:ind w:left="340" w:hanging="340"/>
    </w:pPr>
    <w:rPr>
      <w:sz w:val="18"/>
      <w:szCs w:val="18"/>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FD0891"/>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E515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28/en" TargetMode="External"/><Relationship Id="rId13" Type="http://schemas.openxmlformats.org/officeDocument/2006/relationships/hyperlink" Target="https://www.itu.int/md/S25-CL-C-0062/en" TargetMode="External"/><Relationship Id="rId18" Type="http://schemas.openxmlformats.org/officeDocument/2006/relationships/hyperlink" Target="https://www.itu.int/md/S25-CL-C-0064/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tu.int/md/S25-CL-C-0035/en" TargetMode="External"/><Relationship Id="rId17" Type="http://schemas.openxmlformats.org/officeDocument/2006/relationships/hyperlink" Target="https://www.itu.int/md/S25-CL-C-0047/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md/S25-CL-C-0047/en" TargetMode="External"/><Relationship Id="rId20" Type="http://schemas.openxmlformats.org/officeDocument/2006/relationships/hyperlink" Target="https://www.itu.int/md/S25-CL-C-0062/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062/e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S25-CL-C-0028/en" TargetMode="External"/><Relationship Id="rId23" Type="http://schemas.openxmlformats.org/officeDocument/2006/relationships/footer" Target="footer2.xml"/><Relationship Id="rId10" Type="http://schemas.openxmlformats.org/officeDocument/2006/relationships/hyperlink" Target="https://www.itu.int/md/S25-CL-C-0055/en" TargetMode="External"/><Relationship Id="rId19" Type="http://schemas.openxmlformats.org/officeDocument/2006/relationships/hyperlink" Target="https://www.itu.int/md/S25-CL-C-0055/en" TargetMode="External"/><Relationship Id="rId4" Type="http://schemas.openxmlformats.org/officeDocument/2006/relationships/settings" Target="settings.xml"/><Relationship Id="rId9" Type="http://schemas.openxmlformats.org/officeDocument/2006/relationships/hyperlink" Target="https://www.itu.int/md/S25-CL-C-0047/en" TargetMode="External"/><Relationship Id="rId14" Type="http://schemas.openxmlformats.org/officeDocument/2006/relationships/hyperlink" Target="https://www.itu.int/md/S25-CL-C-0055/en"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SG\PA_Council%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 2025.dotx</Template>
  <TotalTime>0</TotalTime>
  <Pages>6</Pages>
  <Words>2636</Words>
  <Characters>15552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first Plenary meeting</dc:title>
  <dc:subject>ITU Council 2025</dc:subject>
  <cp:keywords>C2025, C25, Council-25</cp:keywords>
  <dc:description/>
  <dcterms:created xsi:type="dcterms:W3CDTF">2025-08-15T09:53:00Z</dcterms:created>
  <dcterms:modified xsi:type="dcterms:W3CDTF">2025-08-15T09:53:00Z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