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9"/>
        <w:gridCol w:w="2972"/>
      </w:tblGrid>
      <w:tr w:rsidR="007B0AA0" w14:paraId="4FECA85E" w14:textId="77777777" w:rsidTr="00F363FE">
        <w:tc>
          <w:tcPr>
            <w:tcW w:w="6512" w:type="dxa"/>
          </w:tcPr>
          <w:p w14:paraId="5940E55E" w14:textId="117656F2"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A738CE">
              <w:rPr>
                <w:rFonts w:hint="cs"/>
                <w:b/>
                <w:bCs/>
                <w:rtl/>
                <w:lang w:bidi="ar-EG"/>
              </w:rPr>
              <w:t xml:space="preserve"> </w:t>
            </w:r>
            <w:r w:rsidR="00A738CE">
              <w:rPr>
                <w:b/>
              </w:rPr>
              <w:t>PL 3</w:t>
            </w:r>
          </w:p>
        </w:tc>
        <w:tc>
          <w:tcPr>
            <w:tcW w:w="3117" w:type="dxa"/>
          </w:tcPr>
          <w:p w14:paraId="29AC3EA9" w14:textId="06F29B65"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A738CE">
              <w:rPr>
                <w:b/>
                <w:bCs/>
                <w:lang w:bidi="ar-EG"/>
              </w:rPr>
              <w:t>101</w:t>
            </w:r>
            <w:r w:rsidRPr="007B0AA0">
              <w:rPr>
                <w:b/>
                <w:bCs/>
                <w:lang w:bidi="ar-EG"/>
              </w:rPr>
              <w:t>-A</w:t>
            </w:r>
          </w:p>
        </w:tc>
      </w:tr>
      <w:tr w:rsidR="007B0AA0" w14:paraId="7E0E2E5E" w14:textId="77777777" w:rsidTr="00F363FE">
        <w:tc>
          <w:tcPr>
            <w:tcW w:w="6512" w:type="dxa"/>
          </w:tcPr>
          <w:p w14:paraId="45040939" w14:textId="77777777" w:rsidR="007B0AA0" w:rsidRPr="007B0AA0" w:rsidRDefault="007B0AA0" w:rsidP="00F363FE">
            <w:pPr>
              <w:spacing w:before="60" w:after="60" w:line="260" w:lineRule="exact"/>
              <w:rPr>
                <w:b/>
                <w:bCs/>
                <w:rtl/>
                <w:lang w:bidi="ar-EG"/>
              </w:rPr>
            </w:pPr>
          </w:p>
        </w:tc>
        <w:tc>
          <w:tcPr>
            <w:tcW w:w="3117" w:type="dxa"/>
          </w:tcPr>
          <w:p w14:paraId="46E298D6" w14:textId="4D44E2D8" w:rsidR="007B0AA0" w:rsidRPr="007B0AA0" w:rsidRDefault="00A738CE" w:rsidP="00F363FE">
            <w:pPr>
              <w:spacing w:before="60" w:after="60" w:line="260" w:lineRule="exact"/>
              <w:rPr>
                <w:b/>
                <w:bCs/>
                <w:rtl/>
                <w:lang w:bidi="ar-EG"/>
              </w:rPr>
            </w:pPr>
            <w:r>
              <w:rPr>
                <w:rFonts w:hint="cs"/>
                <w:b/>
                <w:bCs/>
                <w:rtl/>
              </w:rPr>
              <w:t>‏</w:t>
            </w:r>
            <w:r w:rsidR="00020960">
              <w:rPr>
                <w:b/>
                <w:bCs/>
              </w:rPr>
              <w:t>16</w:t>
            </w:r>
            <w:r>
              <w:rPr>
                <w:rFonts w:hint="cs"/>
                <w:b/>
                <w:bCs/>
                <w:rtl/>
              </w:rPr>
              <w:t xml:space="preserve">‏ يونيو‏ </w:t>
            </w:r>
            <w:r w:rsidR="00020960">
              <w:rPr>
                <w:b/>
                <w:bCs/>
              </w:rPr>
              <w:t>2025</w:t>
            </w:r>
          </w:p>
        </w:tc>
      </w:tr>
      <w:tr w:rsidR="007B0AA0" w14:paraId="03023275" w14:textId="77777777" w:rsidTr="00F363FE">
        <w:tc>
          <w:tcPr>
            <w:tcW w:w="6512" w:type="dxa"/>
          </w:tcPr>
          <w:p w14:paraId="0115CA2F" w14:textId="77777777" w:rsidR="007B0AA0" w:rsidRPr="007B0AA0" w:rsidRDefault="007B0AA0" w:rsidP="00F363FE">
            <w:pPr>
              <w:spacing w:before="60" w:after="60" w:line="260" w:lineRule="exact"/>
              <w:rPr>
                <w:b/>
                <w:bCs/>
                <w:rtl/>
                <w:lang w:bidi="ar-EG"/>
              </w:rPr>
            </w:pPr>
          </w:p>
        </w:tc>
        <w:tc>
          <w:tcPr>
            <w:tcW w:w="3117" w:type="dxa"/>
          </w:tcPr>
          <w:p w14:paraId="3BFA0E45"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6189B70A" w14:textId="77777777" w:rsidTr="00F363FE">
        <w:tc>
          <w:tcPr>
            <w:tcW w:w="6512" w:type="dxa"/>
          </w:tcPr>
          <w:p w14:paraId="065652BA" w14:textId="77777777" w:rsidR="007B0AA0" w:rsidRDefault="007B0AA0" w:rsidP="00F363FE">
            <w:pPr>
              <w:spacing w:before="60" w:after="60" w:line="260" w:lineRule="exact"/>
              <w:rPr>
                <w:lang w:bidi="ar-EG"/>
              </w:rPr>
            </w:pPr>
          </w:p>
        </w:tc>
        <w:tc>
          <w:tcPr>
            <w:tcW w:w="3117" w:type="dxa"/>
          </w:tcPr>
          <w:p w14:paraId="38B06118" w14:textId="77777777" w:rsidR="007B0AA0" w:rsidRDefault="007B0AA0" w:rsidP="00F363FE">
            <w:pPr>
              <w:spacing w:before="60" w:after="60" w:line="260" w:lineRule="exact"/>
              <w:rPr>
                <w:rtl/>
                <w:lang w:bidi="ar-EG"/>
              </w:rPr>
            </w:pPr>
          </w:p>
        </w:tc>
      </w:tr>
      <w:tr w:rsidR="007B0AA0" w14:paraId="5DF47307" w14:textId="77777777" w:rsidTr="00EE7446">
        <w:tc>
          <w:tcPr>
            <w:tcW w:w="9629" w:type="dxa"/>
            <w:gridSpan w:val="2"/>
          </w:tcPr>
          <w:p w14:paraId="7B3FE9AC" w14:textId="006BAC35" w:rsidR="007B0AA0" w:rsidRDefault="00752BFA" w:rsidP="007B0AA0">
            <w:pPr>
              <w:pStyle w:val="Source"/>
              <w:jc w:val="left"/>
              <w:rPr>
                <w:lang w:bidi="ar-EG"/>
              </w:rPr>
            </w:pPr>
            <w:r w:rsidRPr="00752BFA">
              <w:rPr>
                <w:rtl/>
                <w:lang w:bidi="ar-EG"/>
              </w:rPr>
              <w:t>مساهمة من الولايات المتحدة الأمريكية</w:t>
            </w:r>
          </w:p>
        </w:tc>
      </w:tr>
      <w:tr w:rsidR="007B0AA0" w14:paraId="0D857338" w14:textId="77777777" w:rsidTr="007B0AA0">
        <w:tc>
          <w:tcPr>
            <w:tcW w:w="9629" w:type="dxa"/>
            <w:gridSpan w:val="2"/>
            <w:tcBorders>
              <w:bottom w:val="single" w:sz="4" w:space="0" w:color="auto"/>
            </w:tcBorders>
          </w:tcPr>
          <w:p w14:paraId="05EDC404" w14:textId="2D10D0CC" w:rsidR="007B0AA0" w:rsidRPr="005546CF" w:rsidRDefault="00752BFA" w:rsidP="007B0AA0">
            <w:pPr>
              <w:pStyle w:val="Subtitle0"/>
              <w:rPr>
                <w:sz w:val="32"/>
                <w:szCs w:val="32"/>
              </w:rPr>
            </w:pPr>
            <w:r w:rsidRPr="00752BFA">
              <w:rPr>
                <w:sz w:val="32"/>
                <w:szCs w:val="32"/>
                <w:rtl/>
              </w:rPr>
              <w:t xml:space="preserve">مكان عقد المؤتمر العالمي للاتصالات الراديوية لعام </w:t>
            </w:r>
            <w:r w:rsidR="00020960">
              <w:rPr>
                <w:sz w:val="32"/>
                <w:szCs w:val="32"/>
              </w:rPr>
              <w:t>2027</w:t>
            </w:r>
            <w:r w:rsidRPr="00752BFA">
              <w:rPr>
                <w:sz w:val="32"/>
                <w:szCs w:val="32"/>
                <w:rtl/>
              </w:rPr>
              <w:t xml:space="preserve"> (</w:t>
            </w:r>
            <w:r w:rsidRPr="00752BFA">
              <w:rPr>
                <w:sz w:val="32"/>
                <w:szCs w:val="32"/>
              </w:rPr>
              <w:t>WRC-27</w:t>
            </w:r>
            <w:r w:rsidRPr="00752BFA">
              <w:rPr>
                <w:sz w:val="32"/>
                <w:szCs w:val="32"/>
                <w:rtl/>
              </w:rPr>
              <w:t>)</w:t>
            </w:r>
          </w:p>
        </w:tc>
      </w:tr>
      <w:tr w:rsidR="007B0AA0" w14:paraId="27D76E8A" w14:textId="77777777" w:rsidTr="007B0AA0">
        <w:tc>
          <w:tcPr>
            <w:tcW w:w="9629" w:type="dxa"/>
            <w:gridSpan w:val="2"/>
            <w:tcBorders>
              <w:top w:val="single" w:sz="4" w:space="0" w:color="auto"/>
              <w:bottom w:val="single" w:sz="4" w:space="0" w:color="auto"/>
            </w:tcBorders>
          </w:tcPr>
          <w:p w14:paraId="53A1F3CC" w14:textId="77777777" w:rsidR="007B0AA0" w:rsidRPr="007B0AA0" w:rsidRDefault="007B0AA0" w:rsidP="007B0AA0">
            <w:pPr>
              <w:rPr>
                <w:b/>
                <w:bCs/>
                <w:rtl/>
              </w:rPr>
            </w:pPr>
            <w:r w:rsidRPr="00494119">
              <w:rPr>
                <w:rFonts w:hint="cs"/>
                <w:b/>
                <w:bCs/>
                <w:rtl/>
              </w:rPr>
              <w:t>الغرض</w:t>
            </w:r>
          </w:p>
          <w:p w14:paraId="0712CBC1" w14:textId="3C5C4A82" w:rsidR="007B0AA0" w:rsidRDefault="00752BFA" w:rsidP="007B0AA0">
            <w:pPr>
              <w:rPr>
                <w:rtl/>
              </w:rPr>
            </w:pPr>
            <w:r w:rsidRPr="00752BFA">
              <w:rPr>
                <w:rtl/>
              </w:rPr>
              <w:t xml:space="preserve">تؤيد هذه المساهمة اختيار جنيف كمكان بديل مبدئي قائم لعقد المؤتمر العالمي للاتصالات الراديوية لعام </w:t>
            </w:r>
            <w:r w:rsidR="00020960">
              <w:t>2027</w:t>
            </w:r>
            <w:r w:rsidRPr="00752BFA">
              <w:rPr>
                <w:rtl/>
              </w:rPr>
              <w:t xml:space="preserve"> (</w:t>
            </w:r>
            <w:r w:rsidRPr="00752BFA">
              <w:t>WRC-27</w:t>
            </w:r>
            <w:r w:rsidRPr="00752BFA">
              <w:rPr>
                <w:rtl/>
              </w:rPr>
              <w:t>).</w:t>
            </w:r>
          </w:p>
          <w:p w14:paraId="771F5B24" w14:textId="77777777" w:rsidR="007B0AA0" w:rsidRPr="007B0AA0" w:rsidRDefault="007B0AA0" w:rsidP="007B0AA0">
            <w:pPr>
              <w:rPr>
                <w:b/>
                <w:bCs/>
                <w:rtl/>
              </w:rPr>
            </w:pPr>
            <w:r w:rsidRPr="007B0AA0">
              <w:rPr>
                <w:rFonts w:hint="cs"/>
                <w:b/>
                <w:bCs/>
                <w:rtl/>
              </w:rPr>
              <w:t>الإجراء المطلوب من المجلس</w:t>
            </w:r>
          </w:p>
          <w:p w14:paraId="08F85E7B" w14:textId="661A0EF2" w:rsidR="007B0AA0" w:rsidRDefault="00752BFA" w:rsidP="007B0AA0">
            <w:pPr>
              <w:rPr>
                <w:rtl/>
              </w:rPr>
            </w:pPr>
            <w:r w:rsidRPr="00752BFA">
              <w:rPr>
                <w:b/>
                <w:bCs/>
                <w:rtl/>
              </w:rPr>
              <w:t>يُدعى</w:t>
            </w:r>
            <w:r w:rsidRPr="00752BFA">
              <w:rPr>
                <w:rtl/>
              </w:rPr>
              <w:t xml:space="preserve"> المجلس إلى اتخاذ قرار بشأن اختيار جنيف كمكان لعقد المؤتمر </w:t>
            </w:r>
            <w:r w:rsidRPr="00752BFA">
              <w:t>WRC-27</w:t>
            </w:r>
            <w:r w:rsidRPr="00752BFA">
              <w:rPr>
                <w:rtl/>
              </w:rPr>
              <w:t>.</w:t>
            </w:r>
          </w:p>
          <w:p w14:paraId="25766DE3"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4B627654" w14:textId="77777777" w:rsidR="007B0AA0" w:rsidRPr="007B0AA0" w:rsidRDefault="007B0AA0" w:rsidP="007B0AA0">
            <w:pPr>
              <w:rPr>
                <w:b/>
                <w:bCs/>
                <w:rtl/>
              </w:rPr>
            </w:pPr>
            <w:r w:rsidRPr="007B0AA0">
              <w:rPr>
                <w:rFonts w:hint="cs"/>
                <w:b/>
                <w:bCs/>
                <w:rtl/>
              </w:rPr>
              <w:t>المراجع</w:t>
            </w:r>
          </w:p>
          <w:p w14:paraId="1B625EB1" w14:textId="22283717" w:rsidR="007B0AA0" w:rsidRPr="005546CF" w:rsidRDefault="00752BFA" w:rsidP="007B0AA0">
            <w:pPr>
              <w:rPr>
                <w:i/>
                <w:iCs/>
                <w:rtl/>
              </w:rPr>
            </w:pPr>
            <w:hyperlink r:id="rId8" w:history="1">
              <w:r w:rsidRPr="00923766">
                <w:rPr>
                  <w:rStyle w:val="Hyperlink"/>
                  <w:i/>
                  <w:iCs/>
                  <w:noProof w:val="0"/>
                  <w:lang w:val="en-US" w:eastAsia="zh-CN"/>
                </w:rPr>
                <w:t>C25/58</w:t>
              </w:r>
            </w:hyperlink>
          </w:p>
        </w:tc>
      </w:tr>
    </w:tbl>
    <w:p w14:paraId="544D2794" w14:textId="77777777" w:rsidR="00F50E3F" w:rsidRDefault="00F50E3F" w:rsidP="0043260A">
      <w:pPr>
        <w:rPr>
          <w:rtl/>
          <w:lang w:bidi="ar-EG"/>
        </w:rPr>
      </w:pPr>
      <w:r>
        <w:rPr>
          <w:rtl/>
          <w:lang w:bidi="ar-EG"/>
        </w:rPr>
        <w:br w:type="page"/>
      </w:r>
    </w:p>
    <w:p w14:paraId="1BB1E408" w14:textId="77777777" w:rsidR="009106A2" w:rsidRDefault="009106A2" w:rsidP="009106A2">
      <w:pPr>
        <w:pStyle w:val="Headingb"/>
        <w:rPr>
          <w:rtl/>
          <w:lang w:bidi="ar-EG"/>
        </w:rPr>
      </w:pPr>
      <w:r>
        <w:rPr>
          <w:rtl/>
          <w:lang w:bidi="ar-EG"/>
        </w:rPr>
        <w:lastRenderedPageBreak/>
        <w:t>معلومات أساسية ومناقشة</w:t>
      </w:r>
    </w:p>
    <w:p w14:paraId="1285B55D" w14:textId="101431BC" w:rsidR="009106A2" w:rsidRDefault="009106A2" w:rsidP="009106A2">
      <w:pPr>
        <w:rPr>
          <w:rtl/>
          <w:lang w:bidi="ar-EG"/>
        </w:rPr>
      </w:pPr>
      <w:r>
        <w:rPr>
          <w:rtl/>
          <w:lang w:bidi="ar-EG"/>
        </w:rPr>
        <w:t xml:space="preserve">واجه الاتحاد الدولي للاتصالات في الفترة التي سبقت اجتماع مجلسه وضعاً غير مسبوق تمثل في تقديم عرضٍ ثانٍ لاستضافة المؤتمر العالمي للاتصالات الراديوية لعام </w:t>
      </w:r>
      <w:r w:rsidR="00020960">
        <w:rPr>
          <w:lang w:bidi="ar-EG"/>
        </w:rPr>
        <w:t>2027</w:t>
      </w:r>
      <w:r>
        <w:rPr>
          <w:rtl/>
          <w:lang w:bidi="ar-EG"/>
        </w:rPr>
        <w:t xml:space="preserve"> </w:t>
      </w:r>
      <w:r w:rsidR="00020960">
        <w:rPr>
          <w:lang w:bidi="ar-EG"/>
        </w:rPr>
        <w:t>(</w:t>
      </w:r>
      <w:r>
        <w:rPr>
          <w:lang w:bidi="ar-EG"/>
        </w:rPr>
        <w:t>WRC-27</w:t>
      </w:r>
      <w:r w:rsidR="00020960">
        <w:rPr>
          <w:lang w:bidi="ar-EG"/>
        </w:rPr>
        <w:t>)</w:t>
      </w:r>
      <w:r>
        <w:rPr>
          <w:rtl/>
          <w:lang w:bidi="ar-EG"/>
        </w:rPr>
        <w:t>. ونظراً لأهمية المؤتمر العالمي للاتصالات الراديوية بالنسبة لجميع الأعضاء والعمل البالغ الأهمية الذي يقوم به الاتحاد، فإن من الضروري أن يتوصل المجلس إلى</w:t>
      </w:r>
      <w:r>
        <w:rPr>
          <w:rFonts w:hint="eastAsia"/>
          <w:rtl/>
          <w:lang w:bidi="ar-EG"/>
        </w:rPr>
        <w:t> </w:t>
      </w:r>
      <w:r>
        <w:rPr>
          <w:rtl/>
          <w:lang w:bidi="ar-EG"/>
        </w:rPr>
        <w:t xml:space="preserve">نتيجة توافقية بشأن مكان عقد المؤتمر </w:t>
      </w:r>
      <w:r>
        <w:rPr>
          <w:lang w:bidi="ar-EG"/>
        </w:rPr>
        <w:t>WRC-27</w:t>
      </w:r>
      <w:r>
        <w:rPr>
          <w:rtl/>
          <w:lang w:bidi="ar-EG"/>
        </w:rPr>
        <w:t xml:space="preserve"> يمكن أن تؤيدها جميع الدول الأعضاء، وأن يعمل في المستقبل على وضع عملية رسمية وتعاونية وشفافة لصنع القرار من أجل التوصل إلى قرار بشأن مسائل من هذا القبيل</w:t>
      </w:r>
      <w:r>
        <w:rPr>
          <w:rFonts w:hint="cs"/>
          <w:rtl/>
          <w:lang w:bidi="ar-EG"/>
        </w:rPr>
        <w:t>.</w:t>
      </w:r>
    </w:p>
    <w:p w14:paraId="2E8B7BF1" w14:textId="1A887F01" w:rsidR="009106A2" w:rsidRDefault="009106A2" w:rsidP="009106A2">
      <w:pPr>
        <w:rPr>
          <w:rtl/>
          <w:lang w:bidi="ar-EG"/>
        </w:rPr>
      </w:pPr>
      <w:r>
        <w:rPr>
          <w:rtl/>
          <w:lang w:bidi="ar-EG"/>
        </w:rPr>
        <w:t>فجنيف، بوصفها المقر الرئيسي للاتحاد الدولي للاتصالات، هي الخيار البديل المبدئي القائم ولا تمثل أو تتطلب "عرضاً" جديداً. وقد جرت العادة على عقد العديد من المؤتمرات العالمية للاتصالات الراديوية في جنيف؛ وعلاوة</w:t>
      </w:r>
      <w:r w:rsidR="009B16AC">
        <w:rPr>
          <w:rFonts w:hint="cs"/>
          <w:rtl/>
          <w:lang w:bidi="ar-EG"/>
        </w:rPr>
        <w:t>ً</w:t>
      </w:r>
      <w:r>
        <w:rPr>
          <w:rtl/>
          <w:lang w:bidi="ar-EG"/>
        </w:rPr>
        <w:t xml:space="preserve"> على ذلك، اتخذ الاتحاد بالفعل الترتيبات اللازمة لهذا الاحتمال، على النحو الوارد في الوثيقة </w:t>
      </w:r>
      <w:hyperlink r:id="rId9" w:history="1">
        <w:r w:rsidRPr="009B16AC">
          <w:rPr>
            <w:rStyle w:val="Hyperlink"/>
            <w:noProof w:val="0"/>
            <w:lang w:val="en-US" w:eastAsia="zh-CN" w:bidi="ar-EG"/>
          </w:rPr>
          <w:t>C25/58</w:t>
        </w:r>
      </w:hyperlink>
      <w:r>
        <w:rPr>
          <w:rtl/>
          <w:lang w:bidi="ar-EG"/>
        </w:rPr>
        <w:t>. وستمثل العودة إلى جنيف نتيجة تضمن التوازن بين جميع المصالح.</w:t>
      </w:r>
    </w:p>
    <w:p w14:paraId="381E8725" w14:textId="77777777" w:rsidR="009106A2" w:rsidRDefault="009106A2" w:rsidP="009106A2">
      <w:pPr>
        <w:pStyle w:val="Headingb"/>
        <w:rPr>
          <w:rtl/>
          <w:lang w:bidi="ar-EG"/>
        </w:rPr>
      </w:pPr>
      <w:r>
        <w:rPr>
          <w:rtl/>
          <w:lang w:bidi="ar-EG"/>
        </w:rPr>
        <w:t>المقترح</w:t>
      </w:r>
    </w:p>
    <w:p w14:paraId="063371EF" w14:textId="77777777" w:rsidR="009106A2" w:rsidRDefault="009106A2" w:rsidP="009106A2">
      <w:pPr>
        <w:rPr>
          <w:rtl/>
          <w:lang w:bidi="ar-EG"/>
        </w:rPr>
      </w:pPr>
      <w:r>
        <w:rPr>
          <w:rtl/>
          <w:lang w:bidi="ar-EG"/>
        </w:rPr>
        <w:t>باختصار، نقترح أن يقوم مجلس الاتحاد بما يلي:</w:t>
      </w:r>
    </w:p>
    <w:p w14:paraId="7EA688FB" w14:textId="3085F95B" w:rsidR="009106A2" w:rsidRDefault="003A7166" w:rsidP="009B16AC">
      <w:pPr>
        <w:pStyle w:val="enumlev1"/>
        <w:rPr>
          <w:rtl/>
        </w:rPr>
      </w:pPr>
      <w:r>
        <w:t>(1</w:t>
      </w:r>
      <w:r w:rsidR="009106A2">
        <w:rPr>
          <w:rtl/>
        </w:rPr>
        <w:tab/>
        <w:t xml:space="preserve">اتخاذ قرار بشأن اختيار جنيف كمكان لعقد المؤتمر </w:t>
      </w:r>
      <w:r w:rsidR="009106A2">
        <w:t>WRC-27</w:t>
      </w:r>
      <w:r w:rsidR="009106A2">
        <w:rPr>
          <w:rtl/>
        </w:rPr>
        <w:t>؛</w:t>
      </w:r>
    </w:p>
    <w:p w14:paraId="410940CE" w14:textId="709B31CD" w:rsidR="00F50E3F" w:rsidRDefault="003A7166" w:rsidP="009B16AC">
      <w:pPr>
        <w:pStyle w:val="enumlev1"/>
        <w:rPr>
          <w:rtl/>
        </w:rPr>
      </w:pPr>
      <w:r>
        <w:t>(2</w:t>
      </w:r>
      <w:r w:rsidR="009106A2">
        <w:rPr>
          <w:rtl/>
        </w:rPr>
        <w:tab/>
        <w:t>إقرار الحاجة إلى وضع عملية رسمية وتعاونية وشفافة لتقديم عروض لاستضافة مؤتمرات الاتحاد المستقبلية، وتحديد الخيار الأنسب من بين العروض المتعددة، تفادياً لتكرار هذا الوضع في المستقبل.</w:t>
      </w:r>
    </w:p>
    <w:p w14:paraId="1B07F12F"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10"/>
      <w:headerReference w:type="first" r:id="rId11"/>
      <w:footerReference w:type="first" r:id="rId12"/>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CD1D8" w14:textId="77777777" w:rsidR="002407E0" w:rsidRDefault="002407E0" w:rsidP="006C3242">
      <w:pPr>
        <w:spacing w:before="0" w:line="240" w:lineRule="auto"/>
      </w:pPr>
      <w:r>
        <w:separator/>
      </w:r>
    </w:p>
  </w:endnote>
  <w:endnote w:type="continuationSeparator" w:id="0">
    <w:p w14:paraId="67483139" w14:textId="77777777" w:rsidR="002407E0" w:rsidRDefault="002407E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2C9026B1" w14:textId="77777777" w:rsidTr="00A67F05">
      <w:trPr>
        <w:jc w:val="center"/>
      </w:trPr>
      <w:tc>
        <w:tcPr>
          <w:tcW w:w="868" w:type="pct"/>
          <w:vAlign w:val="center"/>
        </w:tcPr>
        <w:p w14:paraId="12DF6AEC" w14:textId="7E67A621" w:rsidR="00F50E3F" w:rsidRPr="007B0AA0" w:rsidRDefault="00A738CE"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A738CE">
            <w:rPr>
              <w:rFonts w:ascii="Calibri" w:hAnsi="Calibri" w:cs="Arial"/>
              <w:sz w:val="18"/>
              <w:szCs w:val="14"/>
            </w:rPr>
            <w:t>2501484</w:t>
          </w:r>
        </w:p>
      </w:tc>
      <w:tc>
        <w:tcPr>
          <w:tcW w:w="3912" w:type="pct"/>
        </w:tcPr>
        <w:p w14:paraId="20158D71" w14:textId="2BC0965F"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A738CE">
            <w:rPr>
              <w:rFonts w:ascii="Calibri" w:hAnsi="Calibri" w:cs="Arial"/>
              <w:bCs/>
              <w:color w:val="7F7F7F"/>
              <w:sz w:val="18"/>
            </w:rPr>
            <w:t>101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5DFFA3F"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1292C0B" w14:textId="77777777" w:rsidR="006C3242" w:rsidRPr="00077A58" w:rsidRDefault="006C3242" w:rsidP="00077A58">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37D72883" w14:textId="77777777" w:rsidTr="00A67F05">
      <w:trPr>
        <w:jc w:val="center"/>
      </w:trPr>
      <w:tc>
        <w:tcPr>
          <w:tcW w:w="1013" w:type="pct"/>
          <w:vAlign w:val="center"/>
        </w:tcPr>
        <w:p w14:paraId="516BE7C1" w14:textId="77777777" w:rsidR="007B0AA0" w:rsidRPr="0096716C"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szCs w:val="18"/>
            </w:rPr>
          </w:pPr>
          <w:hyperlink r:id="rId1" w:history="1">
            <w:r w:rsidRPr="0096716C">
              <w:rPr>
                <w:rStyle w:val="Hyperlink"/>
                <w:sz w:val="18"/>
                <w:szCs w:val="18"/>
                <w:u w:val="none"/>
              </w:rPr>
              <w:t>council.itu.int/2025</w:t>
            </w:r>
          </w:hyperlink>
        </w:p>
      </w:tc>
      <w:tc>
        <w:tcPr>
          <w:tcW w:w="3768" w:type="pct"/>
        </w:tcPr>
        <w:p w14:paraId="33A6CAF4" w14:textId="121C44CE"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A738CE">
            <w:rPr>
              <w:rFonts w:ascii="Calibri" w:hAnsi="Calibri" w:cs="Arial"/>
              <w:bCs/>
              <w:color w:val="7F7F7F"/>
              <w:sz w:val="18"/>
            </w:rPr>
            <w:t>101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0C4C570"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43A06BA" w14:textId="77777777" w:rsidR="0006468A" w:rsidRPr="00077A58" w:rsidRDefault="0006468A" w:rsidP="00077A58">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028A4" w14:textId="77777777" w:rsidR="002407E0" w:rsidRDefault="002407E0" w:rsidP="006C3242">
      <w:pPr>
        <w:spacing w:before="0" w:line="240" w:lineRule="auto"/>
      </w:pPr>
      <w:r>
        <w:separator/>
      </w:r>
    </w:p>
  </w:footnote>
  <w:footnote w:type="continuationSeparator" w:id="0">
    <w:p w14:paraId="742FCE09" w14:textId="77777777" w:rsidR="002407E0" w:rsidRDefault="002407E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2C633"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AC505AB" wp14:editId="537761BD">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B6CB9"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25ED69BA" wp14:editId="1FFDC4C9">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E0"/>
    <w:rsid w:val="00020960"/>
    <w:rsid w:val="0006468A"/>
    <w:rsid w:val="00077A58"/>
    <w:rsid w:val="00090574"/>
    <w:rsid w:val="000C1C0E"/>
    <w:rsid w:val="000C548A"/>
    <w:rsid w:val="00191059"/>
    <w:rsid w:val="001B6E2B"/>
    <w:rsid w:val="001C0169"/>
    <w:rsid w:val="001C0C21"/>
    <w:rsid w:val="001D1D50"/>
    <w:rsid w:val="001D64C7"/>
    <w:rsid w:val="001D6745"/>
    <w:rsid w:val="001E446E"/>
    <w:rsid w:val="002154EE"/>
    <w:rsid w:val="002276D2"/>
    <w:rsid w:val="0023283D"/>
    <w:rsid w:val="002407E0"/>
    <w:rsid w:val="00254393"/>
    <w:rsid w:val="0026373E"/>
    <w:rsid w:val="00271C43"/>
    <w:rsid w:val="00290728"/>
    <w:rsid w:val="002978F4"/>
    <w:rsid w:val="002B028D"/>
    <w:rsid w:val="002C3F32"/>
    <w:rsid w:val="002E6541"/>
    <w:rsid w:val="0032479C"/>
    <w:rsid w:val="00334924"/>
    <w:rsid w:val="003409BC"/>
    <w:rsid w:val="00357185"/>
    <w:rsid w:val="003606D6"/>
    <w:rsid w:val="00372058"/>
    <w:rsid w:val="00383829"/>
    <w:rsid w:val="003A7166"/>
    <w:rsid w:val="003F4B29"/>
    <w:rsid w:val="00410B26"/>
    <w:rsid w:val="00420F8A"/>
    <w:rsid w:val="0042686F"/>
    <w:rsid w:val="004317D8"/>
    <w:rsid w:val="0043260A"/>
    <w:rsid w:val="00434183"/>
    <w:rsid w:val="00443869"/>
    <w:rsid w:val="00447F32"/>
    <w:rsid w:val="00486760"/>
    <w:rsid w:val="00491BA9"/>
    <w:rsid w:val="00494119"/>
    <w:rsid w:val="004A4701"/>
    <w:rsid w:val="004B7334"/>
    <w:rsid w:val="004E11DC"/>
    <w:rsid w:val="005130DE"/>
    <w:rsid w:val="00513157"/>
    <w:rsid w:val="00525DDD"/>
    <w:rsid w:val="005409AC"/>
    <w:rsid w:val="005434E0"/>
    <w:rsid w:val="005546CF"/>
    <w:rsid w:val="0055516A"/>
    <w:rsid w:val="00574A82"/>
    <w:rsid w:val="0058491B"/>
    <w:rsid w:val="00592EA5"/>
    <w:rsid w:val="005A3170"/>
    <w:rsid w:val="00616F9A"/>
    <w:rsid w:val="00657019"/>
    <w:rsid w:val="00660DEA"/>
    <w:rsid w:val="00677396"/>
    <w:rsid w:val="00683F16"/>
    <w:rsid w:val="0069200F"/>
    <w:rsid w:val="006A65CB"/>
    <w:rsid w:val="006B12E5"/>
    <w:rsid w:val="006C3242"/>
    <w:rsid w:val="006C7CC0"/>
    <w:rsid w:val="006F363C"/>
    <w:rsid w:val="006F63F7"/>
    <w:rsid w:val="00701ADF"/>
    <w:rsid w:val="007025C7"/>
    <w:rsid w:val="00706D7A"/>
    <w:rsid w:val="00722F0D"/>
    <w:rsid w:val="00735081"/>
    <w:rsid w:val="0074420E"/>
    <w:rsid w:val="00752BFA"/>
    <w:rsid w:val="007648A6"/>
    <w:rsid w:val="0077110E"/>
    <w:rsid w:val="00783E26"/>
    <w:rsid w:val="007A6684"/>
    <w:rsid w:val="007B0AA0"/>
    <w:rsid w:val="007B3EA5"/>
    <w:rsid w:val="007C3BC7"/>
    <w:rsid w:val="007C3BCD"/>
    <w:rsid w:val="007D4ACF"/>
    <w:rsid w:val="007F0787"/>
    <w:rsid w:val="00810B7B"/>
    <w:rsid w:val="0081701E"/>
    <w:rsid w:val="0082358A"/>
    <w:rsid w:val="008235CD"/>
    <w:rsid w:val="008247DE"/>
    <w:rsid w:val="008339C0"/>
    <w:rsid w:val="00840B10"/>
    <w:rsid w:val="008513CB"/>
    <w:rsid w:val="00874E9F"/>
    <w:rsid w:val="008A7F84"/>
    <w:rsid w:val="009106A2"/>
    <w:rsid w:val="0091702E"/>
    <w:rsid w:val="00923766"/>
    <w:rsid w:val="00923B0C"/>
    <w:rsid w:val="00924F46"/>
    <w:rsid w:val="00935AAC"/>
    <w:rsid w:val="0093725D"/>
    <w:rsid w:val="0094021C"/>
    <w:rsid w:val="00952F86"/>
    <w:rsid w:val="0096716C"/>
    <w:rsid w:val="00982B28"/>
    <w:rsid w:val="009B16AC"/>
    <w:rsid w:val="009D313F"/>
    <w:rsid w:val="00A47A5A"/>
    <w:rsid w:val="00A63AE6"/>
    <w:rsid w:val="00A6683B"/>
    <w:rsid w:val="00A67F05"/>
    <w:rsid w:val="00A738CE"/>
    <w:rsid w:val="00A97F94"/>
    <w:rsid w:val="00AA7EA2"/>
    <w:rsid w:val="00AB5A56"/>
    <w:rsid w:val="00B03099"/>
    <w:rsid w:val="00B05BC8"/>
    <w:rsid w:val="00B30F5E"/>
    <w:rsid w:val="00B64B47"/>
    <w:rsid w:val="00B95654"/>
    <w:rsid w:val="00B97F32"/>
    <w:rsid w:val="00BA04B2"/>
    <w:rsid w:val="00C002DE"/>
    <w:rsid w:val="00C0602B"/>
    <w:rsid w:val="00C224DA"/>
    <w:rsid w:val="00C53BF8"/>
    <w:rsid w:val="00C66157"/>
    <w:rsid w:val="00C674FE"/>
    <w:rsid w:val="00C67501"/>
    <w:rsid w:val="00C75633"/>
    <w:rsid w:val="00CE2EE1"/>
    <w:rsid w:val="00CE3349"/>
    <w:rsid w:val="00CE36E5"/>
    <w:rsid w:val="00CE4360"/>
    <w:rsid w:val="00CF27F5"/>
    <w:rsid w:val="00CF3FFD"/>
    <w:rsid w:val="00D10CCF"/>
    <w:rsid w:val="00D13941"/>
    <w:rsid w:val="00D23F5F"/>
    <w:rsid w:val="00D43F7D"/>
    <w:rsid w:val="00D63735"/>
    <w:rsid w:val="00D77D0F"/>
    <w:rsid w:val="00DA1CF0"/>
    <w:rsid w:val="00DC1E02"/>
    <w:rsid w:val="00DC24B4"/>
    <w:rsid w:val="00DC5FB0"/>
    <w:rsid w:val="00DF16DC"/>
    <w:rsid w:val="00E45211"/>
    <w:rsid w:val="00E473C5"/>
    <w:rsid w:val="00E50309"/>
    <w:rsid w:val="00E61BE8"/>
    <w:rsid w:val="00E83FF1"/>
    <w:rsid w:val="00E92863"/>
    <w:rsid w:val="00E979B2"/>
    <w:rsid w:val="00EB796D"/>
    <w:rsid w:val="00F058DC"/>
    <w:rsid w:val="00F24FC4"/>
    <w:rsid w:val="00F2676C"/>
    <w:rsid w:val="00F363FE"/>
    <w:rsid w:val="00F50E3F"/>
    <w:rsid w:val="00F84366"/>
    <w:rsid w:val="00F85089"/>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13BB6"/>
  <w15:chartTrackingRefBased/>
  <w15:docId w15:val="{161D9D2B-4BA9-412B-9099-BDA68AA1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077A58"/>
    <w:pPr>
      <w:spacing w:before="80" w:after="80"/>
      <w:ind w:left="794" w:hanging="794"/>
      <w:outlineLvl w:val="0"/>
    </w:pPr>
    <w:rPr>
      <w:lang w:bidi="ar-SY"/>
    </w:rPr>
  </w:style>
  <w:style w:type="paragraph" w:customStyle="1" w:styleId="enumlev2">
    <w:name w:val="enumlev2"/>
    <w:basedOn w:val="Normal"/>
    <w:next w:val="enumlev1"/>
    <w:qFormat/>
    <w:rsid w:val="00077A58"/>
    <w:pPr>
      <w:spacing w:before="80" w:after="80"/>
      <w:ind w:left="1588" w:hanging="794"/>
      <w:outlineLvl w:val="1"/>
    </w:pPr>
  </w:style>
  <w:style w:type="paragraph" w:customStyle="1" w:styleId="enumlev3">
    <w:name w:val="enumlev3"/>
    <w:basedOn w:val="Normal"/>
    <w:qFormat/>
    <w:rsid w:val="00077A58"/>
    <w:pPr>
      <w:spacing w:before="80" w:after="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96716C"/>
    <w:rPr>
      <w:rFonts w:ascii="Dubai" w:hAnsi="Dubai" w:cs="Dubai"/>
      <w:noProof/>
      <w:color w:val="5B9BD5"/>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itu.int%2Fdms_pub%2Fitu-s%2Fmd%2F25%2Fcl%2Fc%2FS25-CL-C-0058!!MSW-a.docx&amp;wdOrigin=BROWSELI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ew.officeapps.live.com/op/view.aspx?src=https%3A%2F%2Fwww.itu.int%2Fdms_pub%2Fitu-s%2Fmd%2F25%2Fcl%2Fc%2FS25-CL-C-0058!!MSW-a.docx&amp;wdOrigin=BROWSELIN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2</Pages>
  <Words>255</Words>
  <Characters>1464</Characters>
  <Application>Microsoft Office Word</Application>
  <DocSecurity>0</DocSecurity>
  <Lines>35</Lines>
  <Paragraphs>21</Paragraphs>
  <ScaleCrop>false</ScaleCrop>
  <HeadingPairs>
    <vt:vector size="2" baseType="variant">
      <vt:variant>
        <vt:lpstr>Title</vt:lpstr>
      </vt:variant>
      <vt:variant>
        <vt:i4>1</vt:i4>
      </vt:variant>
    </vt:vector>
  </HeadingPairs>
  <TitlesOfParts>
    <vt:vector size="1" baseType="lpstr">
      <vt:lpstr>WRC-27 location</vt:lpstr>
    </vt:vector>
  </TitlesOfParts>
  <Company>International Telecommunication Union</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WRC-27 location</dc:title>
  <dc:subject>ITU Council 2025</dc:subject>
  <cp:keywords>C2025, C25, Council-25</cp:keywords>
  <dc:description/>
  <dcterms:created xsi:type="dcterms:W3CDTF">2025-06-18T10:48:00Z</dcterms:created>
  <dcterms:modified xsi:type="dcterms:W3CDTF">2025-06-18T10:48:00Z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