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0F7468F7"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D56ABB">
              <w:rPr>
                <w:b/>
              </w:rPr>
              <w:t>PL</w:t>
            </w:r>
            <w:r w:rsidR="00F60B5A">
              <w:rPr>
                <w:b/>
              </w:rPr>
              <w:t xml:space="preserve"> 2</w:t>
            </w:r>
          </w:p>
        </w:tc>
        <w:tc>
          <w:tcPr>
            <w:tcW w:w="5245" w:type="dxa"/>
          </w:tcPr>
          <w:p w14:paraId="6779937E" w14:textId="10D28E59"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F60B5A">
              <w:rPr>
                <w:b/>
              </w:rPr>
              <w:t>100</w:t>
            </w:r>
            <w:r w:rsidRPr="00C0458D">
              <w:rPr>
                <w:b/>
              </w:rPr>
              <w:t>-E</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534B8A30" w:rsidR="00AD3606" w:rsidRPr="00C0458D" w:rsidRDefault="00F60B5A" w:rsidP="00AD3606">
            <w:pPr>
              <w:tabs>
                <w:tab w:val="left" w:pos="851"/>
              </w:tabs>
              <w:spacing w:before="0"/>
              <w:jc w:val="right"/>
              <w:rPr>
                <w:b/>
              </w:rPr>
            </w:pPr>
            <w:r>
              <w:rPr>
                <w:b/>
              </w:rPr>
              <w:t>11 June 2025</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00AD3606">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19C523EB" w:rsidR="00AD3606" w:rsidRPr="000F7289" w:rsidRDefault="00945CC6" w:rsidP="00945CC6">
            <w:pPr>
              <w:pStyle w:val="Source"/>
              <w:framePr w:hSpace="0" w:wrap="auto" w:vAnchor="margin" w:hAnchor="text" w:xAlign="left" w:yAlign="inline"/>
            </w:pPr>
            <w:bookmarkStart w:id="8" w:name="dsource" w:colFirst="0" w:colLast="0"/>
            <w:bookmarkEnd w:id="7"/>
            <w:r w:rsidRPr="00945CC6">
              <w:t xml:space="preserve">Contribution by </w:t>
            </w:r>
            <w:r w:rsidR="003A3DD0" w:rsidRPr="003A3DD0">
              <w:t>Nigeria (Federal Republic of)</w:t>
            </w:r>
          </w:p>
        </w:tc>
      </w:tr>
      <w:tr w:rsidR="00AD3606" w:rsidRPr="00C0458D" w14:paraId="3A759762" w14:textId="77777777" w:rsidTr="00AD3606">
        <w:trPr>
          <w:cantSplit/>
        </w:trPr>
        <w:tc>
          <w:tcPr>
            <w:tcW w:w="9214" w:type="dxa"/>
            <w:gridSpan w:val="2"/>
            <w:tcMar>
              <w:left w:w="0" w:type="dxa"/>
            </w:tcMar>
          </w:tcPr>
          <w:p w14:paraId="2A2DCF47" w14:textId="25BF3367" w:rsidR="00AD3606" w:rsidRPr="000F7289" w:rsidRDefault="003A3DD0" w:rsidP="000F7289">
            <w:pPr>
              <w:pStyle w:val="Subtitle"/>
              <w:framePr w:hSpace="0" w:wrap="auto" w:xAlign="left" w:yAlign="inline"/>
            </w:pPr>
            <w:bookmarkStart w:id="9" w:name="dtitle1" w:colFirst="0" w:colLast="0"/>
            <w:bookmarkEnd w:id="8"/>
            <w:r w:rsidRPr="003A3DD0">
              <w:t>WORLD TELECOMMUNICATION AND INFORMATION SOCIETY DAY 2026</w:t>
            </w:r>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602F71CA" w:rsidR="00AD3606" w:rsidRPr="00C0458D" w:rsidRDefault="00F16BAB" w:rsidP="00F16BAB">
            <w:pPr>
              <w:spacing w:before="160"/>
              <w:rPr>
                <w:b/>
                <w:bCs/>
                <w:sz w:val="26"/>
                <w:szCs w:val="26"/>
              </w:rPr>
            </w:pPr>
            <w:r w:rsidRPr="00C0458D">
              <w:rPr>
                <w:b/>
                <w:bCs/>
                <w:sz w:val="26"/>
                <w:szCs w:val="26"/>
              </w:rPr>
              <w:t>Purpose</w:t>
            </w:r>
          </w:p>
          <w:p w14:paraId="67D070EA" w14:textId="14826348" w:rsidR="00AD3606" w:rsidRPr="00C0458D" w:rsidRDefault="006F5B42" w:rsidP="006F5B42">
            <w:r w:rsidRPr="006F5B42">
              <w:t>This document proposes the theme “Digital Lifelines: Strengthening Resilience in a Connected World” for consideration for celebration of the World Telecommunication and Information Society Day 2026 (“WTISD-26”), reflecting the growing need for robust, secure, and adaptable telecommunications/ICT infrastructure to underpin the global digital economy and ensure continuity of essential services amid evolving challenges.</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731F0870" w14:textId="5ACC880F" w:rsidR="00453079" w:rsidRPr="00453079" w:rsidRDefault="006F5B42" w:rsidP="006F5B42">
            <w:pPr>
              <w:spacing w:before="160"/>
              <w:rPr>
                <w:szCs w:val="24"/>
              </w:rPr>
            </w:pPr>
            <w:r w:rsidRPr="006F5B42">
              <w:rPr>
                <w:szCs w:val="24"/>
              </w:rPr>
              <w:t xml:space="preserve">The Council is invited to </w:t>
            </w:r>
            <w:r w:rsidRPr="006F5B42">
              <w:rPr>
                <w:b/>
                <w:bCs/>
                <w:szCs w:val="24"/>
              </w:rPr>
              <w:t>consider</w:t>
            </w:r>
            <w:r w:rsidRPr="006F5B42">
              <w:rPr>
                <w:szCs w:val="24"/>
              </w:rPr>
              <w:t xml:space="preserve"> this document and to </w:t>
            </w:r>
            <w:r w:rsidRPr="006F5B42">
              <w:rPr>
                <w:b/>
                <w:bCs/>
                <w:szCs w:val="24"/>
              </w:rPr>
              <w:t>support</w:t>
            </w:r>
            <w:r w:rsidRPr="006F5B42">
              <w:rPr>
                <w:szCs w:val="24"/>
              </w:rPr>
              <w:t xml:space="preserve"> the following theme for the WTISD-26 - Digital Lifelines: Strengthening Resilience in a Connected World.</w:t>
            </w:r>
          </w:p>
          <w:p w14:paraId="7089D4B7" w14:textId="6165F93A" w:rsidR="00AD3606" w:rsidRPr="00722551" w:rsidRDefault="00AD3606" w:rsidP="00F16BAB">
            <w:pPr>
              <w:spacing w:after="160"/>
              <w:rPr>
                <w:i/>
                <w:iCs/>
                <w:sz w:val="22"/>
                <w:szCs w:val="22"/>
              </w:rPr>
            </w:pPr>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0"/>
    <w:p w14:paraId="42E0936C" w14:textId="77777777" w:rsidR="00EC7647" w:rsidRPr="008F3BEA" w:rsidRDefault="00EC7647" w:rsidP="00EC7647">
      <w:pPr>
        <w:pStyle w:val="Reasons"/>
        <w:numPr>
          <w:ilvl w:val="0"/>
          <w:numId w:val="2"/>
        </w:numPr>
        <w:spacing w:before="120" w:after="120"/>
        <w:ind w:left="0" w:firstLine="0"/>
        <w:jc w:val="both"/>
        <w:rPr>
          <w:rFonts w:ascii="Calibri" w:hAnsi="Calibri"/>
          <w:b/>
          <w:bCs/>
          <w:lang w:val="en-GB"/>
        </w:rPr>
      </w:pPr>
      <w:r w:rsidRPr="008F3BEA">
        <w:rPr>
          <w:rFonts w:ascii="Calibri" w:hAnsi="Calibri"/>
          <w:b/>
          <w:bCs/>
          <w:lang w:val="en-GB"/>
        </w:rPr>
        <w:lastRenderedPageBreak/>
        <w:t>Introduction:</w:t>
      </w:r>
    </w:p>
    <w:p w14:paraId="41E30285" w14:textId="77777777" w:rsidR="00EC7647" w:rsidRPr="00A37797" w:rsidRDefault="00EC7647" w:rsidP="00EC7647">
      <w:pPr>
        <w:pStyle w:val="Reasons"/>
        <w:spacing w:before="160" w:after="120"/>
        <w:jc w:val="both"/>
        <w:rPr>
          <w:rFonts w:asciiTheme="minorHAnsi" w:hAnsiTheme="minorHAnsi" w:cstheme="minorHAnsi"/>
          <w:lang w:val="en-GB"/>
        </w:rPr>
      </w:pPr>
      <w:r>
        <w:rPr>
          <w:rFonts w:asciiTheme="minorHAnsi" w:hAnsiTheme="minorHAnsi" w:cstheme="minorHAnsi"/>
          <w:lang w:val="en-GB"/>
        </w:rPr>
        <w:t>1.1</w:t>
      </w:r>
      <w:r>
        <w:rPr>
          <w:rFonts w:asciiTheme="minorHAnsi" w:hAnsiTheme="minorHAnsi" w:cstheme="minorHAnsi"/>
          <w:lang w:val="en-GB"/>
        </w:rPr>
        <w:tab/>
      </w:r>
      <w:r w:rsidRPr="00A37797">
        <w:rPr>
          <w:rFonts w:asciiTheme="minorHAnsi" w:hAnsiTheme="minorHAnsi" w:cstheme="minorHAnsi"/>
          <w:lang w:val="en-GB"/>
        </w:rPr>
        <w:t>In today’s interconnected world, resilient ICT systems are foundational to economic stability, inclusive growth, and technological innovation. From terrestrial networks and cybersecurity frameworks to submarine cables and space-based communications, each layer of global connectivity must be fortified to withstand disruptions from natural disasters, accidental damage, cyber threats, pandemics and other global risks.</w:t>
      </w:r>
    </w:p>
    <w:p w14:paraId="256D89B0" w14:textId="77777777" w:rsidR="00EC7647" w:rsidRPr="00A37797" w:rsidRDefault="00EC7647" w:rsidP="00EC7647">
      <w:pPr>
        <w:pStyle w:val="Reasons"/>
        <w:spacing w:before="160" w:after="120"/>
        <w:jc w:val="both"/>
        <w:rPr>
          <w:rFonts w:asciiTheme="minorHAnsi" w:hAnsiTheme="minorHAnsi" w:cstheme="minorHAnsi"/>
          <w:lang w:val="en-GB"/>
        </w:rPr>
      </w:pPr>
      <w:r>
        <w:rPr>
          <w:rFonts w:asciiTheme="minorHAnsi" w:hAnsiTheme="minorHAnsi" w:cstheme="minorHAnsi"/>
          <w:lang w:val="en-GB"/>
        </w:rPr>
        <w:t>1.2</w:t>
      </w:r>
      <w:r>
        <w:rPr>
          <w:rFonts w:asciiTheme="minorHAnsi" w:hAnsiTheme="minorHAnsi" w:cstheme="minorHAnsi"/>
          <w:lang w:val="en-GB"/>
        </w:rPr>
        <w:tab/>
      </w:r>
      <w:r w:rsidRPr="00A37797">
        <w:rPr>
          <w:rFonts w:asciiTheme="minorHAnsi" w:hAnsiTheme="minorHAnsi" w:cstheme="minorHAnsi"/>
          <w:lang w:val="en-GB"/>
        </w:rPr>
        <w:t xml:space="preserve">Submarine cables alone carry over 99% of international traffic, highlighting the urgency of safeguarding this critical infrastructure. The work of the ITU’s International Advisory Body on Submarine Cable Resilience exemplifies the importance of international collaboration, best practice sharing, and strategic investment to secure this lifeline of the digital economy. </w:t>
      </w:r>
    </w:p>
    <w:p w14:paraId="207A2FAA" w14:textId="77777777" w:rsidR="00EC7647" w:rsidRDefault="00EC7647" w:rsidP="00EC7647">
      <w:pPr>
        <w:pStyle w:val="Reasons"/>
        <w:spacing w:before="160" w:after="120"/>
        <w:jc w:val="both"/>
        <w:rPr>
          <w:rFonts w:asciiTheme="minorHAnsi" w:hAnsiTheme="minorHAnsi" w:cstheme="minorHAnsi"/>
          <w:lang w:val="en-GB"/>
        </w:rPr>
      </w:pPr>
      <w:r>
        <w:rPr>
          <w:rFonts w:asciiTheme="minorHAnsi" w:hAnsiTheme="minorHAnsi" w:cstheme="minorHAnsi"/>
          <w:lang w:val="en-GB"/>
        </w:rPr>
        <w:t>1.3</w:t>
      </w:r>
      <w:r>
        <w:rPr>
          <w:rFonts w:asciiTheme="minorHAnsi" w:hAnsiTheme="minorHAnsi" w:cstheme="minorHAnsi"/>
          <w:lang w:val="en-GB"/>
        </w:rPr>
        <w:tab/>
      </w:r>
      <w:r w:rsidRPr="00A37797">
        <w:rPr>
          <w:rFonts w:asciiTheme="minorHAnsi" w:hAnsiTheme="minorHAnsi" w:cstheme="minorHAnsi"/>
          <w:lang w:val="en-GB"/>
        </w:rPr>
        <w:t>Likewise, satellite networks extend connectivity to remote and underserved areas, promoting inclusion and bridging the digital divide—goals that can only be realized through resilient and secure space communications.</w:t>
      </w:r>
    </w:p>
    <w:p w14:paraId="7AC406D4" w14:textId="44F25A2C" w:rsidR="00EC7647" w:rsidRDefault="00EC7647" w:rsidP="00EC7647">
      <w:pPr>
        <w:pStyle w:val="Reasons"/>
        <w:spacing w:before="160" w:after="120"/>
        <w:jc w:val="both"/>
        <w:rPr>
          <w:rFonts w:asciiTheme="minorHAnsi" w:hAnsiTheme="minorHAnsi" w:cstheme="minorHAnsi"/>
          <w:lang w:val="en-GB"/>
        </w:rPr>
      </w:pPr>
      <w:r>
        <w:rPr>
          <w:rFonts w:asciiTheme="minorHAnsi" w:hAnsiTheme="minorHAnsi" w:cstheme="minorHAnsi"/>
          <w:lang w:val="en-GB"/>
        </w:rPr>
        <w:t>1.4</w:t>
      </w:r>
      <w:r>
        <w:rPr>
          <w:rFonts w:asciiTheme="minorHAnsi" w:hAnsiTheme="minorHAnsi" w:cstheme="minorHAnsi"/>
          <w:lang w:val="en-GB"/>
        </w:rPr>
        <w:tab/>
      </w:r>
      <w:r w:rsidRPr="00A37797">
        <w:rPr>
          <w:rFonts w:asciiTheme="minorHAnsi" w:hAnsiTheme="minorHAnsi" w:cstheme="minorHAnsi"/>
          <w:lang w:val="en-GB"/>
        </w:rPr>
        <w:t>Cybersecurity is equally vital. Trust in digital systems depends on strong cyber resilience, enabling reliable e-commerce, public service delivery, and financial systems.</w:t>
      </w:r>
    </w:p>
    <w:p w14:paraId="32FF3EEC" w14:textId="77777777" w:rsidR="00EC7647" w:rsidRDefault="00EC7647" w:rsidP="00EC7647">
      <w:pPr>
        <w:pStyle w:val="Reasons"/>
        <w:spacing w:before="160" w:after="120"/>
        <w:jc w:val="both"/>
        <w:rPr>
          <w:rFonts w:asciiTheme="minorHAnsi" w:hAnsiTheme="minorHAnsi" w:cstheme="minorHAnsi"/>
          <w:lang w:val="en-GB"/>
        </w:rPr>
      </w:pPr>
      <w:r>
        <w:rPr>
          <w:rFonts w:asciiTheme="minorHAnsi" w:hAnsiTheme="minorHAnsi" w:cstheme="minorHAnsi"/>
          <w:lang w:val="en-GB"/>
        </w:rPr>
        <w:t>1.5</w:t>
      </w:r>
      <w:r>
        <w:rPr>
          <w:rFonts w:asciiTheme="minorHAnsi" w:hAnsiTheme="minorHAnsi" w:cstheme="minorHAnsi"/>
          <w:lang w:val="en-GB"/>
        </w:rPr>
        <w:tab/>
      </w:r>
      <w:r w:rsidRPr="001F48B8">
        <w:rPr>
          <w:rFonts w:asciiTheme="minorHAnsi" w:hAnsiTheme="minorHAnsi" w:cstheme="minorHAnsi"/>
          <w:lang w:val="en-GB"/>
        </w:rPr>
        <w:t xml:space="preserve">To strengthen the global </w:t>
      </w:r>
      <w:r>
        <w:rPr>
          <w:rFonts w:asciiTheme="minorHAnsi" w:hAnsiTheme="minorHAnsi" w:cstheme="minorHAnsi"/>
          <w:lang w:val="en-GB"/>
        </w:rPr>
        <w:t>ICT</w:t>
      </w:r>
      <w:r w:rsidRPr="001F48B8">
        <w:rPr>
          <w:rFonts w:asciiTheme="minorHAnsi" w:hAnsiTheme="minorHAnsi" w:cstheme="minorHAnsi"/>
          <w:lang w:val="en-GB"/>
        </w:rPr>
        <w:t xml:space="preserve"> backbone, a holistic approach is needed—one that integrates robust technical infrastructure, adaptive policy and regulatory frameworks, investment in human capacity, and international cooperation.</w:t>
      </w:r>
    </w:p>
    <w:p w14:paraId="5D7ACA8D" w14:textId="77777777" w:rsidR="00EC7647" w:rsidRPr="00106E56" w:rsidRDefault="00EC7647" w:rsidP="00EC7647">
      <w:pPr>
        <w:pStyle w:val="Reasons"/>
        <w:spacing w:before="480" w:after="120"/>
        <w:jc w:val="both"/>
        <w:rPr>
          <w:rFonts w:asciiTheme="minorHAnsi" w:hAnsiTheme="minorHAnsi" w:cstheme="minorHAnsi"/>
          <w:b/>
          <w:bCs/>
          <w:lang w:val="en-GB"/>
        </w:rPr>
      </w:pPr>
      <w:r w:rsidRPr="00106E56">
        <w:rPr>
          <w:rFonts w:asciiTheme="minorHAnsi" w:hAnsiTheme="minorHAnsi" w:cstheme="minorHAnsi"/>
          <w:b/>
          <w:bCs/>
          <w:lang w:val="en-GB"/>
        </w:rPr>
        <w:t xml:space="preserve">2. </w:t>
      </w:r>
      <w:r w:rsidRPr="00106E56">
        <w:rPr>
          <w:rFonts w:asciiTheme="minorHAnsi" w:hAnsiTheme="minorHAnsi" w:cstheme="minorHAnsi"/>
          <w:b/>
          <w:bCs/>
          <w:lang w:val="en-GB"/>
        </w:rPr>
        <w:tab/>
      </w:r>
      <w:r>
        <w:rPr>
          <w:rFonts w:asciiTheme="minorHAnsi" w:hAnsiTheme="minorHAnsi" w:cstheme="minorHAnsi"/>
          <w:b/>
          <w:bCs/>
          <w:lang w:val="en-GB"/>
        </w:rPr>
        <w:t>Proposal</w:t>
      </w:r>
    </w:p>
    <w:p w14:paraId="47B7B801" w14:textId="77777777" w:rsidR="00EC7647" w:rsidRPr="00106E56" w:rsidRDefault="00EC7647" w:rsidP="00EC7647">
      <w:pPr>
        <w:tabs>
          <w:tab w:val="clear" w:pos="567"/>
          <w:tab w:val="clear" w:pos="1134"/>
          <w:tab w:val="clear" w:pos="1701"/>
          <w:tab w:val="clear" w:pos="2268"/>
          <w:tab w:val="clear" w:pos="2835"/>
        </w:tabs>
        <w:spacing w:before="160" w:after="120"/>
        <w:jc w:val="both"/>
        <w:rPr>
          <w:rFonts w:asciiTheme="minorHAnsi" w:hAnsiTheme="minorHAnsi" w:cstheme="minorHAnsi"/>
          <w:szCs w:val="24"/>
        </w:rPr>
      </w:pPr>
      <w:r w:rsidRPr="0045189B">
        <w:t>Nigeria believes that resilience must be a shared priority. Member States, industry, and international organizations must work together to strengthen ICT ecosystems and ensure no one is left behind in the digital transition. Celebrating WTISD under the theme of "Resilience" will spotlight urgent needs, inspire policy innovation, and galvanize collective action to build a safer, more inclusive digital future.</w:t>
      </w:r>
    </w:p>
    <w:p w14:paraId="6E1AE636" w14:textId="77777777" w:rsidR="00EC7647" w:rsidRPr="00106E56" w:rsidRDefault="00EC7647" w:rsidP="00EC7647">
      <w:pPr>
        <w:jc w:val="both"/>
        <w:rPr>
          <w:rFonts w:asciiTheme="minorHAnsi" w:hAnsiTheme="minorHAnsi" w:cstheme="minorHAnsi"/>
          <w:szCs w:val="24"/>
        </w:rPr>
      </w:pPr>
    </w:p>
    <w:p w14:paraId="35C6D0A5" w14:textId="77777777" w:rsidR="007A3FCD" w:rsidRPr="00C0458D" w:rsidRDefault="007A3FCD" w:rsidP="007A3FCD">
      <w:pPr>
        <w:jc w:val="center"/>
      </w:pPr>
      <w:r>
        <w:t>______________</w:t>
      </w:r>
    </w:p>
    <w:sectPr w:rsidR="007A3FCD" w:rsidRPr="00C0458D"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9AFA3" w14:textId="77777777" w:rsidR="004811F8" w:rsidRDefault="004811F8">
      <w:r>
        <w:separator/>
      </w:r>
    </w:p>
  </w:endnote>
  <w:endnote w:type="continuationSeparator" w:id="0">
    <w:p w14:paraId="234D2D80" w14:textId="77777777" w:rsidR="004811F8" w:rsidRDefault="0048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42469C">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38818228"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00D7352B">
            <w:rPr>
              <w:bCs/>
            </w:rPr>
            <w:t>/100</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239E98E4"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D7352B">
            <w:rPr>
              <w:bCs/>
            </w:rPr>
            <w:t>100</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A8FD0" w14:textId="77777777" w:rsidR="004811F8" w:rsidRDefault="004811F8">
      <w:r>
        <w:t>____________________</w:t>
      </w:r>
    </w:p>
  </w:footnote>
  <w:footnote w:type="continuationSeparator" w:id="0">
    <w:p w14:paraId="5AD217CC" w14:textId="77777777" w:rsidR="004811F8" w:rsidRDefault="0048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C91CFC">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5DDEC" id="Rectangle 5" o:spid="_x0000_s1026" style="position:absolute;margin-left:.3pt;margin-top:47.3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B41C0C"/>
    <w:multiLevelType w:val="hybridMultilevel"/>
    <w:tmpl w:val="3BB87190"/>
    <w:lvl w:ilvl="0" w:tplc="0EF89FE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816267">
    <w:abstractNumId w:val="0"/>
  </w:num>
  <w:num w:numId="2" w16cid:durableId="800729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6007D"/>
    <w:rsid w:val="00063016"/>
    <w:rsid w:val="00066795"/>
    <w:rsid w:val="000675D3"/>
    <w:rsid w:val="000745AB"/>
    <w:rsid w:val="00076AF6"/>
    <w:rsid w:val="00085CF2"/>
    <w:rsid w:val="000B1705"/>
    <w:rsid w:val="000D75B2"/>
    <w:rsid w:val="000F5DDB"/>
    <w:rsid w:val="000F7289"/>
    <w:rsid w:val="001121F5"/>
    <w:rsid w:val="001400DC"/>
    <w:rsid w:val="00140CE1"/>
    <w:rsid w:val="0017539C"/>
    <w:rsid w:val="00175AC2"/>
    <w:rsid w:val="0017609F"/>
    <w:rsid w:val="001A3154"/>
    <w:rsid w:val="001A7D1D"/>
    <w:rsid w:val="001B51DD"/>
    <w:rsid w:val="001C628E"/>
    <w:rsid w:val="001E0F7B"/>
    <w:rsid w:val="001F5569"/>
    <w:rsid w:val="002119FD"/>
    <w:rsid w:val="002130E0"/>
    <w:rsid w:val="00221F46"/>
    <w:rsid w:val="00264425"/>
    <w:rsid w:val="00265875"/>
    <w:rsid w:val="0027303B"/>
    <w:rsid w:val="0028109B"/>
    <w:rsid w:val="002A2188"/>
    <w:rsid w:val="002B1F58"/>
    <w:rsid w:val="002C1C7A"/>
    <w:rsid w:val="002C54E2"/>
    <w:rsid w:val="0030160F"/>
    <w:rsid w:val="00302603"/>
    <w:rsid w:val="00320223"/>
    <w:rsid w:val="00322D0D"/>
    <w:rsid w:val="00361465"/>
    <w:rsid w:val="003877F5"/>
    <w:rsid w:val="003936D3"/>
    <w:rsid w:val="003942D4"/>
    <w:rsid w:val="003958A8"/>
    <w:rsid w:val="003A3DD0"/>
    <w:rsid w:val="003B29C2"/>
    <w:rsid w:val="003C2533"/>
    <w:rsid w:val="003D5A7F"/>
    <w:rsid w:val="0040435A"/>
    <w:rsid w:val="00416A24"/>
    <w:rsid w:val="00427BFF"/>
    <w:rsid w:val="00431D9E"/>
    <w:rsid w:val="00433CE8"/>
    <w:rsid w:val="00434A5C"/>
    <w:rsid w:val="00453079"/>
    <w:rsid w:val="004544D9"/>
    <w:rsid w:val="00472BAD"/>
    <w:rsid w:val="004811F8"/>
    <w:rsid w:val="00484009"/>
    <w:rsid w:val="004870DF"/>
    <w:rsid w:val="00490E72"/>
    <w:rsid w:val="00491157"/>
    <w:rsid w:val="00491BA9"/>
    <w:rsid w:val="004921C8"/>
    <w:rsid w:val="00495B0B"/>
    <w:rsid w:val="004A1B8B"/>
    <w:rsid w:val="004B25A1"/>
    <w:rsid w:val="004D1851"/>
    <w:rsid w:val="004D599D"/>
    <w:rsid w:val="004E2EA5"/>
    <w:rsid w:val="004E3AEB"/>
    <w:rsid w:val="0050223C"/>
    <w:rsid w:val="005243FF"/>
    <w:rsid w:val="00564FBC"/>
    <w:rsid w:val="005800BC"/>
    <w:rsid w:val="00582442"/>
    <w:rsid w:val="005F3269"/>
    <w:rsid w:val="00623AE3"/>
    <w:rsid w:val="00630C4D"/>
    <w:rsid w:val="00644EC6"/>
    <w:rsid w:val="0064737F"/>
    <w:rsid w:val="006535F1"/>
    <w:rsid w:val="0065557D"/>
    <w:rsid w:val="00660D50"/>
    <w:rsid w:val="00662984"/>
    <w:rsid w:val="006716BB"/>
    <w:rsid w:val="006B1859"/>
    <w:rsid w:val="006B6680"/>
    <w:rsid w:val="006B6DCC"/>
    <w:rsid w:val="006B77F1"/>
    <w:rsid w:val="006C5ECF"/>
    <w:rsid w:val="006F5B42"/>
    <w:rsid w:val="00702DEF"/>
    <w:rsid w:val="00706861"/>
    <w:rsid w:val="00722551"/>
    <w:rsid w:val="007249F0"/>
    <w:rsid w:val="0075051B"/>
    <w:rsid w:val="0077110E"/>
    <w:rsid w:val="00793188"/>
    <w:rsid w:val="00794D34"/>
    <w:rsid w:val="007A3FCD"/>
    <w:rsid w:val="007B19CF"/>
    <w:rsid w:val="007D01AF"/>
    <w:rsid w:val="00813E5E"/>
    <w:rsid w:val="0083581B"/>
    <w:rsid w:val="00863874"/>
    <w:rsid w:val="00864AFF"/>
    <w:rsid w:val="00865925"/>
    <w:rsid w:val="008B4A6A"/>
    <w:rsid w:val="008C7E27"/>
    <w:rsid w:val="008F7448"/>
    <w:rsid w:val="0090147A"/>
    <w:rsid w:val="009173EF"/>
    <w:rsid w:val="00932906"/>
    <w:rsid w:val="00945CC6"/>
    <w:rsid w:val="00961B0B"/>
    <w:rsid w:val="00962D33"/>
    <w:rsid w:val="009B38C3"/>
    <w:rsid w:val="009E17BD"/>
    <w:rsid w:val="009E485A"/>
    <w:rsid w:val="00A04CEC"/>
    <w:rsid w:val="00A27F92"/>
    <w:rsid w:val="00A32257"/>
    <w:rsid w:val="00A36D20"/>
    <w:rsid w:val="00A514A4"/>
    <w:rsid w:val="00A55622"/>
    <w:rsid w:val="00A83502"/>
    <w:rsid w:val="00A94BAB"/>
    <w:rsid w:val="00AD15B3"/>
    <w:rsid w:val="00AD3606"/>
    <w:rsid w:val="00AD4A3D"/>
    <w:rsid w:val="00AD677D"/>
    <w:rsid w:val="00AF6E49"/>
    <w:rsid w:val="00B04A67"/>
    <w:rsid w:val="00B0583C"/>
    <w:rsid w:val="00B40A81"/>
    <w:rsid w:val="00B44910"/>
    <w:rsid w:val="00B518E3"/>
    <w:rsid w:val="00B72267"/>
    <w:rsid w:val="00B76EB6"/>
    <w:rsid w:val="00B7737B"/>
    <w:rsid w:val="00B824C8"/>
    <w:rsid w:val="00B84B9D"/>
    <w:rsid w:val="00B9131F"/>
    <w:rsid w:val="00BB0646"/>
    <w:rsid w:val="00BC251A"/>
    <w:rsid w:val="00BD032B"/>
    <w:rsid w:val="00BE01C6"/>
    <w:rsid w:val="00BE2640"/>
    <w:rsid w:val="00BF1FDE"/>
    <w:rsid w:val="00C01189"/>
    <w:rsid w:val="00C0458D"/>
    <w:rsid w:val="00C05BCF"/>
    <w:rsid w:val="00C374DE"/>
    <w:rsid w:val="00C47AD4"/>
    <w:rsid w:val="00C52D81"/>
    <w:rsid w:val="00C55198"/>
    <w:rsid w:val="00C6520B"/>
    <w:rsid w:val="00CA6393"/>
    <w:rsid w:val="00CA7995"/>
    <w:rsid w:val="00CB18FF"/>
    <w:rsid w:val="00CD0C08"/>
    <w:rsid w:val="00CE03FB"/>
    <w:rsid w:val="00CE433C"/>
    <w:rsid w:val="00CF0161"/>
    <w:rsid w:val="00CF33F3"/>
    <w:rsid w:val="00CF4A2B"/>
    <w:rsid w:val="00D024CA"/>
    <w:rsid w:val="00D06183"/>
    <w:rsid w:val="00D22C42"/>
    <w:rsid w:val="00D56ABB"/>
    <w:rsid w:val="00D65041"/>
    <w:rsid w:val="00D7352B"/>
    <w:rsid w:val="00DB1936"/>
    <w:rsid w:val="00DB384B"/>
    <w:rsid w:val="00DD11ED"/>
    <w:rsid w:val="00DF0189"/>
    <w:rsid w:val="00DF26C9"/>
    <w:rsid w:val="00E06FD5"/>
    <w:rsid w:val="00E10E80"/>
    <w:rsid w:val="00E124F0"/>
    <w:rsid w:val="00E227F3"/>
    <w:rsid w:val="00E545C6"/>
    <w:rsid w:val="00E60F04"/>
    <w:rsid w:val="00E65B24"/>
    <w:rsid w:val="00E854E4"/>
    <w:rsid w:val="00E86DBF"/>
    <w:rsid w:val="00E969AF"/>
    <w:rsid w:val="00EB0D6F"/>
    <w:rsid w:val="00EB2232"/>
    <w:rsid w:val="00EC5337"/>
    <w:rsid w:val="00EC7647"/>
    <w:rsid w:val="00EE49E8"/>
    <w:rsid w:val="00F16BAB"/>
    <w:rsid w:val="00F2150A"/>
    <w:rsid w:val="00F231D8"/>
    <w:rsid w:val="00F41209"/>
    <w:rsid w:val="00F44C00"/>
    <w:rsid w:val="00F45D2C"/>
    <w:rsid w:val="00F46C5F"/>
    <w:rsid w:val="00F60B5A"/>
    <w:rsid w:val="00F632C0"/>
    <w:rsid w:val="00F641E1"/>
    <w:rsid w:val="00F94A63"/>
    <w:rsid w:val="00FA1C28"/>
    <w:rsid w:val="00FB1279"/>
    <w:rsid w:val="00FB6B76"/>
    <w:rsid w:val="00FB7596"/>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SGO\SPM\GBS\C25\doc\Templates\For%20pool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PE_Council25.dotx</Template>
  <TotalTime>18</TotalTime>
  <Pages>2</Pages>
  <Words>359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Contribution by Nigeria - World Telecommunication and Information Society Day 2026</vt:lpstr>
    </vt:vector>
  </TitlesOfParts>
  <Manager>General Secretariat</Manager>
  <Company>International Telecommunication Union (ITU)</Company>
  <LinksUpToDate>false</LinksUpToDate>
  <CharactersWithSpaces>2689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Nigeria - World Telecommunication and Information Society Day 2026</dc:title>
  <dc:subject>Council 2025</dc:subject>
  <dc:creator>LRT</dc:creator>
  <cp:keywords>C25; C2025; Council 2025; ITU160</cp:keywords>
  <dc:description/>
  <cp:lastModifiedBy>GBS</cp:lastModifiedBy>
  <cp:revision>3</cp:revision>
  <cp:lastPrinted>2000-07-18T13:30:00Z</cp:lastPrinted>
  <dcterms:created xsi:type="dcterms:W3CDTF">2025-06-12T09:41:00Z</dcterms:created>
  <dcterms:modified xsi:type="dcterms:W3CDTF">2025-06-12T10:06:00Z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ies>
</file>