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BB6FD8" w14:paraId="6801A173" w14:textId="77777777" w:rsidTr="00C538FC">
        <w:trPr>
          <w:cantSplit/>
          <w:trHeight w:val="23"/>
        </w:trPr>
        <w:tc>
          <w:tcPr>
            <w:tcW w:w="3969" w:type="dxa"/>
            <w:vMerge w:val="restart"/>
            <w:tcMar>
              <w:left w:w="0" w:type="dxa"/>
            </w:tcMar>
          </w:tcPr>
          <w:p w14:paraId="65C1B3B7" w14:textId="7CD6AA0A" w:rsidR="00FE57F6" w:rsidRPr="00BB6FD8" w:rsidRDefault="00BB6FD8" w:rsidP="00C538FC">
            <w:pPr>
              <w:tabs>
                <w:tab w:val="left" w:pos="851"/>
              </w:tabs>
              <w:spacing w:before="0" w:line="240" w:lineRule="atLeast"/>
              <w:rPr>
                <w:b/>
              </w:rPr>
            </w:pPr>
            <w:bookmarkStart w:id="0" w:name="_Hlk133421839"/>
            <w:r w:rsidRPr="00BB6FD8">
              <w:rPr>
                <w:b/>
              </w:rPr>
              <w:t>Orden del día</w:t>
            </w:r>
            <w:r w:rsidR="00FE57F6" w:rsidRPr="00BB6FD8">
              <w:rPr>
                <w:b/>
              </w:rPr>
              <w:t xml:space="preserve">: </w:t>
            </w:r>
            <w:r w:rsidR="007E3028">
              <w:rPr>
                <w:b/>
              </w:rPr>
              <w:t>ADM 1</w:t>
            </w:r>
          </w:p>
        </w:tc>
        <w:tc>
          <w:tcPr>
            <w:tcW w:w="5245" w:type="dxa"/>
          </w:tcPr>
          <w:p w14:paraId="53185855" w14:textId="1545D74E" w:rsidR="00FE57F6" w:rsidRPr="00BB6FD8" w:rsidRDefault="00FE57F6" w:rsidP="00C538FC">
            <w:pPr>
              <w:tabs>
                <w:tab w:val="left" w:pos="851"/>
              </w:tabs>
              <w:spacing w:before="0" w:line="240" w:lineRule="atLeast"/>
              <w:jc w:val="right"/>
              <w:rPr>
                <w:b/>
              </w:rPr>
            </w:pPr>
            <w:r w:rsidRPr="00BB6FD8">
              <w:rPr>
                <w:b/>
              </w:rPr>
              <w:t>Document</w:t>
            </w:r>
            <w:r w:rsidR="00F24B71" w:rsidRPr="00BB6FD8">
              <w:rPr>
                <w:b/>
              </w:rPr>
              <w:t>o</w:t>
            </w:r>
            <w:r w:rsidRPr="00BB6FD8">
              <w:rPr>
                <w:b/>
              </w:rPr>
              <w:t xml:space="preserve"> C2</w:t>
            </w:r>
            <w:r w:rsidR="00BB6FD8" w:rsidRPr="00BB6FD8">
              <w:rPr>
                <w:b/>
              </w:rPr>
              <w:t>5</w:t>
            </w:r>
            <w:r w:rsidRPr="00BB6FD8">
              <w:rPr>
                <w:b/>
              </w:rPr>
              <w:t>/</w:t>
            </w:r>
            <w:r w:rsidR="007E3028">
              <w:rPr>
                <w:b/>
              </w:rPr>
              <w:t>98</w:t>
            </w:r>
            <w:r w:rsidRPr="00BB6FD8">
              <w:rPr>
                <w:b/>
              </w:rPr>
              <w:t>-</w:t>
            </w:r>
            <w:r w:rsidR="00F24B71" w:rsidRPr="00BB6FD8">
              <w:rPr>
                <w:b/>
              </w:rPr>
              <w:t>S</w:t>
            </w:r>
          </w:p>
        </w:tc>
      </w:tr>
      <w:tr w:rsidR="00FE57F6" w:rsidRPr="00666D09" w14:paraId="0FE317E4" w14:textId="77777777" w:rsidTr="00C538FC">
        <w:trPr>
          <w:cantSplit/>
        </w:trPr>
        <w:tc>
          <w:tcPr>
            <w:tcW w:w="3969" w:type="dxa"/>
            <w:vMerge/>
          </w:tcPr>
          <w:p w14:paraId="219B9A30" w14:textId="77777777" w:rsidR="00FE57F6" w:rsidRPr="00BB6FD8" w:rsidRDefault="00FE57F6" w:rsidP="00C538FC">
            <w:pPr>
              <w:tabs>
                <w:tab w:val="left" w:pos="851"/>
              </w:tabs>
              <w:spacing w:line="240" w:lineRule="atLeast"/>
              <w:rPr>
                <w:b/>
              </w:rPr>
            </w:pPr>
          </w:p>
        </w:tc>
        <w:tc>
          <w:tcPr>
            <w:tcW w:w="5245" w:type="dxa"/>
          </w:tcPr>
          <w:p w14:paraId="6976DC02" w14:textId="2A993244" w:rsidR="00FE57F6" w:rsidRPr="00666D09" w:rsidRDefault="007E3028" w:rsidP="00C538FC">
            <w:pPr>
              <w:tabs>
                <w:tab w:val="left" w:pos="851"/>
              </w:tabs>
              <w:spacing w:before="0"/>
              <w:jc w:val="right"/>
              <w:rPr>
                <w:b/>
                <w:lang w:val="en-GB"/>
              </w:rPr>
            </w:pPr>
            <w:r>
              <w:rPr>
                <w:b/>
              </w:rPr>
              <w:t>6 de junio de 2025</w:t>
            </w:r>
          </w:p>
        </w:tc>
      </w:tr>
      <w:tr w:rsidR="00FE57F6" w:rsidRPr="00BB6FD8" w14:paraId="0FCB1ED5" w14:textId="77777777" w:rsidTr="00C538FC">
        <w:trPr>
          <w:cantSplit/>
          <w:trHeight w:val="23"/>
        </w:trPr>
        <w:tc>
          <w:tcPr>
            <w:tcW w:w="3969" w:type="dxa"/>
            <w:vMerge/>
          </w:tcPr>
          <w:p w14:paraId="16182D2B" w14:textId="77777777" w:rsidR="00FE57F6" w:rsidRPr="00666D09" w:rsidRDefault="00FE57F6" w:rsidP="00C538FC">
            <w:pPr>
              <w:tabs>
                <w:tab w:val="left" w:pos="851"/>
              </w:tabs>
              <w:spacing w:line="240" w:lineRule="atLeast"/>
              <w:rPr>
                <w:b/>
                <w:lang w:val="en-GB"/>
              </w:rPr>
            </w:pPr>
          </w:p>
        </w:tc>
        <w:tc>
          <w:tcPr>
            <w:tcW w:w="5245" w:type="dxa"/>
          </w:tcPr>
          <w:p w14:paraId="38898BF6" w14:textId="77777777" w:rsidR="00FE57F6" w:rsidRPr="00BB6FD8" w:rsidRDefault="00F24B71" w:rsidP="00C538FC">
            <w:pPr>
              <w:tabs>
                <w:tab w:val="left" w:pos="851"/>
              </w:tabs>
              <w:spacing w:before="0" w:line="240" w:lineRule="atLeast"/>
              <w:jc w:val="right"/>
              <w:rPr>
                <w:b/>
                <w:bCs/>
              </w:rPr>
            </w:pPr>
            <w:r w:rsidRPr="00BB6FD8">
              <w:rPr>
                <w:rFonts w:cstheme="minorHAnsi"/>
                <w:b/>
                <w:bCs/>
              </w:rPr>
              <w:t>Original: inglés</w:t>
            </w:r>
          </w:p>
        </w:tc>
      </w:tr>
      <w:tr w:rsidR="00FE57F6" w:rsidRPr="00BB6FD8" w14:paraId="0C2BF373" w14:textId="77777777" w:rsidTr="00C538FC">
        <w:trPr>
          <w:cantSplit/>
          <w:trHeight w:val="23"/>
        </w:trPr>
        <w:tc>
          <w:tcPr>
            <w:tcW w:w="3969" w:type="dxa"/>
          </w:tcPr>
          <w:p w14:paraId="7E6A8946" w14:textId="77777777" w:rsidR="00FE57F6" w:rsidRPr="00BB6FD8" w:rsidRDefault="00FE57F6" w:rsidP="00C538FC">
            <w:pPr>
              <w:tabs>
                <w:tab w:val="left" w:pos="851"/>
              </w:tabs>
              <w:spacing w:line="240" w:lineRule="atLeast"/>
              <w:rPr>
                <w:b/>
              </w:rPr>
            </w:pPr>
          </w:p>
        </w:tc>
        <w:tc>
          <w:tcPr>
            <w:tcW w:w="5245" w:type="dxa"/>
          </w:tcPr>
          <w:p w14:paraId="58212F99" w14:textId="77777777" w:rsidR="00FE57F6" w:rsidRPr="00BB6FD8" w:rsidRDefault="00FE57F6" w:rsidP="00C538FC">
            <w:pPr>
              <w:tabs>
                <w:tab w:val="left" w:pos="851"/>
              </w:tabs>
              <w:spacing w:before="0" w:line="240" w:lineRule="atLeast"/>
              <w:jc w:val="right"/>
              <w:rPr>
                <w:b/>
              </w:rPr>
            </w:pPr>
          </w:p>
        </w:tc>
      </w:tr>
      <w:tr w:rsidR="00FE57F6" w:rsidRPr="00BB6FD8" w14:paraId="36F6EF27" w14:textId="77777777" w:rsidTr="00C538FC">
        <w:trPr>
          <w:cantSplit/>
        </w:trPr>
        <w:tc>
          <w:tcPr>
            <w:tcW w:w="9214" w:type="dxa"/>
            <w:gridSpan w:val="2"/>
            <w:tcMar>
              <w:left w:w="0" w:type="dxa"/>
            </w:tcMar>
          </w:tcPr>
          <w:p w14:paraId="0D2747B7" w14:textId="65DE819D" w:rsidR="00FE57F6" w:rsidRPr="00BB6FD8" w:rsidRDefault="007E3028" w:rsidP="00C538FC">
            <w:pPr>
              <w:pStyle w:val="Source"/>
              <w:jc w:val="left"/>
              <w:rPr>
                <w:sz w:val="34"/>
                <w:szCs w:val="34"/>
              </w:rPr>
            </w:pPr>
            <w:r w:rsidRPr="007E3028">
              <w:rPr>
                <w:rFonts w:cstheme="minorHAnsi"/>
                <w:bCs/>
                <w:sz w:val="34"/>
                <w:szCs w:val="34"/>
                <w:lang w:val="es-ES"/>
              </w:rPr>
              <w:t>Contribución de los Estados Unidos de América</w:t>
            </w:r>
          </w:p>
        </w:tc>
      </w:tr>
      <w:tr w:rsidR="00FE57F6" w:rsidRPr="00BB6FD8" w14:paraId="7E5C121C" w14:textId="77777777" w:rsidTr="00C538FC">
        <w:trPr>
          <w:cantSplit/>
        </w:trPr>
        <w:tc>
          <w:tcPr>
            <w:tcW w:w="9214" w:type="dxa"/>
            <w:gridSpan w:val="2"/>
            <w:tcMar>
              <w:left w:w="0" w:type="dxa"/>
            </w:tcMar>
          </w:tcPr>
          <w:p w14:paraId="3A41836F" w14:textId="374CAAC6" w:rsidR="00FE57F6" w:rsidRPr="00F92BED" w:rsidRDefault="007E3028" w:rsidP="00F92BED">
            <w:pPr>
              <w:pStyle w:val="Subtitle"/>
              <w:framePr w:hSpace="0" w:wrap="auto" w:vAnchor="margin" w:hAnchor="text" w:xAlign="left" w:yAlign="inline"/>
            </w:pPr>
            <w:r w:rsidRPr="007E3028">
              <w:rPr>
                <w:lang w:val="es-ES"/>
              </w:rPr>
              <w:t>RECUPERACIÓN DE LOS COSTES DE NOTIFICACIÓN DE REDES DE SATÉLITE Y COSTES INDIRECTOS</w:t>
            </w:r>
          </w:p>
        </w:tc>
      </w:tr>
      <w:tr w:rsidR="00FE57F6" w:rsidRPr="00BB6FD8" w14:paraId="2B3F5DFF" w14:textId="77777777" w:rsidTr="00C538FC">
        <w:trPr>
          <w:cantSplit/>
        </w:trPr>
        <w:tc>
          <w:tcPr>
            <w:tcW w:w="9214" w:type="dxa"/>
            <w:gridSpan w:val="2"/>
            <w:tcBorders>
              <w:top w:val="single" w:sz="4" w:space="0" w:color="auto"/>
              <w:bottom w:val="single" w:sz="4" w:space="0" w:color="auto"/>
            </w:tcBorders>
            <w:tcMar>
              <w:left w:w="0" w:type="dxa"/>
            </w:tcMar>
          </w:tcPr>
          <w:p w14:paraId="2D2FC5BE" w14:textId="77777777" w:rsidR="00FE57F6" w:rsidRPr="00BB6FD8" w:rsidRDefault="00F24B71" w:rsidP="00C538FC">
            <w:pPr>
              <w:spacing w:before="160"/>
              <w:rPr>
                <w:b/>
                <w:bCs/>
                <w:sz w:val="26"/>
                <w:szCs w:val="26"/>
              </w:rPr>
            </w:pPr>
            <w:r w:rsidRPr="00BB6FD8">
              <w:rPr>
                <w:b/>
                <w:bCs/>
                <w:sz w:val="26"/>
                <w:szCs w:val="26"/>
              </w:rPr>
              <w:t>Finalidad</w:t>
            </w:r>
          </w:p>
          <w:p w14:paraId="1CC1D062" w14:textId="2D22C6B7" w:rsidR="00FE57F6" w:rsidRPr="00BB6FD8" w:rsidRDefault="00DA6040" w:rsidP="00ED58EB">
            <w:pPr>
              <w:jc w:val="both"/>
            </w:pPr>
            <w:r w:rsidRPr="00DA6040">
              <w:rPr>
                <w:lang w:val="es-ES"/>
              </w:rPr>
              <w:t xml:space="preserve">En la presente contribución se refrendan las modificaciones del Acuerdo 482 del Consejo propuestas en el Informe Final del Grupo de Expertos sobre el Acuerdo 482 del Consejo (Documento </w:t>
            </w:r>
            <w:hyperlink r:id="rId7" w:history="1">
              <w:r w:rsidRPr="00DA6040">
                <w:rPr>
                  <w:rStyle w:val="Hyperlink"/>
                  <w:lang w:val="es-ES"/>
                </w:rPr>
                <w:t>C25/10</w:t>
              </w:r>
            </w:hyperlink>
            <w:r w:rsidRPr="00DA6040">
              <w:rPr>
                <w:lang w:val="es-ES"/>
              </w:rPr>
              <w:t>). Sin embargo, la cuestión de los cánones indirectos requiere un análisis adicional antes de acordar una desviación significativa del actual régimen de cánones de notificación de redes de satélite que pueda repercutir negativamente en la participación de algunos Estados Miembros en las comunicaciones por satélite.</w:t>
            </w:r>
          </w:p>
          <w:p w14:paraId="52640895" w14:textId="77777777" w:rsidR="00FE57F6" w:rsidRPr="00BB6FD8" w:rsidRDefault="00F24B71" w:rsidP="00C538FC">
            <w:pPr>
              <w:spacing w:before="160"/>
              <w:rPr>
                <w:b/>
                <w:bCs/>
                <w:sz w:val="26"/>
                <w:szCs w:val="26"/>
              </w:rPr>
            </w:pPr>
            <w:r w:rsidRPr="00BB6FD8">
              <w:rPr>
                <w:b/>
                <w:bCs/>
                <w:sz w:val="26"/>
                <w:szCs w:val="26"/>
              </w:rPr>
              <w:t xml:space="preserve">Acción solicitada </w:t>
            </w:r>
            <w:r w:rsidR="00677A97" w:rsidRPr="00BB6FD8">
              <w:rPr>
                <w:b/>
                <w:bCs/>
                <w:sz w:val="26"/>
                <w:szCs w:val="26"/>
              </w:rPr>
              <w:t>al</w:t>
            </w:r>
            <w:r w:rsidRPr="00BB6FD8">
              <w:rPr>
                <w:b/>
                <w:bCs/>
                <w:sz w:val="26"/>
                <w:szCs w:val="26"/>
              </w:rPr>
              <w:t xml:space="preserve"> Consejo</w:t>
            </w:r>
          </w:p>
          <w:p w14:paraId="62AA12D2" w14:textId="69DC088C" w:rsidR="00F92BED" w:rsidRPr="00F92BED" w:rsidRDefault="00DA6040" w:rsidP="00ED58EB">
            <w:pPr>
              <w:spacing w:before="160"/>
              <w:jc w:val="both"/>
              <w:rPr>
                <w:szCs w:val="24"/>
                <w:lang w:val="es-ES"/>
              </w:rPr>
            </w:pPr>
            <w:r w:rsidRPr="00DA6040">
              <w:rPr>
                <w:szCs w:val="24"/>
                <w:lang w:val="es-ES"/>
              </w:rPr>
              <w:t xml:space="preserve">Se invita al Consejo a </w:t>
            </w:r>
            <w:r w:rsidRPr="00DA6040">
              <w:rPr>
                <w:b/>
                <w:bCs/>
                <w:szCs w:val="24"/>
                <w:lang w:val="es-ES"/>
              </w:rPr>
              <w:t xml:space="preserve">aprobar </w:t>
            </w:r>
            <w:r w:rsidRPr="00DA6040">
              <w:rPr>
                <w:szCs w:val="24"/>
                <w:lang w:val="es-ES"/>
              </w:rPr>
              <w:t xml:space="preserve">las modificaciones del Acuerdo 482 incluidas en el Documento C25/10 y a </w:t>
            </w:r>
            <w:r w:rsidRPr="00DA6040">
              <w:rPr>
                <w:b/>
                <w:bCs/>
                <w:szCs w:val="24"/>
                <w:lang w:val="es-ES"/>
              </w:rPr>
              <w:t>remitir</w:t>
            </w:r>
            <w:r w:rsidRPr="00DA6040">
              <w:rPr>
                <w:szCs w:val="24"/>
                <w:lang w:val="es-ES"/>
              </w:rPr>
              <w:t xml:space="preserve"> la cuestión de los cánones por costes indirectos al Grupo de Trabajo del Consejo sobre Recursos Humanos y Financieros para un análisis adicional.</w:t>
            </w:r>
          </w:p>
          <w:p w14:paraId="22BD7188" w14:textId="77777777" w:rsidR="00FE57F6" w:rsidRPr="00BB6FD8" w:rsidRDefault="00FE57F6" w:rsidP="00C538FC">
            <w:pPr>
              <w:spacing w:before="160"/>
              <w:rPr>
                <w:caps/>
                <w:sz w:val="22"/>
              </w:rPr>
            </w:pPr>
            <w:r w:rsidRPr="00BB6FD8">
              <w:rPr>
                <w:sz w:val="22"/>
              </w:rPr>
              <w:t>__________________</w:t>
            </w:r>
          </w:p>
          <w:p w14:paraId="58B926FA" w14:textId="77777777" w:rsidR="00FE57F6" w:rsidRPr="00BB6FD8" w:rsidRDefault="00F24B71" w:rsidP="00C538FC">
            <w:pPr>
              <w:spacing w:before="160"/>
              <w:rPr>
                <w:b/>
                <w:bCs/>
                <w:sz w:val="26"/>
                <w:szCs w:val="26"/>
              </w:rPr>
            </w:pPr>
            <w:r w:rsidRPr="00BB6FD8">
              <w:rPr>
                <w:b/>
                <w:bCs/>
                <w:sz w:val="26"/>
                <w:szCs w:val="26"/>
              </w:rPr>
              <w:t>Referencia</w:t>
            </w:r>
            <w:r w:rsidR="00F92BED">
              <w:rPr>
                <w:b/>
                <w:bCs/>
                <w:sz w:val="26"/>
                <w:szCs w:val="26"/>
              </w:rPr>
              <w:t>s</w:t>
            </w:r>
            <w:r w:rsidR="00D375E0" w:rsidRPr="00BB6FD8">
              <w:rPr>
                <w:sz w:val="26"/>
                <w:szCs w:val="26"/>
              </w:rPr>
              <w:t xml:space="preserve"> </w:t>
            </w:r>
          </w:p>
          <w:p w14:paraId="52192F7B" w14:textId="3724027F" w:rsidR="00FE57F6" w:rsidRPr="004D3A3C" w:rsidRDefault="00DA6040" w:rsidP="00ED58EB">
            <w:pPr>
              <w:spacing w:after="160"/>
              <w:jc w:val="both"/>
              <w:rPr>
                <w:i/>
                <w:iCs/>
                <w:sz w:val="22"/>
                <w:szCs w:val="22"/>
              </w:rPr>
            </w:pPr>
            <w:r w:rsidRPr="00DA6040">
              <w:rPr>
                <w:i/>
                <w:iCs/>
                <w:szCs w:val="24"/>
                <w:lang w:val="es-ES"/>
              </w:rPr>
              <w:t xml:space="preserve">Documento </w:t>
            </w:r>
            <w:hyperlink r:id="rId8" w:history="1">
              <w:r w:rsidRPr="00CE1C7C">
                <w:rPr>
                  <w:rStyle w:val="Hyperlink"/>
                  <w:i/>
                  <w:iCs/>
                  <w:szCs w:val="24"/>
                  <w:lang w:val="es-ES"/>
                </w:rPr>
                <w:t>C25/10</w:t>
              </w:r>
            </w:hyperlink>
            <w:r w:rsidRPr="00DA6040">
              <w:rPr>
                <w:i/>
                <w:iCs/>
                <w:szCs w:val="24"/>
                <w:lang w:val="es-ES"/>
              </w:rPr>
              <w:t xml:space="preserve"> del Consejo</w:t>
            </w:r>
          </w:p>
        </w:tc>
      </w:tr>
      <w:bookmarkEnd w:id="0"/>
    </w:tbl>
    <w:p w14:paraId="3905D116" w14:textId="77777777" w:rsidR="00093EEB" w:rsidRPr="00BB6FD8" w:rsidRDefault="00093EEB"/>
    <w:p w14:paraId="2F32FD7A" w14:textId="77777777" w:rsidR="001559F5" w:rsidRPr="00BB6FD8" w:rsidRDefault="001559F5">
      <w:pPr>
        <w:tabs>
          <w:tab w:val="clear" w:pos="567"/>
          <w:tab w:val="clear" w:pos="1134"/>
          <w:tab w:val="clear" w:pos="1701"/>
          <w:tab w:val="clear" w:pos="2268"/>
          <w:tab w:val="clear" w:pos="2835"/>
        </w:tabs>
        <w:overflowPunct/>
        <w:autoSpaceDE/>
        <w:autoSpaceDN/>
        <w:adjustRightInd/>
        <w:spacing w:before="0"/>
        <w:textAlignment w:val="auto"/>
      </w:pPr>
      <w:r w:rsidRPr="00BB6FD8">
        <w:br w:type="page"/>
      </w:r>
    </w:p>
    <w:p w14:paraId="03770F66" w14:textId="77777777" w:rsidR="00DA6040" w:rsidRPr="008B6C4E" w:rsidRDefault="00DA6040" w:rsidP="00F70049">
      <w:pPr>
        <w:pStyle w:val="Heading1"/>
        <w:rPr>
          <w:rFonts w:cs="Calibri"/>
          <w:lang w:val="es-ES"/>
        </w:rPr>
      </w:pPr>
      <w:r>
        <w:rPr>
          <w:lang w:val="es-ES"/>
        </w:rPr>
        <w:lastRenderedPageBreak/>
        <w:t>Antecedentes y discusión</w:t>
      </w:r>
    </w:p>
    <w:p w14:paraId="09966532" w14:textId="77777777" w:rsidR="00DA6040" w:rsidRPr="008B6C4E" w:rsidRDefault="00DA6040" w:rsidP="00F70049">
      <w:pPr>
        <w:pStyle w:val="Headingb"/>
        <w:rPr>
          <w:rFonts w:cs="Calibri"/>
          <w:lang w:val="es-ES"/>
        </w:rPr>
      </w:pPr>
      <w:r>
        <w:rPr>
          <w:lang w:val="es-ES"/>
        </w:rPr>
        <w:t>Modificaciones al Acuerdo 482 del Consejo</w:t>
      </w:r>
    </w:p>
    <w:p w14:paraId="69B4D7EC" w14:textId="77777777" w:rsidR="00DA6040" w:rsidRPr="0086478D" w:rsidRDefault="00DA6040" w:rsidP="00DA6040">
      <w:pPr>
        <w:tabs>
          <w:tab w:val="clear" w:pos="567"/>
          <w:tab w:val="clear" w:pos="1134"/>
          <w:tab w:val="clear" w:pos="1701"/>
          <w:tab w:val="clear" w:pos="2268"/>
          <w:tab w:val="clear" w:pos="2835"/>
        </w:tabs>
        <w:overflowPunct/>
        <w:autoSpaceDE/>
        <w:autoSpaceDN/>
        <w:adjustRightInd/>
        <w:spacing w:after="120"/>
        <w:jc w:val="both"/>
        <w:rPr>
          <w:color w:val="000000"/>
          <w:szCs w:val="24"/>
          <w:shd w:val="clear" w:color="auto" w:fill="FFFFFF"/>
          <w:lang w:val="es-ES"/>
        </w:rPr>
      </w:pPr>
      <w:r>
        <w:rPr>
          <w:lang w:val="es-ES"/>
        </w:rPr>
        <w:t>Estados Unidos agradece al Grupo de Expertos sobre el Acuerdo 482 (GE-Acuerdo 482) su labor de evaluación de los cambios en los costes directos de la Oficina de Radiocomunicaciones (BR) para la tramitación de notificaciones de satélites, incluida la consideración de las repercusiones de las notificaciones de sistemas de satélites no OSG de gran tamaño. El GE-Acuerdo 482 se guio por el entendimiento de que los cánones de recuperación de costes de redes de satélite deben ser transparentes, revisarse con cuidado y reflejar los costes reales de la BR para tramitar las notificaciones de redes de satélite de conformidad con la Resolución 91 (Rev. Guadalajara, 2010). Si se aplican, las modificaciones propuestas al Acuerdo 482 se traducirán en un aumento significativo y apropiado de los ingresos de la UIT en concepto de recuperación de costes de notificación de satélites, en consonancia con los principios de recuperación de costes de la Resolución 91 y el Acuerdo 482.</w:t>
      </w:r>
    </w:p>
    <w:p w14:paraId="59CC71BE" w14:textId="45876028" w:rsidR="00DA6040" w:rsidRPr="008B6C4E" w:rsidRDefault="00DA6040" w:rsidP="00DA6040">
      <w:pPr>
        <w:tabs>
          <w:tab w:val="clear" w:pos="567"/>
          <w:tab w:val="clear" w:pos="1134"/>
          <w:tab w:val="clear" w:pos="1701"/>
          <w:tab w:val="clear" w:pos="2268"/>
          <w:tab w:val="clear" w:pos="2835"/>
        </w:tabs>
        <w:overflowPunct/>
        <w:autoSpaceDE/>
        <w:autoSpaceDN/>
        <w:adjustRightInd/>
        <w:spacing w:before="240" w:after="120"/>
        <w:jc w:val="both"/>
        <w:rPr>
          <w:i/>
          <w:color w:val="000000"/>
          <w:szCs w:val="24"/>
          <w:shd w:val="clear" w:color="auto" w:fill="FFFFFF"/>
          <w:lang w:val="es-ES"/>
        </w:rPr>
      </w:pPr>
      <w:r>
        <w:rPr>
          <w:i/>
          <w:iCs/>
          <w:lang w:val="es-ES"/>
        </w:rPr>
        <w:t>Los Estados Unidos proponen que el Consejo refrende las actualizaciones del Acuerdo 482 del</w:t>
      </w:r>
      <w:r w:rsidR="00ED58EB">
        <w:rPr>
          <w:i/>
          <w:iCs/>
          <w:lang w:val="es-ES"/>
        </w:rPr>
        <w:t> </w:t>
      </w:r>
      <w:r>
        <w:rPr>
          <w:i/>
          <w:iCs/>
          <w:lang w:val="es-ES"/>
        </w:rPr>
        <w:t xml:space="preserve">Consejo recomendadas por el GE-Acuerdo482, tal y como figuran en el Documento </w:t>
      </w:r>
      <w:hyperlink r:id="rId9" w:history="1">
        <w:r w:rsidRPr="001F2B3C">
          <w:rPr>
            <w:rStyle w:val="Hyperlink"/>
            <w:i/>
            <w:iCs/>
            <w:lang w:val="es-ES"/>
          </w:rPr>
          <w:t>C25/10</w:t>
        </w:r>
      </w:hyperlink>
      <w:r>
        <w:rPr>
          <w:i/>
          <w:iCs/>
          <w:lang w:val="es-ES"/>
        </w:rPr>
        <w:t>.</w:t>
      </w:r>
    </w:p>
    <w:p w14:paraId="13346D47" w14:textId="77777777" w:rsidR="00DA6040" w:rsidRPr="008B6C4E" w:rsidRDefault="00DA6040" w:rsidP="007A7F34">
      <w:pPr>
        <w:pStyle w:val="Heading1"/>
        <w:rPr>
          <w:rFonts w:cs="Calibri"/>
          <w:b w:val="0"/>
          <w:bCs/>
          <w:color w:val="000000"/>
          <w:szCs w:val="24"/>
          <w:shd w:val="clear" w:color="auto" w:fill="FFFFFF"/>
          <w:lang w:val="es-ES"/>
        </w:rPr>
      </w:pPr>
      <w:r>
        <w:rPr>
          <w:bCs/>
          <w:lang w:val="es-ES"/>
        </w:rPr>
        <w:t xml:space="preserve">Costes </w:t>
      </w:r>
      <w:r w:rsidRPr="00F70049">
        <w:rPr>
          <w:lang w:val="es-ES"/>
        </w:rPr>
        <w:t>indirectos</w:t>
      </w:r>
    </w:p>
    <w:p w14:paraId="5D50FBCE" w14:textId="47A82B2D" w:rsidR="00DA6040" w:rsidRPr="008B6C4E" w:rsidRDefault="00DA6040" w:rsidP="00DA6040">
      <w:pPr>
        <w:tabs>
          <w:tab w:val="clear" w:pos="567"/>
          <w:tab w:val="clear" w:pos="1134"/>
          <w:tab w:val="clear" w:pos="1701"/>
          <w:tab w:val="clear" w:pos="2268"/>
          <w:tab w:val="clear" w:pos="2835"/>
        </w:tabs>
        <w:overflowPunct/>
        <w:autoSpaceDE/>
        <w:autoSpaceDN/>
        <w:adjustRightInd/>
        <w:spacing w:after="120"/>
        <w:jc w:val="both"/>
        <w:rPr>
          <w:rFonts w:cs="Calibri"/>
          <w:color w:val="000000"/>
          <w:szCs w:val="24"/>
          <w:shd w:val="clear" w:color="auto" w:fill="FFFFFF"/>
          <w:lang w:val="es-ES"/>
        </w:rPr>
      </w:pPr>
      <w:r>
        <w:rPr>
          <w:lang w:val="es-ES"/>
        </w:rPr>
        <w:t xml:space="preserve">Al margen de la labor del GE-Acuerdo 482, la Secretaría de la UIT ha propuesto un enfoque más agresivo para la recaudación de los costes de notificación de redes de satélite que el que la UIT ha aplicado anteriormente en su aplicación de la Resolución 91 y el Acuerdo 482 para la recuperación de costes de estos servicios. El nuevo enfoque propuesto tiene por objeto añadir cargos por costes "indirectos" o generales a las prácticas de recuperación de costes "directos" consagrados desde hace mucho tiempo en el Acuerdo 482. En debates anteriores sobre esta cuestión, no quedó claro cómo la UIT calculaba los cánones propuestos, así como tampoco se llegó a un consenso sobre si los cánones indirectos eran adecuados para la recuperación de costes de notificación de satélites. Dado el amplio alcance de las funciones administrativas, técnicas y organizativas de la UIT que pueden incluirse en los costes indirectos, toda metodología debe ser clara y transparente. Al evaluar la última metodología propuesta por la UIT en el Documento </w:t>
      </w:r>
      <w:hyperlink r:id="rId10" w:history="1">
        <w:r w:rsidRPr="006E0214">
          <w:rPr>
            <w:rStyle w:val="Hyperlink"/>
            <w:lang w:val="es-ES"/>
          </w:rPr>
          <w:t>C25/64</w:t>
        </w:r>
      </w:hyperlink>
      <w:r>
        <w:rPr>
          <w:lang w:val="es-ES"/>
        </w:rPr>
        <w:t>, Estados Unidos considera que es necesario seguir examinándola por las siguientes razones:</w:t>
      </w:r>
    </w:p>
    <w:p w14:paraId="06D904D3" w14:textId="3BEBB4D8" w:rsidR="00DA6040" w:rsidRPr="008B6C4E" w:rsidRDefault="0000115A" w:rsidP="0000115A">
      <w:pPr>
        <w:pStyle w:val="enumlev1"/>
        <w:jc w:val="both"/>
        <w:rPr>
          <w:rFonts w:cs="Calibri"/>
          <w:color w:val="000000"/>
          <w:szCs w:val="24"/>
          <w:shd w:val="clear" w:color="auto" w:fill="FFFFFF"/>
        </w:rPr>
      </w:pPr>
      <w:r>
        <w:t>–</w:t>
      </w:r>
      <w:r>
        <w:tab/>
      </w:r>
      <w:r w:rsidR="00DA6040">
        <w:t>la necesidad de un análisis adicional de los métodos de contabilidad de los costes de la</w:t>
      </w:r>
      <w:r w:rsidR="00ED58EB">
        <w:t> </w:t>
      </w:r>
      <w:r w:rsidR="00DA6040">
        <w:t>UIT y de la forma en que la UIT podría aplicar su recuperación a los productos y servicios apropiados.</w:t>
      </w:r>
    </w:p>
    <w:p w14:paraId="4E9AD736" w14:textId="523CFF29" w:rsidR="00DA6040" w:rsidRPr="008B6C4E" w:rsidRDefault="0000115A" w:rsidP="0000115A">
      <w:pPr>
        <w:pStyle w:val="enumlev1"/>
        <w:jc w:val="both"/>
        <w:rPr>
          <w:rFonts w:cs="Calibri"/>
          <w:color w:val="000000"/>
          <w:szCs w:val="24"/>
          <w:shd w:val="clear" w:color="auto" w:fill="FFFFFF"/>
          <w:lang w:val="es-ES"/>
        </w:rPr>
      </w:pPr>
      <w:r>
        <w:t>–</w:t>
      </w:r>
      <w:r>
        <w:tab/>
      </w:r>
      <w:r w:rsidR="00DA6040" w:rsidRPr="0000115A">
        <w:t>la</w:t>
      </w:r>
      <w:r w:rsidR="00DA6040">
        <w:rPr>
          <w:lang w:val="es-ES"/>
        </w:rPr>
        <w:t xml:space="preserve"> falta de coherencia de estos nuevos cánones indirectos con los principios de la Resolución 91.</w:t>
      </w:r>
    </w:p>
    <w:p w14:paraId="253F142D" w14:textId="0DAC2B75" w:rsidR="00DA6040" w:rsidRPr="008B6C4E" w:rsidRDefault="00DA6040" w:rsidP="00DA6040">
      <w:pPr>
        <w:tabs>
          <w:tab w:val="clear" w:pos="567"/>
          <w:tab w:val="clear" w:pos="1134"/>
          <w:tab w:val="clear" w:pos="1701"/>
          <w:tab w:val="clear" w:pos="2268"/>
          <w:tab w:val="clear" w:pos="2835"/>
        </w:tabs>
        <w:overflowPunct/>
        <w:autoSpaceDE/>
        <w:autoSpaceDN/>
        <w:adjustRightInd/>
        <w:spacing w:before="240" w:after="120"/>
        <w:jc w:val="both"/>
        <w:rPr>
          <w:rFonts w:ascii="Times New Roman" w:hAnsi="Times New Roman"/>
          <w:szCs w:val="24"/>
          <w:lang w:val="es-ES"/>
        </w:rPr>
      </w:pPr>
      <w:r>
        <w:rPr>
          <w:lang w:val="es-ES"/>
        </w:rPr>
        <w:t>En la propuesta de la Secretaría (</w:t>
      </w:r>
      <w:hyperlink r:id="rId11" w:history="1">
        <w:r w:rsidRPr="007603FA">
          <w:rPr>
            <w:rStyle w:val="Hyperlink"/>
            <w:lang w:val="es-ES"/>
          </w:rPr>
          <w:t>C25/64</w:t>
        </w:r>
      </w:hyperlink>
      <w:r>
        <w:rPr>
          <w:lang w:val="es-ES"/>
        </w:rPr>
        <w:t xml:space="preserve">), la UIT afirma que su metodología de cálculo de los cánones indirectos dio lugar a un aumento del 107 % de los costes de cada notificación individual. Un ejercicio comparativo reveló que 25-30 % era un nivel más común para la aplicación de cargos por costes indirectos. La UIT reconoce que la metodología propuesta da lugar a cánones irrazonables e incoherentes con estos objetivos de referencia. La UIT también informó al Grupo de Expertos de que a principios de 2000 se había aplicado un mecanismo de seguimiento individual del personal para tramitar las notificaciones de redes de satélites, que se abandonó en 2005. Sin embargo, la Secretaría también propone que se evalúen </w:t>
      </w:r>
      <w:r w:rsidRPr="002E29AC">
        <w:rPr>
          <w:b/>
          <w:bCs/>
          <w:lang w:val="es-ES"/>
        </w:rPr>
        <w:lastRenderedPageBreak/>
        <w:t>4</w:t>
      </w:r>
      <w:r w:rsidR="0000115A">
        <w:rPr>
          <w:b/>
          <w:bCs/>
          <w:lang w:val="es-ES"/>
        </w:rPr>
        <w:t> </w:t>
      </w:r>
      <w:r w:rsidRPr="002E29AC">
        <w:rPr>
          <w:b/>
          <w:bCs/>
          <w:lang w:val="es-ES"/>
        </w:rPr>
        <w:t>866</w:t>
      </w:r>
      <w:r w:rsidR="0000115A">
        <w:rPr>
          <w:b/>
          <w:bCs/>
          <w:lang w:val="es-ES"/>
        </w:rPr>
        <w:t> </w:t>
      </w:r>
      <w:r w:rsidRPr="002E29AC">
        <w:rPr>
          <w:b/>
          <w:bCs/>
          <w:lang w:val="es-ES"/>
        </w:rPr>
        <w:t>400</w:t>
      </w:r>
      <w:r w:rsidR="0000115A">
        <w:rPr>
          <w:b/>
          <w:bCs/>
          <w:lang w:val="es-ES"/>
        </w:rPr>
        <w:t> </w:t>
      </w:r>
      <w:r w:rsidRPr="002E29AC">
        <w:rPr>
          <w:b/>
          <w:bCs/>
          <w:lang w:val="es-ES"/>
        </w:rPr>
        <w:t>CHF</w:t>
      </w:r>
      <w:r>
        <w:rPr>
          <w:lang w:val="es-ES"/>
        </w:rPr>
        <w:t xml:space="preserve"> de cánones además de lo que ya se recauda en concepto de cánones de notificación de satélites. Este coste indirecto del 40 % sigue siendo un coste adicional significativo e irrazonable, además de lo que pagan los Estados Miembros de la UIT por estos servicios. Dada la falta de claridad sobre la manera en que la UIT identificó las categorías de costes asociados con los costes indirectos de los cánones de satélites, Estados Unidos cuestiona la magnitud total del déficit presupuestario de la UIT atribuido a los cánones de satélite. Debería presentarse un modelo financiero completo para que los Estados Miembros puedan evaluar las repercusiones más amplias. Por lo tanto, es prematuro cobrar estos cánones indirectos antes de un análisis adicional para garantizar un enfoque abierto y transparente.</w:t>
      </w:r>
    </w:p>
    <w:p w14:paraId="7FF5C8DA" w14:textId="77777777" w:rsidR="00DA6040" w:rsidRPr="008B6C4E" w:rsidRDefault="00DA6040" w:rsidP="007A7F34">
      <w:pPr>
        <w:pStyle w:val="Heading1"/>
        <w:rPr>
          <w:rFonts w:cs="Calibri"/>
          <w:b w:val="0"/>
          <w:bCs/>
          <w:color w:val="000000"/>
          <w:szCs w:val="24"/>
          <w:shd w:val="clear" w:color="auto" w:fill="FFFFFF"/>
          <w:lang w:val="es-ES"/>
        </w:rPr>
      </w:pPr>
      <w:r w:rsidRPr="00F70049">
        <w:rPr>
          <w:lang w:val="es-ES"/>
        </w:rPr>
        <w:t>Principios</w:t>
      </w:r>
      <w:r>
        <w:rPr>
          <w:bCs/>
          <w:lang w:val="es-ES"/>
        </w:rPr>
        <w:t xml:space="preserve"> de la aplicación por la UIT de la recuperación de costes</w:t>
      </w:r>
    </w:p>
    <w:p w14:paraId="1327507A" w14:textId="115A61CB" w:rsidR="00DA6040" w:rsidRPr="0086478D" w:rsidRDefault="00DA6040" w:rsidP="00DA6040">
      <w:pPr>
        <w:tabs>
          <w:tab w:val="clear" w:pos="567"/>
          <w:tab w:val="clear" w:pos="1134"/>
          <w:tab w:val="clear" w:pos="1701"/>
          <w:tab w:val="clear" w:pos="2268"/>
          <w:tab w:val="clear" w:pos="2835"/>
        </w:tabs>
        <w:overflowPunct/>
        <w:autoSpaceDE/>
        <w:autoSpaceDN/>
        <w:adjustRightInd/>
        <w:spacing w:after="120"/>
        <w:jc w:val="both"/>
        <w:rPr>
          <w:rFonts w:cs="Calibri"/>
          <w:b/>
          <w:bCs/>
          <w:color w:val="000000"/>
          <w:szCs w:val="24"/>
          <w:shd w:val="clear" w:color="auto" w:fill="FFFFFF"/>
          <w:lang w:val="es-ES"/>
        </w:rPr>
      </w:pPr>
      <w:r>
        <w:rPr>
          <w:lang w:val="es-ES"/>
        </w:rPr>
        <w:t>La Resolución 91 orienta la aplicación de la recuperación de costes en la UIT para algunos productos y servicios. También incluye un texto que reconoce la necesidad de establecer límites para garantizar niveles razonables de asignación de costes indirectos. También se señala que deben tenerse en cuenta varios factores, entre ellos cuando un producto o servicio se proporciona en beneficio de un número limitado de Estados Miembros o Miembros de</w:t>
      </w:r>
      <w:r w:rsidR="0000115A">
        <w:rPr>
          <w:lang w:val="es-ES"/>
        </w:rPr>
        <w:t> </w:t>
      </w:r>
      <w:r>
        <w:rPr>
          <w:lang w:val="es-ES"/>
        </w:rPr>
        <w:t>Sector.</w:t>
      </w:r>
    </w:p>
    <w:p w14:paraId="664726C5" w14:textId="64779536" w:rsidR="00DA6040" w:rsidRPr="0086478D" w:rsidRDefault="00DA6040" w:rsidP="00DA6040">
      <w:pPr>
        <w:tabs>
          <w:tab w:val="clear" w:pos="567"/>
          <w:tab w:val="clear" w:pos="1134"/>
          <w:tab w:val="clear" w:pos="1701"/>
          <w:tab w:val="clear" w:pos="2268"/>
          <w:tab w:val="clear" w:pos="2835"/>
        </w:tabs>
        <w:overflowPunct/>
        <w:autoSpaceDE/>
        <w:autoSpaceDN/>
        <w:adjustRightInd/>
        <w:spacing w:after="120"/>
        <w:jc w:val="both"/>
        <w:rPr>
          <w:color w:val="000000"/>
          <w:szCs w:val="24"/>
          <w:shd w:val="clear" w:color="auto" w:fill="FFFFFF"/>
          <w:lang w:val="es-ES"/>
        </w:rPr>
      </w:pPr>
      <w:r>
        <w:rPr>
          <w:lang w:val="es-ES"/>
        </w:rPr>
        <w:t>Una de las principales funciones de la BR es el registro de las asignaciones de frecuencias radioeléctricas y de las posiciones orbitales asociadas. El desempeño de esta función beneficia a todos los Estados Miembros de la UIT y les permite aplicar el Reglamento de Radiocomunicaciones de la UIT. De hecho, la aplicación de la recuperación de costes a las notificaciones de redes de satélites adoptada por la Conferencia de Plenipotenciarios de Minneápolis en 1998 fue controvertida, ya que en la Resolución 91 se indicaba que la recuperación de costes se aplicaría a "productos o servicios discrecionales" (</w:t>
      </w:r>
      <w:r w:rsidRPr="0000115A">
        <w:rPr>
          <w:i/>
          <w:iCs/>
          <w:lang w:val="es-ES"/>
        </w:rPr>
        <w:t>resuelve 3</w:t>
      </w:r>
      <w:r>
        <w:rPr>
          <w:i/>
          <w:iCs/>
          <w:lang w:val="es-ES"/>
        </w:rPr>
        <w:t xml:space="preserve"> iii</w:t>
      </w:r>
      <w:r>
        <w:rPr>
          <w:lang w:val="es-ES"/>
        </w:rPr>
        <w:t xml:space="preserve">). Si bien se ha reconocido que es apropiado que la UIT recaude cánones por los costes directos asociados con la tramitación de notificaciones de satélites </w:t>
      </w:r>
      <w:r>
        <w:rPr>
          <w:i/>
          <w:iCs/>
          <w:lang w:val="es-ES"/>
        </w:rPr>
        <w:t>per se</w:t>
      </w:r>
      <w:r>
        <w:rPr>
          <w:lang w:val="es-ES"/>
        </w:rPr>
        <w:t>, no está tan claro si sería apropiado que el Consejo tomara medidas para ampliar este régimen de cánones a fin de incluir los costes indirectos en toda la Secretaría General, dado el beneficio directo para los</w:t>
      </w:r>
      <w:r w:rsidR="007E10A5">
        <w:rPr>
          <w:lang w:val="es-ES"/>
        </w:rPr>
        <w:t> </w:t>
      </w:r>
      <w:r>
        <w:rPr>
          <w:lang w:val="es-ES"/>
        </w:rPr>
        <w:t xml:space="preserve">Miembros de la UIT en general. De hecho, desde la adopción original de la Resolución 91 y el establecimiento del Acuerdo 482 del Consejo, el número de Estados Miembros que presentan notificaciones y participan en comunicaciones por satélite ha aumentado drásticamente, lo que confirma que este servicio beneficia no a un pequeño subconjunto de miembros, sino a los miembros de la UIT en su conjunto. De hecho, en el </w:t>
      </w:r>
      <w:r>
        <w:rPr>
          <w:i/>
          <w:iCs/>
          <w:lang w:val="es-ES"/>
        </w:rPr>
        <w:t>resuelve 3 i)</w:t>
      </w:r>
      <w:r>
        <w:rPr>
          <w:lang w:val="es-ES"/>
        </w:rPr>
        <w:t xml:space="preserve"> se afirma que el principio de recuperación de costes es que el producto o servicio es solicitado por un pequeño número de usuarios.</w:t>
      </w:r>
    </w:p>
    <w:p w14:paraId="52A73439" w14:textId="77777777" w:rsidR="00DA6040" w:rsidRPr="0086478D" w:rsidRDefault="00DA6040" w:rsidP="00DA6040">
      <w:pPr>
        <w:tabs>
          <w:tab w:val="clear" w:pos="567"/>
          <w:tab w:val="clear" w:pos="1134"/>
          <w:tab w:val="clear" w:pos="1701"/>
          <w:tab w:val="clear" w:pos="2268"/>
          <w:tab w:val="clear" w:pos="2835"/>
        </w:tabs>
        <w:overflowPunct/>
        <w:autoSpaceDE/>
        <w:autoSpaceDN/>
        <w:adjustRightInd/>
        <w:spacing w:after="120"/>
        <w:jc w:val="both"/>
        <w:rPr>
          <w:rFonts w:cs="Calibri"/>
          <w:color w:val="000000"/>
          <w:szCs w:val="24"/>
          <w:shd w:val="clear" w:color="auto" w:fill="FFFFFF"/>
          <w:lang w:val="es-ES"/>
        </w:rPr>
      </w:pPr>
      <w:r>
        <w:rPr>
          <w:lang w:val="es-ES"/>
        </w:rPr>
        <w:t>Además, al elaborar el actual régimen de cánones de notificación de satélites, debe tenerse en cuenta que la UIT ha respaldado el derecho a la gratuidad de las notificaciones en algunos casos como beneficio de la Unión. Estas notificaciones tienen un coste considerable y deben evaluarse como parte de las próximas etapas del examen de los costes indirectos de las notificaciones de satélites.</w:t>
      </w:r>
    </w:p>
    <w:p w14:paraId="738B54AE" w14:textId="77777777" w:rsidR="00DA6040" w:rsidRPr="008B6C4E" w:rsidRDefault="00DA6040" w:rsidP="007A7F34">
      <w:pPr>
        <w:pStyle w:val="Heading1"/>
        <w:rPr>
          <w:rFonts w:ascii="Times New Roman" w:hAnsi="Times New Roman"/>
          <w:szCs w:val="24"/>
          <w:lang w:val="es-ES"/>
        </w:rPr>
      </w:pPr>
      <w:r w:rsidRPr="00F70049">
        <w:rPr>
          <w:lang w:val="es-ES"/>
        </w:rPr>
        <w:lastRenderedPageBreak/>
        <w:t>Propuesta</w:t>
      </w:r>
    </w:p>
    <w:p w14:paraId="433C9F95" w14:textId="77777777" w:rsidR="00DA6040" w:rsidRPr="008B6C4E" w:rsidRDefault="00DA6040" w:rsidP="00E53524">
      <w:pPr>
        <w:keepNext/>
        <w:keepLines/>
        <w:tabs>
          <w:tab w:val="clear" w:pos="567"/>
          <w:tab w:val="clear" w:pos="1134"/>
          <w:tab w:val="clear" w:pos="1701"/>
          <w:tab w:val="clear" w:pos="2268"/>
          <w:tab w:val="clear" w:pos="2835"/>
        </w:tabs>
        <w:overflowPunct/>
        <w:autoSpaceDE/>
        <w:adjustRightInd/>
        <w:spacing w:before="80" w:after="80"/>
        <w:jc w:val="both"/>
        <w:textAlignment w:val="auto"/>
        <w:rPr>
          <w:rFonts w:cs="Calibri"/>
          <w:szCs w:val="24"/>
          <w:lang w:val="es-ES"/>
        </w:rPr>
      </w:pPr>
      <w:r>
        <w:rPr>
          <w:lang w:val="es-ES"/>
        </w:rPr>
        <w:t>Sobre la base de la información facilitada por la Secretaría, Estados Unidos no cree que la imposición de un canon del 40 % a todos los cánones de notificación de satélites sea razonable ni una aplicación adecuada de los principios de la Resolución 91. También considera que es necesario seguir trabajando para comprender mejor cómo la UIT calculó los costes indirectos propuestos, así como la forma en que la UIT aplica el principio de recuperación de costes a varios productos y servicios diferentes de la UIT.</w:t>
      </w:r>
    </w:p>
    <w:p w14:paraId="07C2E116" w14:textId="4827F04C" w:rsidR="00DA6040" w:rsidRPr="008B6C4E" w:rsidRDefault="00DA6040" w:rsidP="00E53524">
      <w:pPr>
        <w:keepNext/>
        <w:keepLines/>
        <w:tabs>
          <w:tab w:val="clear" w:pos="567"/>
          <w:tab w:val="clear" w:pos="1134"/>
          <w:tab w:val="clear" w:pos="1701"/>
          <w:tab w:val="clear" w:pos="2268"/>
          <w:tab w:val="clear" w:pos="2835"/>
        </w:tabs>
        <w:overflowPunct/>
        <w:autoSpaceDE/>
        <w:adjustRightInd/>
        <w:spacing w:before="80" w:after="80"/>
        <w:jc w:val="both"/>
        <w:textAlignment w:val="auto"/>
        <w:rPr>
          <w:rFonts w:cs="Calibri"/>
          <w:szCs w:val="24"/>
          <w:lang w:val="es-ES"/>
        </w:rPr>
      </w:pPr>
      <w:r>
        <w:rPr>
          <w:lang w:val="es-ES"/>
        </w:rPr>
        <w:t>Estados Unidos da prioridad a la responsabilidad fiscal y la salud financiera a largo plazo de la</w:t>
      </w:r>
      <w:r w:rsidR="0000115A">
        <w:rPr>
          <w:lang w:val="es-ES"/>
        </w:rPr>
        <w:t> </w:t>
      </w:r>
      <w:r>
        <w:rPr>
          <w:lang w:val="es-ES"/>
        </w:rPr>
        <w:t xml:space="preserve">UIT. Sigue apoyando los esfuerzos de la Secretaría para aumentar la transparencia sobre la presupuestación y la utilización de los recursos, abordar las ineficiencias y reajustar los costes de manera sostenible. </w:t>
      </w:r>
      <w:r w:rsidRPr="00CF6E60">
        <w:rPr>
          <w:lang w:val="es-ES"/>
        </w:rPr>
        <w:t>Acogemos con beneplácito las iniciativas propuestas para continuar trabajando en la mejora de los procesos, la organización y las herramientas tecnológicas, con el fin de apoyar de manera más eficaz la prestación de servicios esenciales a los miembros por parte de la UIT</w:t>
      </w:r>
      <w:r>
        <w:rPr>
          <w:lang w:val="es-ES"/>
        </w:rPr>
        <w:t>. La UIT debería seguir explorando estas eficiencias operativas, reducciones de gastos y reestructuración presupuestaria como medidas alternativas en lugar de depender únicamente del aumento de los cánones de recuperación de costes de satélite. La sostenibilidad financiera puede lograrse a través de enfoques equilibrados que no afecten de manera desproporcionada a un sector.</w:t>
      </w:r>
    </w:p>
    <w:p w14:paraId="5A41C72E" w14:textId="77777777" w:rsidR="00DA6040" w:rsidRPr="0086478D" w:rsidRDefault="00DA6040" w:rsidP="00E53524">
      <w:pPr>
        <w:keepNext/>
        <w:keepLines/>
        <w:tabs>
          <w:tab w:val="clear" w:pos="567"/>
          <w:tab w:val="clear" w:pos="1134"/>
          <w:tab w:val="clear" w:pos="1701"/>
          <w:tab w:val="clear" w:pos="2268"/>
          <w:tab w:val="clear" w:pos="2835"/>
        </w:tabs>
        <w:overflowPunct/>
        <w:autoSpaceDE/>
        <w:adjustRightInd/>
        <w:spacing w:before="80" w:after="80"/>
        <w:jc w:val="both"/>
        <w:textAlignment w:val="auto"/>
        <w:rPr>
          <w:rFonts w:cs="Calibri"/>
          <w:szCs w:val="24"/>
          <w:lang w:val="es-ES"/>
        </w:rPr>
      </w:pPr>
      <w:r>
        <w:rPr>
          <w:lang w:val="es-ES"/>
        </w:rPr>
        <w:t xml:space="preserve">Habida cuenta de lo anterior, Estados Unidos propone que la cuestión de los costes indirectos se remita al Grupo de Trabajo del Consejo sobre Recursos Humanos y Financieros (GTC-RHF) para un análisis adicional. Recomendamos que en esta labor de seguimiento se examine de manera más amplia la forma en que la UIT aplica los principios de los cánones por costes indirectos de otros productos y servicios, y no sólo de las notificaciones de redes de satélite, incluidas las categorías de costes que podrían incluirse, para garantizar una aplicación razonable y adecuada de la Resolución 91. Esta labor podría servir de base para los debates posteriores que conducirán a la Conferencia de Plenipotenciarios y a la actualización de los Planes Estratégico y Financiero para 2028-2031. </w:t>
      </w:r>
    </w:p>
    <w:p w14:paraId="288326C6" w14:textId="77777777" w:rsidR="00DA6040" w:rsidRPr="008B6C4E" w:rsidRDefault="00DA6040" w:rsidP="00E53524">
      <w:pPr>
        <w:pStyle w:val="Heading1"/>
        <w:spacing w:before="200"/>
        <w:rPr>
          <w:rFonts w:cs="Calibri"/>
          <w:b w:val="0"/>
          <w:bCs/>
          <w:szCs w:val="24"/>
          <w:lang w:val="es-ES"/>
        </w:rPr>
      </w:pPr>
      <w:r w:rsidRPr="00F70049">
        <w:rPr>
          <w:lang w:val="es-ES"/>
        </w:rPr>
        <w:t>Propuesta</w:t>
      </w:r>
    </w:p>
    <w:p w14:paraId="4A734575" w14:textId="77777777" w:rsidR="00DA6040" w:rsidRPr="008B6C4E" w:rsidRDefault="00DA6040" w:rsidP="00DA6040">
      <w:pPr>
        <w:tabs>
          <w:tab w:val="clear" w:pos="567"/>
          <w:tab w:val="clear" w:pos="1134"/>
          <w:tab w:val="clear" w:pos="1701"/>
          <w:tab w:val="clear" w:pos="2268"/>
          <w:tab w:val="clear" w:pos="2835"/>
        </w:tabs>
        <w:overflowPunct/>
        <w:autoSpaceDE/>
        <w:adjustRightInd/>
        <w:spacing w:after="120"/>
        <w:jc w:val="both"/>
        <w:textAlignment w:val="auto"/>
        <w:rPr>
          <w:rFonts w:cs="Calibri"/>
          <w:szCs w:val="24"/>
          <w:lang w:val="es-ES"/>
        </w:rPr>
      </w:pPr>
      <w:r>
        <w:rPr>
          <w:lang w:val="es-ES"/>
        </w:rPr>
        <w:t>En resumen, proponemos al Consejo de la UIT:</w:t>
      </w:r>
    </w:p>
    <w:p w14:paraId="433C76F1" w14:textId="742B0D41" w:rsidR="00DA6040" w:rsidRPr="008B6C4E" w:rsidRDefault="0000115A" w:rsidP="00E53524">
      <w:pPr>
        <w:pStyle w:val="enumlev1"/>
        <w:spacing w:before="80"/>
        <w:jc w:val="both"/>
        <w:rPr>
          <w:rFonts w:cs="Calibri"/>
          <w:szCs w:val="24"/>
          <w:lang w:val="es-ES"/>
        </w:rPr>
      </w:pPr>
      <w:r>
        <w:rPr>
          <w:lang w:val="es-ES"/>
        </w:rPr>
        <w:t>1)</w:t>
      </w:r>
      <w:r>
        <w:rPr>
          <w:lang w:val="es-ES"/>
        </w:rPr>
        <w:tab/>
        <w:t>R</w:t>
      </w:r>
      <w:r w:rsidR="00DA6040">
        <w:rPr>
          <w:lang w:val="es-ES"/>
        </w:rPr>
        <w:t xml:space="preserve">efrendar los cambios propuestos al Acuerdo 482 en el Documento </w:t>
      </w:r>
      <w:hyperlink r:id="rId12" w:history="1">
        <w:r w:rsidR="00DA6040" w:rsidRPr="00CB4BF2">
          <w:rPr>
            <w:rStyle w:val="Hyperlink"/>
            <w:lang w:val="es-ES"/>
          </w:rPr>
          <w:t>C25/10</w:t>
        </w:r>
      </w:hyperlink>
      <w:r w:rsidR="00DA6040">
        <w:rPr>
          <w:lang w:val="es-ES"/>
        </w:rPr>
        <w:t xml:space="preserve"> (Informe</w:t>
      </w:r>
      <w:r>
        <w:rPr>
          <w:lang w:val="es-ES"/>
        </w:rPr>
        <w:t xml:space="preserve"> </w:t>
      </w:r>
      <w:r w:rsidR="00DA6040">
        <w:rPr>
          <w:lang w:val="es-ES"/>
        </w:rPr>
        <w:t xml:space="preserve">Final del </w:t>
      </w:r>
      <w:r w:rsidR="00DA6040" w:rsidRPr="0000115A">
        <w:t>Grupo</w:t>
      </w:r>
      <w:r w:rsidR="00DA6040">
        <w:rPr>
          <w:lang w:val="es-ES"/>
        </w:rPr>
        <w:t xml:space="preserve"> de Expertos sobre la recuperación de costes de notificación de redes de satélite). Esto se traducirá en un aumento de los ingresos por recuperación de costes para la UIT al abordar los costes directos de la tramitación de las notificaciones.</w:t>
      </w:r>
    </w:p>
    <w:p w14:paraId="01ABC270" w14:textId="34EABC0B" w:rsidR="00DA6040" w:rsidRPr="008B6C4E" w:rsidRDefault="0000115A" w:rsidP="00E53524">
      <w:pPr>
        <w:pStyle w:val="enumlev1"/>
        <w:spacing w:before="80"/>
        <w:jc w:val="both"/>
        <w:rPr>
          <w:rFonts w:cs="Calibri"/>
          <w:szCs w:val="24"/>
          <w:lang w:val="es-ES"/>
        </w:rPr>
      </w:pPr>
      <w:r>
        <w:rPr>
          <w:lang w:val="es-ES"/>
        </w:rPr>
        <w:t>2)</w:t>
      </w:r>
      <w:r>
        <w:rPr>
          <w:lang w:val="es-ES"/>
        </w:rPr>
        <w:tab/>
        <w:t>A</w:t>
      </w:r>
      <w:r w:rsidR="00DA6040">
        <w:rPr>
          <w:lang w:val="es-ES"/>
        </w:rPr>
        <w:t xml:space="preserve">plazar el examen de los cánones por costes indirectos al Grupo de Trabajo del Consejo de la UIT sobre recursos humanos y financieros (GTC-RHF) sobre la base de la propuesta contenida en los documentos </w:t>
      </w:r>
      <w:hyperlink r:id="rId13" w:history="1">
        <w:r w:rsidR="00DA6040" w:rsidRPr="00137CD8">
          <w:rPr>
            <w:rStyle w:val="Hyperlink"/>
            <w:lang w:val="es-ES"/>
          </w:rPr>
          <w:t>C25/64</w:t>
        </w:r>
      </w:hyperlink>
      <w:r w:rsidR="00DA6040">
        <w:rPr>
          <w:lang w:val="es-ES"/>
        </w:rPr>
        <w:t xml:space="preserve"> y </w:t>
      </w:r>
      <w:hyperlink r:id="rId14" w:history="1">
        <w:r w:rsidR="00DA6040" w:rsidRPr="00FB5751">
          <w:rPr>
            <w:rStyle w:val="Hyperlink"/>
            <w:lang w:val="es-ES"/>
          </w:rPr>
          <w:t>C25/74</w:t>
        </w:r>
      </w:hyperlink>
      <w:r w:rsidR="00DA6040">
        <w:rPr>
          <w:lang w:val="es-ES"/>
        </w:rPr>
        <w:t xml:space="preserve"> para fomentar una consulta más amplia con los Estados Miembros. El análisis del GTC-RHF también debería considerar otras formas en que la UIT ha aplicado o podría aplicar cánones por costes indirectos a otros bienes y servicios proporcionados por la UIT de conformidad con la Resolución 91 (Rev. Guadalajara, 2010). </w:t>
      </w:r>
    </w:p>
    <w:p w14:paraId="354EEFB8" w14:textId="30E11309" w:rsidR="00DA6040" w:rsidRPr="00DA6040" w:rsidRDefault="0000115A" w:rsidP="00E53524">
      <w:pPr>
        <w:pStyle w:val="enumlev1"/>
        <w:spacing w:before="80"/>
        <w:jc w:val="both"/>
        <w:rPr>
          <w:rFonts w:cs="Calibri"/>
          <w:szCs w:val="24"/>
          <w:lang w:val="es-ES"/>
        </w:rPr>
      </w:pPr>
      <w:r>
        <w:rPr>
          <w:lang w:val="es-ES"/>
        </w:rPr>
        <w:t>3)</w:t>
      </w:r>
      <w:r>
        <w:rPr>
          <w:lang w:val="es-ES"/>
        </w:rPr>
        <w:tab/>
        <w:t>I</w:t>
      </w:r>
      <w:r w:rsidR="00DA6040">
        <w:rPr>
          <w:lang w:val="es-ES"/>
        </w:rPr>
        <w:t>nvitar a la UIT y al GTC-RHF a que celebren consultas entre los Estados Miembros y los</w:t>
      </w:r>
      <w:r w:rsidR="00E53524">
        <w:rPr>
          <w:lang w:val="es-ES"/>
        </w:rPr>
        <w:t> </w:t>
      </w:r>
      <w:r w:rsidR="00DA6040">
        <w:rPr>
          <w:lang w:val="es-ES"/>
        </w:rPr>
        <w:t>Miembros de Sector para comprender las posibles repercusiones de cualquier nueva metodología de recuperación de costes.</w:t>
      </w:r>
    </w:p>
    <w:p w14:paraId="11AA9D6F" w14:textId="77777777" w:rsidR="00F92BED" w:rsidRPr="00F92BED" w:rsidRDefault="00F92BED" w:rsidP="00F92BED">
      <w:pPr>
        <w:jc w:val="center"/>
      </w:pPr>
      <w:r>
        <w:t>______________</w:t>
      </w:r>
    </w:p>
    <w:sectPr w:rsidR="00F92BED" w:rsidRPr="00F92BED" w:rsidSect="00C538FC">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9517" w14:textId="77777777" w:rsidR="00103458" w:rsidRDefault="00103458">
      <w:r>
        <w:separator/>
      </w:r>
    </w:p>
  </w:endnote>
  <w:endnote w:type="continuationSeparator" w:id="0">
    <w:p w14:paraId="1C5C6A64" w14:textId="77777777" w:rsidR="00103458" w:rsidRDefault="0010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A4D99EB" w14:textId="77777777" w:rsidTr="00E31DCE">
      <w:trPr>
        <w:jc w:val="center"/>
      </w:trPr>
      <w:tc>
        <w:tcPr>
          <w:tcW w:w="1803" w:type="dxa"/>
          <w:vAlign w:val="center"/>
        </w:tcPr>
        <w:p w14:paraId="29DB550B" w14:textId="55513BA6" w:rsidR="003273A4" w:rsidRDefault="002946E2" w:rsidP="003273A4">
          <w:pPr>
            <w:pStyle w:val="Header"/>
            <w:jc w:val="left"/>
            <w:rPr>
              <w:noProof/>
            </w:rPr>
          </w:pPr>
          <w:r>
            <w:rPr>
              <w:noProof/>
            </w:rPr>
            <w:t xml:space="preserve">gDoc </w:t>
          </w:r>
          <w:r w:rsidR="00DA6040">
            <w:rPr>
              <w:noProof/>
            </w:rPr>
            <w:t>2501403</w:t>
          </w:r>
        </w:p>
      </w:tc>
      <w:tc>
        <w:tcPr>
          <w:tcW w:w="8261" w:type="dxa"/>
        </w:tcPr>
        <w:p w14:paraId="5E5A53CC" w14:textId="71F67FAC"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DA6040">
            <w:rPr>
              <w:bCs/>
            </w:rPr>
            <w:t>98</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E1699ED"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0AFFA28" w14:textId="77777777" w:rsidTr="00E31DCE">
      <w:trPr>
        <w:jc w:val="center"/>
      </w:trPr>
      <w:tc>
        <w:tcPr>
          <w:tcW w:w="1803" w:type="dxa"/>
          <w:vAlign w:val="center"/>
        </w:tcPr>
        <w:p w14:paraId="7A0BC0D4"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2FF18CB6" w14:textId="4306E192"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DA6040">
            <w:rPr>
              <w:bCs/>
            </w:rPr>
            <w:t>98</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5A1CBAC7"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BC13" w14:textId="77777777" w:rsidR="00103458" w:rsidRDefault="00103458">
      <w:r>
        <w:t>____________________</w:t>
      </w:r>
    </w:p>
  </w:footnote>
  <w:footnote w:type="continuationSeparator" w:id="0">
    <w:p w14:paraId="69859B0A" w14:textId="77777777" w:rsidR="00103458" w:rsidRDefault="0010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0067C246" w14:textId="77777777" w:rsidTr="00666D09">
      <w:trPr>
        <w:trHeight w:val="1104"/>
        <w:jc w:val="center"/>
      </w:trPr>
      <w:tc>
        <w:tcPr>
          <w:tcW w:w="5998" w:type="dxa"/>
          <w:vAlign w:val="center"/>
        </w:tcPr>
        <w:p w14:paraId="19811535"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306C63DD" wp14:editId="493FDD11">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08174968" w14:textId="77777777" w:rsidR="00666D09" w:rsidRDefault="00666D09" w:rsidP="001559F5">
          <w:pPr>
            <w:pStyle w:val="Header"/>
            <w:jc w:val="right"/>
            <w:rPr>
              <w:rFonts w:ascii="Arial" w:hAnsi="Arial" w:cs="Arial"/>
              <w:b/>
              <w:bCs/>
              <w:color w:val="009CD6"/>
              <w:szCs w:val="18"/>
            </w:rPr>
          </w:pPr>
        </w:p>
      </w:tc>
    </w:tr>
  </w:tbl>
  <w:p w14:paraId="2794A058"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210AF77" wp14:editId="45283D59">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5146F"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538EE"/>
    <w:multiLevelType w:val="hybridMultilevel"/>
    <w:tmpl w:val="68C498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CE5C91"/>
    <w:multiLevelType w:val="hybridMultilevel"/>
    <w:tmpl w:val="CC404B82"/>
    <w:lvl w:ilvl="0" w:tplc="4BF8C72C">
      <w:start w:val="1"/>
      <w:numFmt w:val="bullet"/>
      <w:pStyle w:val="enuBefore4p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0980338">
    <w:abstractNumId w:val="1"/>
  </w:num>
  <w:num w:numId="2" w16cid:durableId="162314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7A"/>
    <w:rsid w:val="000007D1"/>
    <w:rsid w:val="0000115A"/>
    <w:rsid w:val="0006007D"/>
    <w:rsid w:val="00093EEB"/>
    <w:rsid w:val="000B0D00"/>
    <w:rsid w:val="000B7C15"/>
    <w:rsid w:val="000D1D0F"/>
    <w:rsid w:val="000E3F07"/>
    <w:rsid w:val="000F5290"/>
    <w:rsid w:val="0010165C"/>
    <w:rsid w:val="00103458"/>
    <w:rsid w:val="00146BFB"/>
    <w:rsid w:val="001559F5"/>
    <w:rsid w:val="00157AC4"/>
    <w:rsid w:val="00160819"/>
    <w:rsid w:val="0016169C"/>
    <w:rsid w:val="001B6E2B"/>
    <w:rsid w:val="001F14A2"/>
    <w:rsid w:val="002801AA"/>
    <w:rsid w:val="002946E2"/>
    <w:rsid w:val="002C3F32"/>
    <w:rsid w:val="002C4676"/>
    <w:rsid w:val="002C70B0"/>
    <w:rsid w:val="002F3CC4"/>
    <w:rsid w:val="003032E2"/>
    <w:rsid w:val="0031300A"/>
    <w:rsid w:val="003273A4"/>
    <w:rsid w:val="0034796E"/>
    <w:rsid w:val="00365074"/>
    <w:rsid w:val="00473962"/>
    <w:rsid w:val="004B5D49"/>
    <w:rsid w:val="004D3A3C"/>
    <w:rsid w:val="004D4683"/>
    <w:rsid w:val="004D4953"/>
    <w:rsid w:val="00513630"/>
    <w:rsid w:val="00560125"/>
    <w:rsid w:val="00585553"/>
    <w:rsid w:val="005B34D9"/>
    <w:rsid w:val="005D0CCF"/>
    <w:rsid w:val="005F3BCB"/>
    <w:rsid w:val="005F410F"/>
    <w:rsid w:val="0060149A"/>
    <w:rsid w:val="00601924"/>
    <w:rsid w:val="0060287A"/>
    <w:rsid w:val="00615253"/>
    <w:rsid w:val="006447EA"/>
    <w:rsid w:val="0064481D"/>
    <w:rsid w:val="0064731F"/>
    <w:rsid w:val="00664572"/>
    <w:rsid w:val="00666D09"/>
    <w:rsid w:val="006710F6"/>
    <w:rsid w:val="00677A97"/>
    <w:rsid w:val="006C1B56"/>
    <w:rsid w:val="006D4761"/>
    <w:rsid w:val="00726872"/>
    <w:rsid w:val="00760F1C"/>
    <w:rsid w:val="007657F0"/>
    <w:rsid w:val="0077110E"/>
    <w:rsid w:val="0077252D"/>
    <w:rsid w:val="007955DA"/>
    <w:rsid w:val="007A7F34"/>
    <w:rsid w:val="007E10A5"/>
    <w:rsid w:val="007E3028"/>
    <w:rsid w:val="007E5DD3"/>
    <w:rsid w:val="007F350B"/>
    <w:rsid w:val="00820BE4"/>
    <w:rsid w:val="008451E8"/>
    <w:rsid w:val="008F6ABC"/>
    <w:rsid w:val="00913B9C"/>
    <w:rsid w:val="00927F93"/>
    <w:rsid w:val="00956E77"/>
    <w:rsid w:val="009A338E"/>
    <w:rsid w:val="009F4811"/>
    <w:rsid w:val="00A3576E"/>
    <w:rsid w:val="00A94438"/>
    <w:rsid w:val="00AA390C"/>
    <w:rsid w:val="00B0200A"/>
    <w:rsid w:val="00B060DF"/>
    <w:rsid w:val="00B574DB"/>
    <w:rsid w:val="00B826C2"/>
    <w:rsid w:val="00B8298E"/>
    <w:rsid w:val="00BB6FD8"/>
    <w:rsid w:val="00BD0723"/>
    <w:rsid w:val="00BD2518"/>
    <w:rsid w:val="00BF1D1C"/>
    <w:rsid w:val="00C20C59"/>
    <w:rsid w:val="00C2727F"/>
    <w:rsid w:val="00C538FC"/>
    <w:rsid w:val="00C55B1F"/>
    <w:rsid w:val="00CE1C7C"/>
    <w:rsid w:val="00CF1A67"/>
    <w:rsid w:val="00D2750E"/>
    <w:rsid w:val="00D375E0"/>
    <w:rsid w:val="00D50A36"/>
    <w:rsid w:val="00D62446"/>
    <w:rsid w:val="00DA4EA2"/>
    <w:rsid w:val="00DA6040"/>
    <w:rsid w:val="00DC3D3E"/>
    <w:rsid w:val="00DE2C90"/>
    <w:rsid w:val="00DE3B24"/>
    <w:rsid w:val="00E06947"/>
    <w:rsid w:val="00E11319"/>
    <w:rsid w:val="00E21444"/>
    <w:rsid w:val="00E33CA8"/>
    <w:rsid w:val="00E34072"/>
    <w:rsid w:val="00E3592D"/>
    <w:rsid w:val="00E50D76"/>
    <w:rsid w:val="00E53524"/>
    <w:rsid w:val="00E8018B"/>
    <w:rsid w:val="00E92DE8"/>
    <w:rsid w:val="00EB1212"/>
    <w:rsid w:val="00ED58EB"/>
    <w:rsid w:val="00ED65AB"/>
    <w:rsid w:val="00F12850"/>
    <w:rsid w:val="00F24B71"/>
    <w:rsid w:val="00F33BF4"/>
    <w:rsid w:val="00F70049"/>
    <w:rsid w:val="00F7105E"/>
    <w:rsid w:val="00F75F57"/>
    <w:rsid w:val="00F82FEE"/>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1A7E5"/>
  <w15:docId w15:val="{AD8B1BAC-B252-4C66-A6E1-ED16C6A8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qFormat/>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enuBefore4pt">
    <w:name w:val="enu+ Before:  4 pt"/>
    <w:basedOn w:val="enumlev1"/>
    <w:rsid w:val="0000115A"/>
    <w:pPr>
      <w:numPr>
        <w:numId w:val="1"/>
      </w:numPr>
      <w:spacing w:before="8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10/es" TargetMode="External"/><Relationship Id="rId13" Type="http://schemas.openxmlformats.org/officeDocument/2006/relationships/hyperlink" Target="https://www.itu.int/md/S25-CL-C-0064/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S25-CL-C-0010/es" TargetMode="External"/><Relationship Id="rId12" Type="http://schemas.openxmlformats.org/officeDocument/2006/relationships/hyperlink" Target="https://www.itu.int/md/S25-CL-C-0010/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5-CL-C-0064/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tu.int/md/S25-CL-C-0064/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5-CL-C-0010/es" TargetMode="External"/><Relationship Id="rId14" Type="http://schemas.openxmlformats.org/officeDocument/2006/relationships/hyperlink" Target="https://www.itu.int/md/S25-CL-C-0074/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1</TotalTime>
  <Pages>4</Pages>
  <Words>1785</Words>
  <Characters>9836</Characters>
  <Application>Microsoft Office Word</Application>
  <DocSecurity>0</DocSecurity>
  <Lines>81</Lines>
  <Paragraphs>23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11598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de los Estados Unidos - Recuperación de los costes de notificación de redes de satélite y costes indirectos</dc:title>
  <dc:subject>ITU Council 2025</dc:subject>
  <dc:creator>Spanish</dc:creator>
  <cp:keywords>C2025, C25, Council-25</cp:keywords>
  <dc:description/>
  <cp:lastModifiedBy>GBS</cp:lastModifiedBy>
  <cp:revision>2</cp:revision>
  <cp:lastPrinted>2006-03-24T09:51:00Z</cp:lastPrinted>
  <dcterms:created xsi:type="dcterms:W3CDTF">2025-06-12T11:37:00Z</dcterms:created>
  <dcterms:modified xsi:type="dcterms:W3CDTF">2025-06-12T11:37:00Z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