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4A1C9D19" w14:textId="77777777" w:rsidTr="00F363FE">
        <w:tc>
          <w:tcPr>
            <w:tcW w:w="6512" w:type="dxa"/>
          </w:tcPr>
          <w:p w14:paraId="2AB12702" w14:textId="33C7EF21" w:rsidR="007B0AA0" w:rsidRPr="00B26556" w:rsidRDefault="007B0AA0" w:rsidP="00B26556">
            <w:pPr>
              <w:spacing w:before="60" w:after="60" w:line="260" w:lineRule="exact"/>
              <w:rPr>
                <w:b/>
                <w:bCs/>
                <w:rtl/>
                <w:lang w:bidi="ar-EG"/>
              </w:rPr>
            </w:pPr>
            <w:r w:rsidRPr="007B0AA0">
              <w:rPr>
                <w:rFonts w:hint="cs"/>
                <w:b/>
                <w:bCs/>
                <w:rtl/>
                <w:lang w:bidi="ar-EG"/>
              </w:rPr>
              <w:t>بند جدول الأعمال:</w:t>
            </w:r>
            <w:r w:rsidR="00B26556">
              <w:rPr>
                <w:rFonts w:hint="cs"/>
                <w:b/>
                <w:bCs/>
                <w:rtl/>
                <w:lang w:bidi="ar-EG"/>
              </w:rPr>
              <w:t xml:space="preserve"> </w:t>
            </w:r>
            <w:r w:rsidR="00B26556" w:rsidRPr="00B26556">
              <w:rPr>
                <w:b/>
                <w:bCs/>
                <w:lang w:val="en-GB" w:bidi="ar-EG"/>
              </w:rPr>
              <w:t>ADM 1</w:t>
            </w:r>
          </w:p>
        </w:tc>
        <w:tc>
          <w:tcPr>
            <w:tcW w:w="3117" w:type="dxa"/>
          </w:tcPr>
          <w:p w14:paraId="69324F64" w14:textId="6F7C1C7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B26556">
              <w:rPr>
                <w:b/>
                <w:bCs/>
                <w:lang w:bidi="ar-EG"/>
              </w:rPr>
              <w:t>98</w:t>
            </w:r>
            <w:r w:rsidRPr="007B0AA0">
              <w:rPr>
                <w:b/>
                <w:bCs/>
                <w:lang w:bidi="ar-EG"/>
              </w:rPr>
              <w:t>-A</w:t>
            </w:r>
          </w:p>
        </w:tc>
      </w:tr>
      <w:tr w:rsidR="007B0AA0" w14:paraId="13A1D761" w14:textId="77777777" w:rsidTr="00F363FE">
        <w:tc>
          <w:tcPr>
            <w:tcW w:w="6512" w:type="dxa"/>
          </w:tcPr>
          <w:p w14:paraId="46C3A5E4" w14:textId="77777777" w:rsidR="007B0AA0" w:rsidRPr="007B0AA0" w:rsidRDefault="007B0AA0" w:rsidP="00F363FE">
            <w:pPr>
              <w:spacing w:before="60" w:after="60" w:line="260" w:lineRule="exact"/>
              <w:rPr>
                <w:b/>
                <w:bCs/>
                <w:rtl/>
                <w:lang w:bidi="ar-EG"/>
              </w:rPr>
            </w:pPr>
          </w:p>
        </w:tc>
        <w:tc>
          <w:tcPr>
            <w:tcW w:w="3117" w:type="dxa"/>
          </w:tcPr>
          <w:p w14:paraId="5AC0058D" w14:textId="58133EA6" w:rsidR="007B0AA0" w:rsidRPr="007B0AA0" w:rsidRDefault="00B70835" w:rsidP="00F363FE">
            <w:pPr>
              <w:spacing w:before="60" w:after="60" w:line="260" w:lineRule="exact"/>
              <w:rPr>
                <w:b/>
                <w:bCs/>
                <w:rtl/>
                <w:lang w:bidi="ar-EG"/>
              </w:rPr>
            </w:pPr>
            <w:r w:rsidRPr="00AC3A3D">
              <w:rPr>
                <w:b/>
                <w:bCs/>
                <w:lang w:bidi="ar-EG"/>
              </w:rPr>
              <w:t>6</w:t>
            </w:r>
            <w:r w:rsidRPr="00AC3A3D">
              <w:rPr>
                <w:b/>
                <w:bCs/>
                <w:rtl/>
                <w:lang w:bidi="ar-EG"/>
              </w:rPr>
              <w:t xml:space="preserve"> يونيو </w:t>
            </w:r>
            <w:r w:rsidRPr="00AC3A3D">
              <w:rPr>
                <w:b/>
                <w:bCs/>
                <w:lang w:bidi="ar-EG"/>
              </w:rPr>
              <w:t>2025</w:t>
            </w:r>
          </w:p>
        </w:tc>
      </w:tr>
      <w:tr w:rsidR="007B0AA0" w14:paraId="02F60689" w14:textId="77777777" w:rsidTr="00F363FE">
        <w:tc>
          <w:tcPr>
            <w:tcW w:w="6512" w:type="dxa"/>
          </w:tcPr>
          <w:p w14:paraId="42D05FF5" w14:textId="77777777" w:rsidR="007B0AA0" w:rsidRPr="007B0AA0" w:rsidRDefault="007B0AA0" w:rsidP="00F363FE">
            <w:pPr>
              <w:spacing w:before="60" w:after="60" w:line="260" w:lineRule="exact"/>
              <w:rPr>
                <w:b/>
                <w:bCs/>
                <w:rtl/>
                <w:lang w:bidi="ar-EG"/>
              </w:rPr>
            </w:pPr>
          </w:p>
        </w:tc>
        <w:tc>
          <w:tcPr>
            <w:tcW w:w="3117" w:type="dxa"/>
          </w:tcPr>
          <w:p w14:paraId="4EFE0AED"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69FA6422" w14:textId="77777777" w:rsidTr="00F363FE">
        <w:tc>
          <w:tcPr>
            <w:tcW w:w="6512" w:type="dxa"/>
          </w:tcPr>
          <w:p w14:paraId="3365607B" w14:textId="77777777" w:rsidR="007B0AA0" w:rsidRDefault="007B0AA0" w:rsidP="00F363FE">
            <w:pPr>
              <w:spacing w:before="60" w:after="60" w:line="260" w:lineRule="exact"/>
              <w:rPr>
                <w:lang w:bidi="ar-EG"/>
              </w:rPr>
            </w:pPr>
          </w:p>
        </w:tc>
        <w:tc>
          <w:tcPr>
            <w:tcW w:w="3117" w:type="dxa"/>
          </w:tcPr>
          <w:p w14:paraId="533316B1" w14:textId="77777777" w:rsidR="007B0AA0" w:rsidRDefault="007B0AA0" w:rsidP="00F363FE">
            <w:pPr>
              <w:spacing w:before="60" w:after="60" w:line="260" w:lineRule="exact"/>
              <w:rPr>
                <w:rtl/>
                <w:lang w:bidi="ar-EG"/>
              </w:rPr>
            </w:pPr>
          </w:p>
        </w:tc>
      </w:tr>
      <w:tr w:rsidR="007B0AA0" w14:paraId="49C62264" w14:textId="77777777" w:rsidTr="00EE7446">
        <w:tc>
          <w:tcPr>
            <w:tcW w:w="9629" w:type="dxa"/>
            <w:gridSpan w:val="2"/>
          </w:tcPr>
          <w:p w14:paraId="45E05267" w14:textId="6D5E3E55" w:rsidR="007B0AA0" w:rsidRDefault="00B70835" w:rsidP="00B70835">
            <w:pPr>
              <w:pStyle w:val="Source"/>
              <w:jc w:val="left"/>
              <w:rPr>
                <w:lang w:bidi="ar-EG"/>
              </w:rPr>
            </w:pPr>
            <w:r w:rsidRPr="00B70835">
              <w:rPr>
                <w:rtl/>
                <w:lang w:bidi="ar-EG"/>
              </w:rPr>
              <w:t xml:space="preserve">مساهمة من </w:t>
            </w:r>
            <w:r w:rsidRPr="00B70835">
              <w:rPr>
                <w:rFonts w:hint="cs"/>
                <w:rtl/>
                <w:lang w:bidi="ar-EG"/>
              </w:rPr>
              <w:t>الولايات المتحدة الأمريكية</w:t>
            </w:r>
          </w:p>
        </w:tc>
      </w:tr>
      <w:tr w:rsidR="007B0AA0" w14:paraId="2A5EF39C" w14:textId="77777777" w:rsidTr="007B0AA0">
        <w:tc>
          <w:tcPr>
            <w:tcW w:w="9629" w:type="dxa"/>
            <w:gridSpan w:val="2"/>
            <w:tcBorders>
              <w:bottom w:val="single" w:sz="4" w:space="0" w:color="auto"/>
            </w:tcBorders>
          </w:tcPr>
          <w:p w14:paraId="51224286" w14:textId="43C7F382" w:rsidR="007B0AA0" w:rsidRPr="005546CF" w:rsidRDefault="00B70835" w:rsidP="00B70835">
            <w:pPr>
              <w:pStyle w:val="Subtitle0"/>
              <w:rPr>
                <w:sz w:val="32"/>
                <w:szCs w:val="32"/>
              </w:rPr>
            </w:pPr>
            <w:r w:rsidRPr="00B70835">
              <w:rPr>
                <w:sz w:val="32"/>
                <w:szCs w:val="32"/>
                <w:rtl/>
                <w:lang w:bidi="ar-SA"/>
              </w:rPr>
              <w:t>استرداد تكاليف معالجة بطاقات</w:t>
            </w:r>
            <w:r w:rsidRPr="00B70835">
              <w:rPr>
                <w:rFonts w:hint="cs"/>
                <w:sz w:val="32"/>
                <w:szCs w:val="32"/>
                <w:rtl/>
                <w:lang w:bidi="ar-SA"/>
              </w:rPr>
              <w:t xml:space="preserve"> </w:t>
            </w:r>
            <w:r w:rsidRPr="00B70835">
              <w:rPr>
                <w:sz w:val="32"/>
                <w:szCs w:val="32"/>
                <w:rtl/>
                <w:lang w:bidi="ar-SA"/>
              </w:rPr>
              <w:t>التبليغ عن الشبكات الساتلية</w:t>
            </w:r>
            <w:r w:rsidR="00CD4CB4">
              <w:rPr>
                <w:rFonts w:hint="cs"/>
                <w:sz w:val="32"/>
                <w:szCs w:val="32"/>
                <w:rtl/>
                <w:lang w:bidi="ar-SA"/>
              </w:rPr>
              <w:t xml:space="preserve"> </w:t>
            </w:r>
            <w:r w:rsidRPr="00B70835">
              <w:rPr>
                <w:sz w:val="32"/>
                <w:szCs w:val="32"/>
                <w:rtl/>
                <w:lang w:bidi="ar-SA"/>
              </w:rPr>
              <w:t>والتكاليف غير</w:t>
            </w:r>
            <w:r w:rsidR="00CD4CB4">
              <w:rPr>
                <w:rFonts w:hint="eastAsia"/>
                <w:sz w:val="32"/>
                <w:szCs w:val="32"/>
                <w:rtl/>
                <w:lang w:bidi="ar-SA"/>
              </w:rPr>
              <w:t> </w:t>
            </w:r>
            <w:r w:rsidRPr="00B70835">
              <w:rPr>
                <w:sz w:val="32"/>
                <w:szCs w:val="32"/>
                <w:rtl/>
                <w:lang w:bidi="ar-SA"/>
              </w:rPr>
              <w:t>المباشرة</w:t>
            </w:r>
          </w:p>
        </w:tc>
      </w:tr>
      <w:tr w:rsidR="007B0AA0" w14:paraId="2966B9B9" w14:textId="77777777" w:rsidTr="007B0AA0">
        <w:tc>
          <w:tcPr>
            <w:tcW w:w="9629" w:type="dxa"/>
            <w:gridSpan w:val="2"/>
            <w:tcBorders>
              <w:top w:val="single" w:sz="4" w:space="0" w:color="auto"/>
              <w:bottom w:val="single" w:sz="4" w:space="0" w:color="auto"/>
            </w:tcBorders>
          </w:tcPr>
          <w:p w14:paraId="17B474DA" w14:textId="77777777" w:rsidR="007B0AA0" w:rsidRPr="007B0AA0" w:rsidRDefault="007B0AA0" w:rsidP="007B0AA0">
            <w:pPr>
              <w:rPr>
                <w:b/>
                <w:bCs/>
                <w:rtl/>
              </w:rPr>
            </w:pPr>
            <w:r w:rsidRPr="00494119">
              <w:rPr>
                <w:rFonts w:hint="cs"/>
                <w:b/>
                <w:bCs/>
                <w:rtl/>
              </w:rPr>
              <w:t>الغرض</w:t>
            </w:r>
          </w:p>
          <w:p w14:paraId="00F3861F" w14:textId="31EF2CEF" w:rsidR="007B0AA0" w:rsidRDefault="00B70835" w:rsidP="00C77B94">
            <w:pPr>
              <w:rPr>
                <w:rtl/>
              </w:rPr>
            </w:pPr>
            <w:r w:rsidRPr="00B70835">
              <w:rPr>
                <w:rtl/>
              </w:rPr>
              <w:t xml:space="preserve">تُؤيد هذه المساهمة التعديلات المُدخلة على </w:t>
            </w:r>
            <w:r w:rsidR="00CD4CB4">
              <w:rPr>
                <w:rtl/>
              </w:rPr>
              <w:t>مقرر</w:t>
            </w:r>
            <w:r w:rsidRPr="00B70835">
              <w:rPr>
                <w:rtl/>
              </w:rPr>
              <w:t xml:space="preserve"> المجلس </w:t>
            </w:r>
            <w:r w:rsidRPr="00B70835">
              <w:t>482</w:t>
            </w:r>
            <w:r w:rsidRPr="00B70835">
              <w:rPr>
                <w:rtl/>
              </w:rPr>
              <w:t>، كما هو مُقترح في التقرير النهائي لفريق الخبراء المعني ب</w:t>
            </w:r>
            <w:r w:rsidR="00CD4CB4">
              <w:rPr>
                <w:rtl/>
              </w:rPr>
              <w:t>مقرر</w:t>
            </w:r>
            <w:r w:rsidRPr="00B70835">
              <w:rPr>
                <w:rtl/>
              </w:rPr>
              <w:t xml:space="preserve"> المجلس </w:t>
            </w:r>
            <w:r w:rsidRPr="00B70835">
              <w:t>482</w:t>
            </w:r>
            <w:r w:rsidRPr="00B70835">
              <w:rPr>
                <w:rtl/>
              </w:rPr>
              <w:t xml:space="preserve"> (الوثيقة </w:t>
            </w:r>
            <w:hyperlink r:id="rId8" w:history="1">
              <w:r w:rsidR="00C77B94" w:rsidRPr="00C77B94">
                <w:rPr>
                  <w:rStyle w:val="Hyperlink"/>
                  <w:noProof w:val="0"/>
                  <w:lang w:eastAsia="zh-CN"/>
                </w:rPr>
                <w:t>C25/10</w:t>
              </w:r>
            </w:hyperlink>
            <w:r w:rsidRPr="00B70835">
              <w:rPr>
                <w:rtl/>
              </w:rPr>
              <w:t xml:space="preserve">). ومع ذلك، تتطلب مسألة الرسوم غير المباشرة تحليلاً إضافياً قبل الموافقة على </w:t>
            </w:r>
            <w:r w:rsidRPr="00B70835">
              <w:rPr>
                <w:rFonts w:hint="cs"/>
                <w:rtl/>
              </w:rPr>
              <w:t xml:space="preserve">إجراء </w:t>
            </w:r>
            <w:r w:rsidRPr="00B70835">
              <w:rPr>
                <w:rtl/>
              </w:rPr>
              <w:t xml:space="preserve">تغيير جوهري في </w:t>
            </w:r>
            <w:r w:rsidRPr="00B70835">
              <w:rPr>
                <w:rFonts w:hint="cs"/>
                <w:rtl/>
              </w:rPr>
              <w:t>ال</w:t>
            </w:r>
            <w:r w:rsidRPr="00B70835">
              <w:rPr>
                <w:rtl/>
              </w:rPr>
              <w:t xml:space="preserve">نظام الحالي </w:t>
            </w:r>
            <w:r w:rsidRPr="00B70835">
              <w:rPr>
                <w:rFonts w:hint="cs"/>
                <w:rtl/>
              </w:rPr>
              <w:t>ل</w:t>
            </w:r>
            <w:r w:rsidRPr="00B70835">
              <w:rPr>
                <w:rtl/>
              </w:rPr>
              <w:t xml:space="preserve">رسوم تسجيل </w:t>
            </w:r>
            <w:r w:rsidRPr="00B70835">
              <w:rPr>
                <w:rFonts w:hint="cs"/>
                <w:rtl/>
              </w:rPr>
              <w:t>ال</w:t>
            </w:r>
            <w:r w:rsidRPr="00B70835">
              <w:rPr>
                <w:rtl/>
              </w:rPr>
              <w:t>شبكات الساتلية، والذي قد يؤثر سلباً على مشاركة بعض الدول الأعضاء في</w:t>
            </w:r>
            <w:r w:rsidRPr="00B70835">
              <w:rPr>
                <w:rFonts w:hint="cs"/>
                <w:rtl/>
              </w:rPr>
              <w:t xml:space="preserve"> مجال</w:t>
            </w:r>
            <w:r w:rsidRPr="00B70835">
              <w:rPr>
                <w:rtl/>
              </w:rPr>
              <w:t xml:space="preserve"> الاتصالات الساتلية.</w:t>
            </w:r>
          </w:p>
          <w:p w14:paraId="196D0C36" w14:textId="77777777" w:rsidR="007B0AA0" w:rsidRPr="007B0AA0" w:rsidRDefault="007B0AA0" w:rsidP="007B0AA0">
            <w:pPr>
              <w:rPr>
                <w:b/>
                <w:bCs/>
                <w:rtl/>
              </w:rPr>
            </w:pPr>
            <w:r w:rsidRPr="007B0AA0">
              <w:rPr>
                <w:rFonts w:hint="cs"/>
                <w:b/>
                <w:bCs/>
                <w:rtl/>
              </w:rPr>
              <w:t>الإجراء المطلوب من المجلس</w:t>
            </w:r>
          </w:p>
          <w:p w14:paraId="077A28E5" w14:textId="4CFA4B9C" w:rsidR="007B0AA0" w:rsidRPr="00CD4CB4" w:rsidRDefault="00B70835" w:rsidP="00B70835">
            <w:pPr>
              <w:rPr>
                <w:spacing w:val="-4"/>
                <w:rtl/>
              </w:rPr>
            </w:pPr>
            <w:r w:rsidRPr="00CD4CB4">
              <w:rPr>
                <w:spacing w:val="-4"/>
                <w:rtl/>
              </w:rPr>
              <w:t>ي</w:t>
            </w:r>
            <w:r w:rsidRPr="00CD4CB4">
              <w:rPr>
                <w:rFonts w:hint="cs"/>
                <w:spacing w:val="-4"/>
                <w:rtl/>
              </w:rPr>
              <w:t>ُ</w:t>
            </w:r>
            <w:r w:rsidRPr="00CD4CB4">
              <w:rPr>
                <w:spacing w:val="-4"/>
                <w:rtl/>
              </w:rPr>
              <w:t xml:space="preserve">دعى المجلس إلى </w:t>
            </w:r>
            <w:r w:rsidRPr="00CD4CB4">
              <w:rPr>
                <w:b/>
                <w:bCs/>
                <w:spacing w:val="-4"/>
                <w:rtl/>
              </w:rPr>
              <w:t>الموافقة</w:t>
            </w:r>
            <w:r w:rsidRPr="00CD4CB4">
              <w:rPr>
                <w:spacing w:val="-4"/>
                <w:rtl/>
              </w:rPr>
              <w:t xml:space="preserve"> على التعديلات على ال</w:t>
            </w:r>
            <w:r w:rsidR="00CD4CB4">
              <w:rPr>
                <w:spacing w:val="-4"/>
                <w:rtl/>
              </w:rPr>
              <w:t>مقرر</w:t>
            </w:r>
            <w:r w:rsidRPr="00CD4CB4">
              <w:rPr>
                <w:spacing w:val="-4"/>
                <w:rtl/>
              </w:rPr>
              <w:t xml:space="preserve"> </w:t>
            </w:r>
            <w:r w:rsidRPr="00CD4CB4">
              <w:rPr>
                <w:spacing w:val="-4"/>
              </w:rPr>
              <w:t>482</w:t>
            </w:r>
            <w:r w:rsidRPr="00CD4CB4">
              <w:rPr>
                <w:spacing w:val="-4"/>
                <w:rtl/>
              </w:rPr>
              <w:t xml:space="preserve"> </w:t>
            </w:r>
            <w:r w:rsidRPr="00CD4CB4">
              <w:rPr>
                <w:rFonts w:hint="cs"/>
                <w:spacing w:val="-4"/>
                <w:rtl/>
              </w:rPr>
              <w:t>والمدرجة</w:t>
            </w:r>
            <w:r w:rsidRPr="00CD4CB4">
              <w:rPr>
                <w:spacing w:val="-4"/>
                <w:rtl/>
              </w:rPr>
              <w:t xml:space="preserve"> في الوثيقة </w:t>
            </w:r>
            <w:r w:rsidRPr="00CD4CB4">
              <w:rPr>
                <w:spacing w:val="-4"/>
              </w:rPr>
              <w:t>C25/10</w:t>
            </w:r>
            <w:r w:rsidRPr="00CD4CB4">
              <w:rPr>
                <w:spacing w:val="-4"/>
                <w:rtl/>
              </w:rPr>
              <w:t xml:space="preserve"> و</w:t>
            </w:r>
            <w:r w:rsidRPr="00CD4CB4">
              <w:rPr>
                <w:b/>
                <w:bCs/>
                <w:spacing w:val="-4"/>
                <w:rtl/>
              </w:rPr>
              <w:t>إحالة</w:t>
            </w:r>
            <w:r w:rsidRPr="00CD4CB4">
              <w:rPr>
                <w:spacing w:val="-4"/>
                <w:rtl/>
              </w:rPr>
              <w:t xml:space="preserve"> مسألة الرسوم الخاصة بالتكاليف غير المباشرة إلى فريق العمل التابع للمجلس </w:t>
            </w:r>
            <w:r w:rsidRPr="00CD4CB4">
              <w:rPr>
                <w:rFonts w:hint="cs"/>
                <w:spacing w:val="-4"/>
                <w:rtl/>
              </w:rPr>
              <w:t>و</w:t>
            </w:r>
            <w:r w:rsidRPr="00CD4CB4">
              <w:rPr>
                <w:spacing w:val="-4"/>
                <w:rtl/>
              </w:rPr>
              <w:t>المعني بالموارد المالية والبشرية لإجراء تحليل</w:t>
            </w:r>
            <w:r w:rsidR="00B07A4C" w:rsidRPr="00CD4CB4">
              <w:rPr>
                <w:rFonts w:hint="cs"/>
                <w:spacing w:val="-4"/>
                <w:rtl/>
              </w:rPr>
              <w:t> </w:t>
            </w:r>
            <w:r w:rsidRPr="00CD4CB4">
              <w:rPr>
                <w:spacing w:val="-4"/>
                <w:rtl/>
              </w:rPr>
              <w:t>إضافي.</w:t>
            </w:r>
          </w:p>
          <w:p w14:paraId="10E8CDF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E31F3BD" w14:textId="77777777" w:rsidR="007B0AA0" w:rsidRPr="007B0AA0" w:rsidRDefault="007B0AA0" w:rsidP="007B0AA0">
            <w:pPr>
              <w:rPr>
                <w:b/>
                <w:bCs/>
                <w:rtl/>
              </w:rPr>
            </w:pPr>
            <w:r w:rsidRPr="007B0AA0">
              <w:rPr>
                <w:rFonts w:hint="cs"/>
                <w:b/>
                <w:bCs/>
                <w:rtl/>
              </w:rPr>
              <w:t>المراجع</w:t>
            </w:r>
          </w:p>
          <w:p w14:paraId="6D607B4A" w14:textId="06AA22B3" w:rsidR="007B0AA0" w:rsidRPr="005546CF" w:rsidRDefault="00B70835" w:rsidP="00C77B94">
            <w:pPr>
              <w:rPr>
                <w:i/>
                <w:iCs/>
                <w:rtl/>
              </w:rPr>
            </w:pPr>
            <w:r w:rsidRPr="00B70835">
              <w:rPr>
                <w:i/>
                <w:iCs/>
                <w:rtl/>
              </w:rPr>
              <w:t xml:space="preserve">وثيقة المجلس </w:t>
            </w:r>
            <w:r w:rsidR="00A91153">
              <w:rPr>
                <w:i/>
                <w:iCs/>
                <w:lang w:val="en-GB"/>
              </w:rPr>
              <w:fldChar w:fldCharType="begin"/>
            </w:r>
            <w:r w:rsidR="00A91153">
              <w:rPr>
                <w:i/>
                <w:iCs/>
                <w:lang w:val="en-GB"/>
              </w:rPr>
              <w:instrText>HYPERLINK "https://www.itu.int/md/S25-CL-C-0010/en"</w:instrText>
            </w:r>
            <w:r w:rsidR="00A91153">
              <w:rPr>
                <w:i/>
                <w:iCs/>
                <w:lang w:val="en-GB"/>
              </w:rPr>
            </w:r>
            <w:r w:rsidR="00A91153">
              <w:rPr>
                <w:i/>
                <w:iCs/>
                <w:lang w:val="en-GB"/>
              </w:rPr>
              <w:fldChar w:fldCharType="separate"/>
            </w:r>
            <w:r w:rsidR="00C77B94" w:rsidRPr="00A91153">
              <w:rPr>
                <w:rStyle w:val="Hyperlink"/>
                <w:i/>
                <w:iCs/>
                <w:noProof w:val="0"/>
                <w:lang w:eastAsia="zh-CN"/>
              </w:rPr>
              <w:t>C25/10</w:t>
            </w:r>
            <w:r w:rsidR="00A91153">
              <w:rPr>
                <w:i/>
                <w:iCs/>
                <w:lang w:val="en-GB"/>
              </w:rPr>
              <w:fldChar w:fldCharType="end"/>
            </w:r>
          </w:p>
        </w:tc>
      </w:tr>
    </w:tbl>
    <w:p w14:paraId="5CD1D1EE" w14:textId="77777777" w:rsidR="00F50E3F" w:rsidRDefault="00F50E3F" w:rsidP="0043260A">
      <w:pPr>
        <w:rPr>
          <w:rtl/>
          <w:lang w:bidi="ar-EG"/>
        </w:rPr>
      </w:pPr>
      <w:r>
        <w:rPr>
          <w:rtl/>
          <w:lang w:bidi="ar-EG"/>
        </w:rPr>
        <w:br w:type="page"/>
      </w:r>
    </w:p>
    <w:p w14:paraId="4E9E2D9E" w14:textId="33EDF526" w:rsidR="00B70835" w:rsidRPr="00B70835" w:rsidRDefault="00CD4CB4" w:rsidP="00B06DDB">
      <w:pPr>
        <w:pStyle w:val="Headingb"/>
        <w:rPr>
          <w:lang w:bidi="ar-EG"/>
        </w:rPr>
      </w:pPr>
      <w:r>
        <w:rPr>
          <w:rFonts w:hint="cs"/>
          <w:rtl/>
        </w:rPr>
        <w:lastRenderedPageBreak/>
        <w:t>المعلومات الأساسية والمناقشة</w:t>
      </w:r>
    </w:p>
    <w:p w14:paraId="2548DC1E" w14:textId="04E0BE40" w:rsidR="00B70835" w:rsidRPr="00B70835" w:rsidRDefault="00B70835" w:rsidP="00B06DDB">
      <w:pPr>
        <w:pStyle w:val="Headingb"/>
        <w:rPr>
          <w:rtl/>
        </w:rPr>
      </w:pPr>
      <w:r w:rsidRPr="00B70835">
        <w:rPr>
          <w:rFonts w:hint="cs"/>
          <w:rtl/>
        </w:rPr>
        <w:t>ال</w:t>
      </w:r>
      <w:r w:rsidRPr="00B70835">
        <w:rPr>
          <w:rtl/>
        </w:rPr>
        <w:t xml:space="preserve">تعديلات على </w:t>
      </w:r>
      <w:r w:rsidR="00CD4CB4">
        <w:rPr>
          <w:rtl/>
        </w:rPr>
        <w:t>مقرر</w:t>
      </w:r>
      <w:r w:rsidRPr="00B70835">
        <w:rPr>
          <w:rtl/>
        </w:rPr>
        <w:t xml:space="preserve"> المجلس </w:t>
      </w:r>
      <w:r w:rsidRPr="00B70835">
        <w:t>482</w:t>
      </w:r>
    </w:p>
    <w:p w14:paraId="77313CF1" w14:textId="610DD8E6" w:rsidR="00B70835" w:rsidRPr="00B70835" w:rsidRDefault="00B70835" w:rsidP="00B70835">
      <w:pPr>
        <w:rPr>
          <w:rtl/>
        </w:rPr>
      </w:pPr>
      <w:r w:rsidRPr="00B70835">
        <w:rPr>
          <w:rtl/>
        </w:rPr>
        <w:t>تشكر الولايات المتحدة فريق الخبراء المعني بال</w:t>
      </w:r>
      <w:r w:rsidR="00CD4CB4">
        <w:rPr>
          <w:rtl/>
        </w:rPr>
        <w:t>مقرر</w:t>
      </w:r>
      <w:r w:rsidRPr="00B70835">
        <w:rPr>
          <w:rtl/>
        </w:rPr>
        <w:t xml:space="preserve"> </w:t>
      </w:r>
      <w:r w:rsidRPr="00B70835">
        <w:t>482</w:t>
      </w:r>
      <w:r w:rsidRPr="00B70835">
        <w:rPr>
          <w:rtl/>
        </w:rPr>
        <w:t xml:space="preserve"> </w:t>
      </w:r>
      <w:r w:rsidRPr="00B70835">
        <w:t>(</w:t>
      </w:r>
      <w:r w:rsidRPr="00B70835">
        <w:rPr>
          <w:lang w:bidi="ar-EG"/>
        </w:rPr>
        <w:t>EG-DEC482</w:t>
      </w:r>
      <w:r w:rsidRPr="00B70835">
        <w:t>)</w:t>
      </w:r>
      <w:r w:rsidRPr="00B70835">
        <w:rPr>
          <w:rtl/>
        </w:rPr>
        <w:t xml:space="preserve"> على جهوده في تقييم التغييرات في التكاليف المباشرة </w:t>
      </w:r>
      <w:r w:rsidRPr="00B70835">
        <w:rPr>
          <w:rFonts w:hint="cs"/>
          <w:rtl/>
        </w:rPr>
        <w:t>ل</w:t>
      </w:r>
      <w:r w:rsidRPr="00B70835">
        <w:rPr>
          <w:rtl/>
        </w:rPr>
        <w:t xml:space="preserve">مكتب الاتصالات الراديوية </w:t>
      </w:r>
      <w:r w:rsidRPr="00B70835">
        <w:t>(</w:t>
      </w:r>
      <w:r w:rsidRPr="00B70835">
        <w:rPr>
          <w:lang w:bidi="ar-EG"/>
        </w:rPr>
        <w:t>BR</w:t>
      </w:r>
      <w:r w:rsidRPr="00B70835">
        <w:t>)</w:t>
      </w:r>
      <w:r w:rsidRPr="00B70835">
        <w:rPr>
          <w:rtl/>
        </w:rPr>
        <w:t xml:space="preserve"> لمعالجة بطاقات التبليغ عن الشبكات الساتلية، بما في ذلك مراعاة تأثير بطاقات التبليغ عن </w:t>
      </w:r>
      <w:r w:rsidRPr="00B70835">
        <w:rPr>
          <w:rFonts w:hint="cs"/>
          <w:rtl/>
        </w:rPr>
        <w:t>ال</w:t>
      </w:r>
      <w:r w:rsidRPr="00B70835">
        <w:rPr>
          <w:rtl/>
        </w:rPr>
        <w:t xml:space="preserve">أنظمة الساتلية الكبيرة غير المستقرة بالنسبة إلى الأرض. واسترشد </w:t>
      </w:r>
      <w:r w:rsidRPr="00B70835">
        <w:rPr>
          <w:rFonts w:hint="cs"/>
          <w:rtl/>
        </w:rPr>
        <w:t>ال</w:t>
      </w:r>
      <w:r w:rsidRPr="00B70835">
        <w:rPr>
          <w:rtl/>
        </w:rPr>
        <w:t xml:space="preserve">فريق </w:t>
      </w:r>
      <w:r w:rsidRPr="00B70835">
        <w:rPr>
          <w:lang w:bidi="ar-EG"/>
        </w:rPr>
        <w:t>EG</w:t>
      </w:r>
      <w:r w:rsidRPr="00B70835">
        <w:rPr>
          <w:lang w:bidi="ar-EG"/>
        </w:rPr>
        <w:noBreakHyphen/>
        <w:t>DEC482</w:t>
      </w:r>
      <w:r w:rsidRPr="00B70835">
        <w:rPr>
          <w:rtl/>
        </w:rPr>
        <w:t xml:space="preserve"> </w:t>
      </w:r>
      <w:r w:rsidRPr="00B70835">
        <w:rPr>
          <w:rFonts w:hint="cs"/>
          <w:rtl/>
        </w:rPr>
        <w:t xml:space="preserve">بفهم </w:t>
      </w:r>
      <w:r w:rsidRPr="00B70835">
        <w:rPr>
          <w:rtl/>
        </w:rPr>
        <w:t xml:space="preserve">أن استرداد رسوم تكاليف معالجة بطاقات التبليغ عن الشبكات الساتلية ينبغي أن </w:t>
      </w:r>
      <w:r w:rsidRPr="00B70835">
        <w:rPr>
          <w:rFonts w:hint="cs"/>
          <w:rtl/>
        </w:rPr>
        <w:t>ي</w:t>
      </w:r>
      <w:r w:rsidRPr="00B70835">
        <w:rPr>
          <w:rtl/>
        </w:rPr>
        <w:t>كون شفاف</w:t>
      </w:r>
      <w:r w:rsidRPr="00B70835">
        <w:rPr>
          <w:rFonts w:hint="cs"/>
          <w:rtl/>
        </w:rPr>
        <w:t>اً</w:t>
      </w:r>
      <w:r w:rsidRPr="00B70835">
        <w:rPr>
          <w:rtl/>
        </w:rPr>
        <w:t xml:space="preserve">، وأن </w:t>
      </w:r>
      <w:r w:rsidRPr="00B70835">
        <w:rPr>
          <w:rFonts w:hint="cs"/>
          <w:rtl/>
        </w:rPr>
        <w:t>ي</w:t>
      </w:r>
      <w:r w:rsidRPr="00B70835">
        <w:rPr>
          <w:rtl/>
        </w:rPr>
        <w:t xml:space="preserve">ُراجع بعناية، وأن </w:t>
      </w:r>
      <w:r w:rsidRPr="00B70835">
        <w:rPr>
          <w:rFonts w:hint="cs"/>
          <w:rtl/>
        </w:rPr>
        <w:t>ي</w:t>
      </w:r>
      <w:r w:rsidRPr="00B70835">
        <w:rPr>
          <w:rtl/>
        </w:rPr>
        <w:t>عكس التكاليف الفعلية التي يتحملها مكتب الاتصالات الراديوية لمعالجة بطاقات التبليغ عن الشبكات الساتلية وفقاً للقرار</w:t>
      </w:r>
      <w:r w:rsidR="00392019">
        <w:rPr>
          <w:rFonts w:hint="cs"/>
          <w:rtl/>
        </w:rPr>
        <w:t> </w:t>
      </w:r>
      <w:r w:rsidRPr="00B70835">
        <w:t>91</w:t>
      </w:r>
      <w:r w:rsidRPr="00B70835">
        <w:rPr>
          <w:rtl/>
        </w:rPr>
        <w:t xml:space="preserve"> (المراجَع </w:t>
      </w:r>
      <w:r w:rsidRPr="00B70835">
        <w:rPr>
          <w:rFonts w:hint="cs"/>
          <w:rtl/>
        </w:rPr>
        <w:t xml:space="preserve">في </w:t>
      </w:r>
      <w:proofErr w:type="spellStart"/>
      <w:r w:rsidRPr="00B70835">
        <w:rPr>
          <w:rtl/>
        </w:rPr>
        <w:t>غوادالاخارا</w:t>
      </w:r>
      <w:proofErr w:type="spellEnd"/>
      <w:r w:rsidRPr="00B70835">
        <w:rPr>
          <w:rtl/>
        </w:rPr>
        <w:t xml:space="preserve">، </w:t>
      </w:r>
      <w:r w:rsidRPr="00B70835">
        <w:t>2010</w:t>
      </w:r>
      <w:r w:rsidRPr="00B70835">
        <w:rPr>
          <w:rtl/>
        </w:rPr>
        <w:t>)</w:t>
      </w:r>
      <w:r w:rsidR="00CD4CB4">
        <w:rPr>
          <w:rFonts w:hint="cs"/>
          <w:rtl/>
        </w:rPr>
        <w:t xml:space="preserve"> لمؤتمر المندوبين المفوضين</w:t>
      </w:r>
      <w:r w:rsidRPr="00B70835">
        <w:rPr>
          <w:rtl/>
        </w:rPr>
        <w:t>. وفي حال تطبيقها، ستؤدي التعديلات المقترحة على ال</w:t>
      </w:r>
      <w:r w:rsidR="00CD4CB4">
        <w:rPr>
          <w:rtl/>
        </w:rPr>
        <w:t>مقرر</w:t>
      </w:r>
      <w:r w:rsidRPr="00B70835">
        <w:rPr>
          <w:rtl/>
        </w:rPr>
        <w:t xml:space="preserve"> </w:t>
      </w:r>
      <w:r w:rsidRPr="00B70835">
        <w:t>482</w:t>
      </w:r>
      <w:r w:rsidRPr="00B70835">
        <w:rPr>
          <w:rtl/>
        </w:rPr>
        <w:t xml:space="preserve"> إلى زيادة ملموسة ومناسبة في إيرادات استرداد تكاليف معالجة بطاقات التبليغ عن الشبكات الساتلية للاتحاد، بما يتماشى مع مبادئ استرداد التكاليف الواردة في كل من القرار </w:t>
      </w:r>
      <w:r w:rsidRPr="00B70835">
        <w:t>91</w:t>
      </w:r>
      <w:r w:rsidRPr="00B70835">
        <w:rPr>
          <w:rtl/>
        </w:rPr>
        <w:t xml:space="preserve"> وال</w:t>
      </w:r>
      <w:r w:rsidR="00CD4CB4">
        <w:rPr>
          <w:rtl/>
        </w:rPr>
        <w:t>مقرر</w:t>
      </w:r>
      <w:r w:rsidRPr="00B70835">
        <w:rPr>
          <w:rtl/>
        </w:rPr>
        <w:t xml:space="preserve"> </w:t>
      </w:r>
      <w:r w:rsidRPr="00B70835">
        <w:t>482</w:t>
      </w:r>
      <w:r w:rsidRPr="00B70835">
        <w:rPr>
          <w:rtl/>
        </w:rPr>
        <w:t>.</w:t>
      </w:r>
    </w:p>
    <w:p w14:paraId="36FBE5C8" w14:textId="5F630512" w:rsidR="00B70835" w:rsidRPr="00B70835" w:rsidRDefault="00B70835" w:rsidP="008B3282">
      <w:pPr>
        <w:rPr>
          <w:i/>
          <w:iCs/>
          <w:rtl/>
        </w:rPr>
      </w:pPr>
      <w:r w:rsidRPr="00B70835">
        <w:rPr>
          <w:i/>
          <w:iCs/>
          <w:rtl/>
        </w:rPr>
        <w:t xml:space="preserve">تقترح الولايات المتحدة أن يُقر المجلس التحديثات على </w:t>
      </w:r>
      <w:r w:rsidR="00CD4CB4">
        <w:rPr>
          <w:i/>
          <w:iCs/>
          <w:rtl/>
        </w:rPr>
        <w:t>مقرر</w:t>
      </w:r>
      <w:r w:rsidRPr="00B70835">
        <w:rPr>
          <w:i/>
          <w:iCs/>
          <w:rtl/>
        </w:rPr>
        <w:t xml:space="preserve"> المجلس </w:t>
      </w:r>
      <w:r w:rsidRPr="00B70835">
        <w:rPr>
          <w:i/>
          <w:iCs/>
        </w:rPr>
        <w:t>482</w:t>
      </w:r>
      <w:r w:rsidRPr="00B70835">
        <w:rPr>
          <w:i/>
          <w:iCs/>
          <w:rtl/>
        </w:rPr>
        <w:t xml:space="preserve"> التي أوصى بها </w:t>
      </w:r>
      <w:r w:rsidR="00CD4CB4">
        <w:rPr>
          <w:rFonts w:hint="cs"/>
          <w:i/>
          <w:iCs/>
          <w:rtl/>
          <w:lang w:bidi="ar-EG"/>
        </w:rPr>
        <w:t>الفريق</w:t>
      </w:r>
      <w:r w:rsidRPr="00B70835">
        <w:rPr>
          <w:i/>
          <w:iCs/>
          <w:rtl/>
        </w:rPr>
        <w:t xml:space="preserve"> </w:t>
      </w:r>
      <w:r w:rsidRPr="00B70835">
        <w:rPr>
          <w:i/>
          <w:iCs/>
          <w:lang w:bidi="ar-EG"/>
        </w:rPr>
        <w:t>EG-DEC482</w:t>
      </w:r>
      <w:r w:rsidRPr="00B70835">
        <w:rPr>
          <w:i/>
          <w:iCs/>
          <w:rtl/>
        </w:rPr>
        <w:t xml:space="preserve"> </w:t>
      </w:r>
      <w:r w:rsidR="003969AB" w:rsidRPr="00B70835">
        <w:rPr>
          <w:i/>
          <w:iCs/>
          <w:rtl/>
        </w:rPr>
        <w:t>في</w:t>
      </w:r>
      <w:r w:rsidR="003969AB">
        <w:rPr>
          <w:rFonts w:hint="cs"/>
          <w:i/>
          <w:iCs/>
          <w:rtl/>
        </w:rPr>
        <w:t> </w:t>
      </w:r>
      <w:r w:rsidRPr="00B70835">
        <w:rPr>
          <w:i/>
          <w:iCs/>
          <w:rtl/>
        </w:rPr>
        <w:t>الوثيقة</w:t>
      </w:r>
      <w:r w:rsidR="00392019">
        <w:rPr>
          <w:rFonts w:hint="cs"/>
          <w:i/>
          <w:iCs/>
          <w:rtl/>
        </w:rPr>
        <w:t> </w:t>
      </w:r>
      <w:hyperlink r:id="rId9" w:history="1">
        <w:r w:rsidR="008B3282" w:rsidRPr="008B3282">
          <w:rPr>
            <w:rStyle w:val="Hyperlink"/>
            <w:i/>
            <w:noProof w:val="0"/>
            <w:lang w:val="en-US" w:eastAsia="zh-CN" w:bidi="ar-EG"/>
          </w:rPr>
          <w:t>C25/10</w:t>
        </w:r>
      </w:hyperlink>
      <w:r w:rsidRPr="00B70835">
        <w:rPr>
          <w:i/>
          <w:iCs/>
          <w:rtl/>
        </w:rPr>
        <w:t>.</w:t>
      </w:r>
    </w:p>
    <w:p w14:paraId="78AB09C9" w14:textId="77777777" w:rsidR="00B70835" w:rsidRPr="00B70835" w:rsidRDefault="00B70835" w:rsidP="00B06DDB">
      <w:pPr>
        <w:pStyle w:val="Headingb"/>
        <w:rPr>
          <w:rtl/>
        </w:rPr>
      </w:pPr>
      <w:r w:rsidRPr="00B70835">
        <w:rPr>
          <w:rtl/>
        </w:rPr>
        <w:t>التكاليف غير المباشرة</w:t>
      </w:r>
    </w:p>
    <w:p w14:paraId="54A365F2" w14:textId="0DA4C073" w:rsidR="00B70835" w:rsidRPr="00B70835" w:rsidRDefault="00B70835" w:rsidP="008B3282">
      <w:pPr>
        <w:rPr>
          <w:rtl/>
        </w:rPr>
      </w:pPr>
      <w:r w:rsidRPr="00B70835">
        <w:rPr>
          <w:rFonts w:hint="cs"/>
          <w:rtl/>
        </w:rPr>
        <w:t>بخلاف</w:t>
      </w:r>
      <w:r w:rsidRPr="00B70835">
        <w:rPr>
          <w:rtl/>
        </w:rPr>
        <w:t xml:space="preserve"> عمل الفريق </w:t>
      </w:r>
      <w:r w:rsidRPr="00B70835">
        <w:rPr>
          <w:lang w:bidi="ar-EG"/>
        </w:rPr>
        <w:t>EG-DEC482</w:t>
      </w:r>
      <w:r w:rsidRPr="00B70835">
        <w:rPr>
          <w:rtl/>
        </w:rPr>
        <w:t xml:space="preserve">، اقترحت أمانة الاتحاد نهجاً أكثر صرامة لجمع تكاليف معالجة بطاقات التبليغ عن الشبكات الساتلية مقارنة بما طبقه الاتحاد سابقاً في تنفيذه للقرار </w:t>
      </w:r>
      <w:r w:rsidRPr="00B70835">
        <w:t>91</w:t>
      </w:r>
      <w:r w:rsidRPr="00B70835">
        <w:rPr>
          <w:rtl/>
        </w:rPr>
        <w:t xml:space="preserve"> وال</w:t>
      </w:r>
      <w:r w:rsidR="00CD4CB4">
        <w:rPr>
          <w:rtl/>
        </w:rPr>
        <w:t>مقرر</w:t>
      </w:r>
      <w:r w:rsidRPr="00B70835">
        <w:rPr>
          <w:rtl/>
        </w:rPr>
        <w:t xml:space="preserve"> </w:t>
      </w:r>
      <w:r w:rsidRPr="00B70835">
        <w:t>482</w:t>
      </w:r>
      <w:r w:rsidRPr="00B70835">
        <w:rPr>
          <w:rtl/>
        </w:rPr>
        <w:t xml:space="preserve"> لاسترداد تكاليف هذه الخدمات. ويسعى النهج الجديد المقترح إلى إضافة رسوم "غير مباشرة" أو تكاليف عامة إلى جانب ممارسات استرداد التكاليف "المباشرة" الراسخة المنصوص عليها في ال</w:t>
      </w:r>
      <w:r w:rsidR="00CD4CB4">
        <w:rPr>
          <w:rtl/>
        </w:rPr>
        <w:t>مقرر</w:t>
      </w:r>
      <w:r w:rsidRPr="00B70835">
        <w:rPr>
          <w:rtl/>
        </w:rPr>
        <w:t xml:space="preserve"> </w:t>
      </w:r>
      <w:r w:rsidRPr="00B70835">
        <w:t>482</w:t>
      </w:r>
      <w:r w:rsidRPr="00B70835">
        <w:rPr>
          <w:rtl/>
        </w:rPr>
        <w:t xml:space="preserve">. وفي المناقشات السابقة لهذه المسألة، كان هناك عدم وضوح </w:t>
      </w:r>
      <w:r w:rsidRPr="00B70835">
        <w:rPr>
          <w:rFonts w:hint="cs"/>
          <w:rtl/>
        </w:rPr>
        <w:t>بشأن</w:t>
      </w:r>
      <w:r w:rsidRPr="00B70835">
        <w:rPr>
          <w:rtl/>
        </w:rPr>
        <w:t xml:space="preserve"> كيف</w:t>
      </w:r>
      <w:r w:rsidRPr="00B70835">
        <w:rPr>
          <w:rFonts w:hint="cs"/>
          <w:rtl/>
        </w:rPr>
        <w:t xml:space="preserve"> ي</w:t>
      </w:r>
      <w:r w:rsidRPr="00B70835">
        <w:rPr>
          <w:rtl/>
        </w:rPr>
        <w:t xml:space="preserve">حسب الاتحاد </w:t>
      </w:r>
      <w:r w:rsidRPr="00B70835">
        <w:rPr>
          <w:rFonts w:hint="cs"/>
          <w:rtl/>
        </w:rPr>
        <w:t>ا</w:t>
      </w:r>
      <w:r w:rsidRPr="00B70835">
        <w:rPr>
          <w:rtl/>
        </w:rPr>
        <w:t xml:space="preserve">لرسوم المقترحة، بالإضافة إلى عدم وجود توافق في الآراء بشأن مدى ملاءمة الرسوم غير المباشرة لاسترداد تكاليف معالجة بطاقات التبليغ عن الشبكات الساتلية. ونظراً لاتساع نطاق الوظائف الإدارية والتقنية والتنظيمية للاتحاد التي قد تندرج ضمن التكاليف غير المباشرة، ينبغي أن تكون أي منهجية واضحة وشفافة. وعند تقييم أحدث منهجية مقترحة للاتحاد في الوثيقة </w:t>
      </w:r>
      <w:hyperlink r:id="rId10" w:history="1">
        <w:r w:rsidR="008B3282" w:rsidRPr="008B3282">
          <w:rPr>
            <w:rStyle w:val="Hyperlink"/>
            <w:noProof w:val="0"/>
            <w:lang w:val="en-US" w:eastAsia="zh-CN" w:bidi="ar-EG"/>
          </w:rPr>
          <w:t>C25/64</w:t>
        </w:r>
      </w:hyperlink>
      <w:r w:rsidRPr="00B70835">
        <w:rPr>
          <w:rtl/>
        </w:rPr>
        <w:t xml:space="preserve">، ترى الولايات المتحدة </w:t>
      </w:r>
      <w:r w:rsidRPr="00B70835">
        <w:rPr>
          <w:rFonts w:hint="cs"/>
          <w:rtl/>
        </w:rPr>
        <w:t>أن هناك حاجة إلى إجراء</w:t>
      </w:r>
      <w:r w:rsidRPr="00B70835">
        <w:rPr>
          <w:rtl/>
        </w:rPr>
        <w:t xml:space="preserve"> دراسة إضافية للأسباب التالية:</w:t>
      </w:r>
    </w:p>
    <w:p w14:paraId="1B8ACD8F" w14:textId="0D4C1CE7" w:rsidR="00B70835" w:rsidRPr="00B70835" w:rsidRDefault="00D54247" w:rsidP="00B06DDB">
      <w:pPr>
        <w:pStyle w:val="enumlev1"/>
        <w:rPr>
          <w:lang w:bidi="ar-EG"/>
        </w:rPr>
      </w:pPr>
      <w:r>
        <w:rPr>
          <w:lang w:bidi="ar-EG"/>
        </w:rPr>
        <w:sym w:font="Symbol" w:char="F0B7"/>
      </w:r>
      <w:r w:rsidR="00B70835" w:rsidRPr="00B70835">
        <w:rPr>
          <w:lang w:bidi="ar-EG"/>
        </w:rPr>
        <w:tab/>
      </w:r>
      <w:r w:rsidR="00B70835" w:rsidRPr="00B70835">
        <w:rPr>
          <w:rtl/>
        </w:rPr>
        <w:t>الحاجة إلى تحليل إضافي لن</w:t>
      </w:r>
      <w:r w:rsidR="00B70835" w:rsidRPr="00B70835">
        <w:rPr>
          <w:rFonts w:hint="cs"/>
          <w:rtl/>
        </w:rPr>
        <w:t>ُ</w:t>
      </w:r>
      <w:r w:rsidR="00B70835" w:rsidRPr="00B70835">
        <w:rPr>
          <w:rtl/>
        </w:rPr>
        <w:t>هج محاسبة التكاليف التي يتبعها الاتحاد، وكيف</w:t>
      </w:r>
      <w:r w:rsidR="00B70835" w:rsidRPr="00B70835">
        <w:rPr>
          <w:rFonts w:hint="cs"/>
          <w:rtl/>
        </w:rPr>
        <w:t xml:space="preserve"> يمكن للاتحاد تطبيق</w:t>
      </w:r>
      <w:r w:rsidR="00B70835" w:rsidRPr="00B70835">
        <w:rPr>
          <w:rtl/>
        </w:rPr>
        <w:t xml:space="preserve"> استرداد التكاليف على المنتجات والخدمات المناسبة.</w:t>
      </w:r>
    </w:p>
    <w:p w14:paraId="36FC95DB" w14:textId="064DEACD" w:rsidR="00B70835" w:rsidRPr="00B70835" w:rsidRDefault="00D54247" w:rsidP="00B06DDB">
      <w:pPr>
        <w:pStyle w:val="enumlev1"/>
        <w:rPr>
          <w:rtl/>
        </w:rPr>
      </w:pPr>
      <w:r w:rsidRPr="00D54247">
        <w:rPr>
          <w:lang w:bidi="ar-EG"/>
        </w:rPr>
        <w:sym w:font="Symbol" w:char="F0B7"/>
      </w:r>
      <w:r w:rsidR="00B70835" w:rsidRPr="00B70835">
        <w:rPr>
          <w:lang w:bidi="ar-EG"/>
        </w:rPr>
        <w:tab/>
      </w:r>
      <w:r w:rsidR="00B70835" w:rsidRPr="00B70835">
        <w:rPr>
          <w:rtl/>
        </w:rPr>
        <w:t xml:space="preserve">عدم اتساق هذه الرسوم غير المباشرة الجديدة مع مبادئ القرار </w:t>
      </w:r>
      <w:r w:rsidR="00B70835" w:rsidRPr="00B70835">
        <w:t>91</w:t>
      </w:r>
      <w:r w:rsidR="00B70835" w:rsidRPr="00B70835">
        <w:rPr>
          <w:rtl/>
        </w:rPr>
        <w:t>.</w:t>
      </w:r>
    </w:p>
    <w:p w14:paraId="130DC129" w14:textId="5E6FCE4E" w:rsidR="00B70835" w:rsidRPr="00B70835" w:rsidRDefault="00B70835" w:rsidP="008B3282">
      <w:pPr>
        <w:rPr>
          <w:rtl/>
        </w:rPr>
      </w:pPr>
      <w:r w:rsidRPr="00B70835">
        <w:rPr>
          <w:rFonts w:hint="cs"/>
          <w:rtl/>
        </w:rPr>
        <w:t>و</w:t>
      </w:r>
      <w:r w:rsidRPr="00B70835">
        <w:rPr>
          <w:rtl/>
        </w:rPr>
        <w:t xml:space="preserve">في مقترح الأمانة </w:t>
      </w:r>
      <w:r w:rsidRPr="00B70835">
        <w:t>(</w:t>
      </w:r>
      <w:hyperlink r:id="rId11" w:history="1">
        <w:r w:rsidR="008B3282" w:rsidRPr="008B3282">
          <w:rPr>
            <w:rStyle w:val="Hyperlink"/>
            <w:noProof w:val="0"/>
            <w:lang w:val="en-US" w:eastAsia="zh-CN" w:bidi="ar-EG"/>
          </w:rPr>
          <w:t>C25/64</w:t>
        </w:r>
      </w:hyperlink>
      <w:r w:rsidRPr="00B70835">
        <w:t>)</w:t>
      </w:r>
      <w:r w:rsidRPr="00B70835">
        <w:rPr>
          <w:rtl/>
        </w:rPr>
        <w:t xml:space="preserve">، يُشير الاتحاد إلى أن منهجيته في </w:t>
      </w:r>
      <w:r w:rsidRPr="00B70835">
        <w:rPr>
          <w:rFonts w:hint="cs"/>
          <w:rtl/>
        </w:rPr>
        <w:t>تقدير</w:t>
      </w:r>
      <w:r w:rsidRPr="00B70835">
        <w:rPr>
          <w:rtl/>
        </w:rPr>
        <w:t xml:space="preserve"> الرسوم غير المباشرة أدت إلى زيادة بنسبة </w:t>
      </w:r>
      <w:r w:rsidR="00D54247">
        <w:t>%107</w:t>
      </w:r>
      <w:r w:rsidRPr="00B70835">
        <w:rPr>
          <w:rtl/>
        </w:rPr>
        <w:t xml:space="preserve"> في تكاليف كل </w:t>
      </w:r>
      <w:r w:rsidRPr="00B70835">
        <w:rPr>
          <w:rFonts w:hint="cs"/>
          <w:rtl/>
        </w:rPr>
        <w:t>بطاقة تبليغ</w:t>
      </w:r>
      <w:r w:rsidRPr="00B70835">
        <w:rPr>
          <w:rtl/>
        </w:rPr>
        <w:t xml:space="preserve"> فردي</w:t>
      </w:r>
      <w:r w:rsidRPr="00B70835">
        <w:rPr>
          <w:rFonts w:hint="cs"/>
          <w:rtl/>
        </w:rPr>
        <w:t>ة</w:t>
      </w:r>
      <w:r w:rsidRPr="00B70835">
        <w:rPr>
          <w:rtl/>
        </w:rPr>
        <w:t xml:space="preserve">. وقد أظهرت عملية مقارنة معيارية أن نسبة </w:t>
      </w:r>
      <w:r w:rsidR="00D54247">
        <w:t>%30-25</w:t>
      </w:r>
      <w:r w:rsidRPr="00B70835">
        <w:rPr>
          <w:rtl/>
        </w:rPr>
        <w:t xml:space="preserve"> هي المستوى الأكثر شيوعاً لتطبيق رسوم التكاليف غير المباشرة. ويُقر الاتحاد بأن المنهجية المقترحة تُفضي إلى رسوم غير معقولة وغير متسقة مع أهداف المقارنة المعيارية هذه. كما أبلغ الاتحاد فريق الخبراء بأن </w:t>
      </w:r>
      <w:r w:rsidRPr="00B70835">
        <w:rPr>
          <w:rFonts w:hint="cs"/>
          <w:rtl/>
        </w:rPr>
        <w:t xml:space="preserve">استخدام </w:t>
      </w:r>
      <w:r w:rsidRPr="00B70835">
        <w:rPr>
          <w:rtl/>
        </w:rPr>
        <w:t xml:space="preserve">آلية لتتبع الوقت اللازم لمعالجة فرادى بطاقات التبليغ عن </w:t>
      </w:r>
      <w:r w:rsidR="00CD4CB4">
        <w:rPr>
          <w:rFonts w:hint="cs"/>
          <w:rtl/>
        </w:rPr>
        <w:t xml:space="preserve">الشبكات الساتلية </w:t>
      </w:r>
      <w:r w:rsidRPr="00B70835">
        <w:rPr>
          <w:rtl/>
        </w:rPr>
        <w:t xml:space="preserve">استُخدمت في أوائل عام </w:t>
      </w:r>
      <w:proofErr w:type="gramStart"/>
      <w:r w:rsidRPr="00B70835">
        <w:t>2000</w:t>
      </w:r>
      <w:proofErr w:type="gramEnd"/>
      <w:r w:rsidRPr="00B70835">
        <w:rPr>
          <w:rtl/>
        </w:rPr>
        <w:t xml:space="preserve"> ولكن استُغني عنها في نهاية المطاف في عام</w:t>
      </w:r>
      <w:r w:rsidR="00CD4CB4">
        <w:rPr>
          <w:rFonts w:hint="cs"/>
          <w:rtl/>
        </w:rPr>
        <w:t> </w:t>
      </w:r>
      <w:r w:rsidRPr="00B70835">
        <w:t>2005</w:t>
      </w:r>
      <w:r w:rsidRPr="00B70835">
        <w:rPr>
          <w:rtl/>
        </w:rPr>
        <w:t xml:space="preserve">. ومع ذلك، تقترح الأمانة أيضاً فرض رسوم قدرها </w:t>
      </w:r>
      <w:r w:rsidR="00D54247" w:rsidRPr="00D54247">
        <w:rPr>
          <w:b/>
          <w:bCs/>
        </w:rPr>
        <w:t>4 866 400</w:t>
      </w:r>
      <w:r w:rsidRPr="00B70835">
        <w:rPr>
          <w:b/>
          <w:bCs/>
          <w:rtl/>
        </w:rPr>
        <w:t xml:space="preserve"> فرنك سويسري</w:t>
      </w:r>
      <w:r w:rsidRPr="00B70835">
        <w:rPr>
          <w:rtl/>
        </w:rPr>
        <w:t xml:space="preserve">، بالإضافة إلى ما تم تحصيله بالفعل </w:t>
      </w:r>
      <w:r w:rsidRPr="00B70835">
        <w:rPr>
          <w:rFonts w:hint="cs"/>
          <w:rtl/>
        </w:rPr>
        <w:t>ل</w:t>
      </w:r>
      <w:r w:rsidRPr="00B70835">
        <w:rPr>
          <w:rtl/>
        </w:rPr>
        <w:t xml:space="preserve">رسوم معالجة بطاقات التبليغ عن الشبكات الساتلية. ولا تزال هذه الرسوم غير المباشرة البالغة </w:t>
      </w:r>
      <w:r w:rsidR="00D54247">
        <w:t>%40</w:t>
      </w:r>
      <w:r w:rsidRPr="00B70835">
        <w:rPr>
          <w:rtl/>
        </w:rPr>
        <w:t xml:space="preserve"> تُمثل تكاليف إضافية كبيرة وغير معقولة تُضاف إلى ما تدفعه الدول الأعضاء في الاتحاد مقابل هذه الخدمات. ونظراً لعدم وضوح كيفية تحديد الاتحاد لفئات التكاليف المرتبطة بالتكاليف غير المباشرة لرسوم </w:t>
      </w:r>
      <w:r w:rsidRPr="00B70835">
        <w:rPr>
          <w:rFonts w:hint="cs"/>
          <w:rtl/>
        </w:rPr>
        <w:t>الشبكات</w:t>
      </w:r>
      <w:r w:rsidRPr="00B70835">
        <w:rPr>
          <w:rtl/>
        </w:rPr>
        <w:t xml:space="preserve"> الساتلية، تُشكك الولايات المتحدة في</w:t>
      </w:r>
      <w:r w:rsidR="00CD4CB4">
        <w:rPr>
          <w:rFonts w:hint="cs"/>
          <w:rtl/>
        </w:rPr>
        <w:t> </w:t>
      </w:r>
      <w:r w:rsidRPr="00B70835">
        <w:rPr>
          <w:rtl/>
        </w:rPr>
        <w:t>المدى الكامل لعجز ميزانية الاتحاد المنسوب إلى رسوم</w:t>
      </w:r>
      <w:r w:rsidRPr="00B70835">
        <w:rPr>
          <w:rFonts w:hint="cs"/>
          <w:rtl/>
        </w:rPr>
        <w:t xml:space="preserve"> الشبكات</w:t>
      </w:r>
      <w:r w:rsidRPr="00B70835">
        <w:rPr>
          <w:rtl/>
        </w:rPr>
        <w:t xml:space="preserve"> الساتلية. وينبغي تقديم نموذج مالي شامل حتى تتمكن الدول الأعضاء من تقييم الأثر الأوسع. ولذلك، من السابق لأوانه فرض هذه الرسوم غير المباشرة قبل إجراء تحليل إضافي لضمان اتباع نهج منفتح وشفاف.</w:t>
      </w:r>
    </w:p>
    <w:p w14:paraId="11B80A21" w14:textId="77777777" w:rsidR="00B70835" w:rsidRPr="00B70835" w:rsidRDefault="00B70835" w:rsidP="00B06DDB">
      <w:pPr>
        <w:pStyle w:val="Headingb"/>
        <w:rPr>
          <w:rtl/>
        </w:rPr>
      </w:pPr>
      <w:r w:rsidRPr="00B70835">
        <w:rPr>
          <w:rtl/>
        </w:rPr>
        <w:t>مبادئ الاتحاد في تطبيق استرداد التكاليف</w:t>
      </w:r>
    </w:p>
    <w:p w14:paraId="5C694B5C" w14:textId="77777777" w:rsidR="00B70835" w:rsidRPr="00B70835" w:rsidRDefault="00B70835" w:rsidP="00B70835">
      <w:pPr>
        <w:rPr>
          <w:lang w:bidi="ar-EG"/>
        </w:rPr>
      </w:pPr>
      <w:r w:rsidRPr="00B70835">
        <w:rPr>
          <w:rFonts w:hint="cs"/>
          <w:rtl/>
        </w:rPr>
        <w:t>يوجه</w:t>
      </w:r>
      <w:r w:rsidRPr="00B70835">
        <w:rPr>
          <w:rtl/>
        </w:rPr>
        <w:t xml:space="preserve"> القرار </w:t>
      </w:r>
      <w:r w:rsidRPr="00B70835">
        <w:t>91</w:t>
      </w:r>
      <w:r w:rsidRPr="00B70835">
        <w:rPr>
          <w:rtl/>
        </w:rPr>
        <w:t xml:space="preserve"> تطبيق </w:t>
      </w:r>
      <w:r w:rsidRPr="00B70835">
        <w:rPr>
          <w:rFonts w:hint="cs"/>
          <w:rtl/>
        </w:rPr>
        <w:t xml:space="preserve">عملية </w:t>
      </w:r>
      <w:r w:rsidRPr="00B70835">
        <w:rPr>
          <w:rtl/>
        </w:rPr>
        <w:t>استرداد التكاليف في الاتحاد لبعض المنتجات والخدمات. كما يتضمن صياغة تُقر بضرورة وضع حدود لضمان مستويات معقولة من تخصيص التكاليف غير المباشرة. كما يشير إلى ضرورة مراعاة عدة عوامل، بما في ذلك عند تقديم منتج أو خدمة لصالح عدد محدود من الدول الأعضاء أو أعضاء القطاعات.</w:t>
      </w:r>
    </w:p>
    <w:p w14:paraId="4E7CEB2D" w14:textId="56023DC7" w:rsidR="00B70835" w:rsidRPr="00B70835" w:rsidRDefault="00B70835" w:rsidP="00E3291F">
      <w:pPr>
        <w:rPr>
          <w:rtl/>
        </w:rPr>
      </w:pPr>
      <w:r w:rsidRPr="00B70835">
        <w:rPr>
          <w:rFonts w:hint="cs"/>
          <w:rtl/>
        </w:rPr>
        <w:lastRenderedPageBreak/>
        <w:t>و</w:t>
      </w:r>
      <w:r w:rsidRPr="00B70835">
        <w:rPr>
          <w:rtl/>
        </w:rPr>
        <w:t xml:space="preserve">من الوظائف الأساسية لمكتب الاتصالات الراديوية تسجيل تخصيصات الترددات الراديوية والمواقع المدارية المرتبطة بها. ويعود هذا الدور بالنفع على جميع الدول الأعضاء في الاتحاد، ويُمكّنها من تطبيق لوائح الراديو </w:t>
      </w:r>
      <w:r w:rsidR="001912B6">
        <w:rPr>
          <w:rFonts w:hint="cs"/>
          <w:rtl/>
        </w:rPr>
        <w:t xml:space="preserve">الصادرة عن الاتحاد </w:t>
      </w:r>
      <w:r w:rsidRPr="00B70835">
        <w:rPr>
          <w:rtl/>
        </w:rPr>
        <w:t xml:space="preserve">بشكل مباشر. </w:t>
      </w:r>
      <w:r w:rsidR="003969AB" w:rsidRPr="00B70835">
        <w:rPr>
          <w:rtl/>
        </w:rPr>
        <w:t>وفي</w:t>
      </w:r>
      <w:r w:rsidR="003969AB">
        <w:rPr>
          <w:rFonts w:hint="cs"/>
          <w:rtl/>
        </w:rPr>
        <w:t> </w:t>
      </w:r>
      <w:r w:rsidRPr="00B70835">
        <w:rPr>
          <w:rtl/>
        </w:rPr>
        <w:t xml:space="preserve">الواقع، كان تطبيق استرداد التكاليف على بطاقات التبليغ عن الشبكات الساتلية التي اتخذها مؤتمر المندوبين المفوضين في </w:t>
      </w:r>
      <w:proofErr w:type="spellStart"/>
      <w:r w:rsidRPr="00B70835">
        <w:rPr>
          <w:rtl/>
        </w:rPr>
        <w:t>مينيابوليس</w:t>
      </w:r>
      <w:proofErr w:type="spellEnd"/>
      <w:r w:rsidRPr="00B70835">
        <w:rPr>
          <w:rtl/>
        </w:rPr>
        <w:t xml:space="preserve"> </w:t>
      </w:r>
      <w:r w:rsidRPr="00B70835">
        <w:rPr>
          <w:rFonts w:hint="cs"/>
          <w:rtl/>
        </w:rPr>
        <w:t xml:space="preserve">في </w:t>
      </w:r>
      <w:r w:rsidRPr="00B70835">
        <w:rPr>
          <w:rtl/>
        </w:rPr>
        <w:t xml:space="preserve">عام </w:t>
      </w:r>
      <w:r w:rsidRPr="00B70835">
        <w:rPr>
          <w:rFonts w:hint="cs"/>
        </w:rPr>
        <w:t>1998</w:t>
      </w:r>
      <w:r w:rsidRPr="00B70835">
        <w:rPr>
          <w:rtl/>
        </w:rPr>
        <w:t xml:space="preserve"> مثيراً للجدل، إذ أُشير في </w:t>
      </w:r>
      <w:r w:rsidRPr="00B70835">
        <w:rPr>
          <w:rFonts w:hint="cs"/>
          <w:rtl/>
        </w:rPr>
        <w:t xml:space="preserve">القرار </w:t>
      </w:r>
      <w:r w:rsidRPr="00B70835">
        <w:rPr>
          <w:rFonts w:hint="cs"/>
        </w:rPr>
        <w:t>91</w:t>
      </w:r>
      <w:r w:rsidRPr="00B70835">
        <w:rPr>
          <w:rtl/>
        </w:rPr>
        <w:t xml:space="preserve"> إلى أن استرداد التكاليف ينطبق على "المنتجات أو الخدمات على أساس استنسابي" (</w:t>
      </w:r>
      <w:r w:rsidRPr="00B70835">
        <w:rPr>
          <w:rFonts w:hint="cs"/>
          <w:rtl/>
        </w:rPr>
        <w:t xml:space="preserve">الفقرة </w:t>
      </w:r>
      <w:proofErr w:type="gramStart"/>
      <w:r w:rsidR="001912B6">
        <w:t>3</w:t>
      </w:r>
      <w:r w:rsidR="001912B6">
        <w:rPr>
          <w:rFonts w:hint="cs"/>
          <w:rtl/>
        </w:rPr>
        <w:t xml:space="preserve">  </w:t>
      </w:r>
      <w:r w:rsidR="001912B6" w:rsidRPr="001912B6">
        <w:rPr>
          <w:rFonts w:hint="cs"/>
          <w:i/>
          <w:iCs/>
          <w:rtl/>
          <w:lang w:bidi="ar-EG"/>
        </w:rPr>
        <w:t>’3‘</w:t>
      </w:r>
      <w:r w:rsidRPr="00B70835">
        <w:rPr>
          <w:rFonts w:hint="cs"/>
          <w:rtl/>
        </w:rPr>
        <w:t xml:space="preserve"> من</w:t>
      </w:r>
      <w:proofErr w:type="gramEnd"/>
      <w:r w:rsidRPr="00B70835">
        <w:rPr>
          <w:rFonts w:hint="cs"/>
          <w:rtl/>
        </w:rPr>
        <w:t xml:space="preserve"> </w:t>
      </w:r>
      <w:r w:rsidR="001912B6">
        <w:rPr>
          <w:rFonts w:hint="cs"/>
          <w:rtl/>
        </w:rPr>
        <w:t>"</w:t>
      </w:r>
      <w:r w:rsidRPr="00B70835">
        <w:rPr>
          <w:i/>
          <w:iCs/>
          <w:rtl/>
        </w:rPr>
        <w:t>يقرر</w:t>
      </w:r>
      <w:r w:rsidR="001912B6" w:rsidRPr="001912B6">
        <w:rPr>
          <w:rFonts w:hint="cs"/>
          <w:rtl/>
        </w:rPr>
        <w:t>"</w:t>
      </w:r>
      <w:r w:rsidRPr="00B70835">
        <w:rPr>
          <w:rtl/>
        </w:rPr>
        <w:t xml:space="preserve">). </w:t>
      </w:r>
      <w:r w:rsidRPr="00B70835">
        <w:rPr>
          <w:rFonts w:hint="cs"/>
          <w:rtl/>
        </w:rPr>
        <w:t>وفي حين</w:t>
      </w:r>
      <w:r w:rsidRPr="00B70835">
        <w:rPr>
          <w:rtl/>
        </w:rPr>
        <w:t xml:space="preserve"> أ</w:t>
      </w:r>
      <w:r w:rsidR="0001415E">
        <w:rPr>
          <w:rFonts w:hint="cs"/>
          <w:rtl/>
        </w:rPr>
        <w:t>ُ</w:t>
      </w:r>
      <w:r w:rsidRPr="00B70835">
        <w:rPr>
          <w:rtl/>
        </w:rPr>
        <w:t xml:space="preserve">قر بأنه من المناسب أن يُحصّل الاتحاد رسوماً مقابل التكاليف المباشرة المرتبطة بمعالجة بطاقات التبليغ عن الشبكات الساتلية في حد ذاتها، </w:t>
      </w:r>
      <w:r w:rsidRPr="00B70835">
        <w:rPr>
          <w:rFonts w:hint="cs"/>
          <w:rtl/>
        </w:rPr>
        <w:t>فإ</w:t>
      </w:r>
      <w:r w:rsidRPr="00B70835">
        <w:rPr>
          <w:rtl/>
        </w:rPr>
        <w:t xml:space="preserve">نه من غير الواضح ما إذا كان من المناسب أن يعمل المجلس على توسيع نطاق نظام الرسوم هذا ليشمل التكاليف غير المباشرة على </w:t>
      </w:r>
      <w:r w:rsidRPr="00B70835">
        <w:rPr>
          <w:rFonts w:hint="cs"/>
          <w:rtl/>
        </w:rPr>
        <w:t>نطاق</w:t>
      </w:r>
      <w:r w:rsidRPr="00B70835">
        <w:rPr>
          <w:rtl/>
        </w:rPr>
        <w:t xml:space="preserve"> الأمانة</w:t>
      </w:r>
      <w:r w:rsidRPr="00B70835">
        <w:rPr>
          <w:rFonts w:hint="cs"/>
          <w:rtl/>
        </w:rPr>
        <w:t xml:space="preserve"> العامة</w:t>
      </w:r>
      <w:r w:rsidRPr="00B70835">
        <w:rPr>
          <w:rtl/>
        </w:rPr>
        <w:t xml:space="preserve">، نظراً للفائدة المباشرة التي تعود على جميع أعضاء الاتحاد. وفي الواقع، منذ </w:t>
      </w:r>
      <w:r w:rsidRPr="00B70835">
        <w:rPr>
          <w:rFonts w:hint="cs"/>
          <w:rtl/>
        </w:rPr>
        <w:t>ال</w:t>
      </w:r>
      <w:r w:rsidRPr="00B70835">
        <w:rPr>
          <w:rtl/>
        </w:rPr>
        <w:t xml:space="preserve">اعتماد </w:t>
      </w:r>
      <w:r w:rsidRPr="00B70835">
        <w:rPr>
          <w:rFonts w:hint="cs"/>
          <w:rtl/>
        </w:rPr>
        <w:t>الأولي ل</w:t>
      </w:r>
      <w:r w:rsidRPr="00B70835">
        <w:rPr>
          <w:rtl/>
        </w:rPr>
        <w:t>لقرار</w:t>
      </w:r>
      <w:r w:rsidRPr="00B70835">
        <w:rPr>
          <w:rFonts w:hint="cs"/>
          <w:rtl/>
        </w:rPr>
        <w:t> </w:t>
      </w:r>
      <w:r w:rsidRPr="00B70835">
        <w:t>91</w:t>
      </w:r>
      <w:r w:rsidRPr="00B70835">
        <w:rPr>
          <w:rtl/>
        </w:rPr>
        <w:t xml:space="preserve"> و</w:t>
      </w:r>
      <w:r w:rsidRPr="00B70835">
        <w:rPr>
          <w:rFonts w:hint="cs"/>
          <w:rtl/>
        </w:rPr>
        <w:t xml:space="preserve">إصدار </w:t>
      </w:r>
      <w:r w:rsidR="00CD4CB4">
        <w:rPr>
          <w:rtl/>
        </w:rPr>
        <w:t>مقرر</w:t>
      </w:r>
      <w:r w:rsidRPr="00B70835">
        <w:rPr>
          <w:rtl/>
        </w:rPr>
        <w:t xml:space="preserve"> المجلس </w:t>
      </w:r>
      <w:r w:rsidRPr="00B70835">
        <w:t>482</w:t>
      </w:r>
      <w:r w:rsidRPr="00B70835">
        <w:rPr>
          <w:rtl/>
        </w:rPr>
        <w:t xml:space="preserve">، ازداد عدد الدول الأعضاء التي تُقدّم </w:t>
      </w:r>
      <w:r w:rsidRPr="00B70835">
        <w:rPr>
          <w:rFonts w:hint="cs"/>
          <w:rtl/>
        </w:rPr>
        <w:t>بطاقات تبليغ</w:t>
      </w:r>
      <w:r w:rsidRPr="00B70835">
        <w:rPr>
          <w:rtl/>
        </w:rPr>
        <w:t xml:space="preserve"> وتُشارك في الاتصالات الساتلية بشكل كبير، مما يؤكد أن هذه الخدمة </w:t>
      </w:r>
      <w:r w:rsidRPr="00B70835">
        <w:rPr>
          <w:rFonts w:hint="cs"/>
          <w:rtl/>
        </w:rPr>
        <w:t xml:space="preserve">لا </w:t>
      </w:r>
      <w:r w:rsidRPr="00B70835">
        <w:rPr>
          <w:rtl/>
        </w:rPr>
        <w:t>تفيد مجموعة فرعية من الأعضاء</w:t>
      </w:r>
      <w:r w:rsidRPr="00B70835">
        <w:rPr>
          <w:rFonts w:hint="cs"/>
          <w:rtl/>
        </w:rPr>
        <w:t xml:space="preserve"> فحسب</w:t>
      </w:r>
      <w:r w:rsidRPr="00B70835">
        <w:rPr>
          <w:rtl/>
        </w:rPr>
        <w:t xml:space="preserve">، بل </w:t>
      </w:r>
      <w:r w:rsidRPr="00B70835">
        <w:rPr>
          <w:rFonts w:hint="cs"/>
          <w:rtl/>
        </w:rPr>
        <w:t xml:space="preserve">أيضاً </w:t>
      </w:r>
      <w:r w:rsidRPr="00B70835">
        <w:rPr>
          <w:rtl/>
        </w:rPr>
        <w:t xml:space="preserve">جميع أعضاء الاتحاد. </w:t>
      </w:r>
      <w:r w:rsidR="003969AB" w:rsidRPr="00B70835">
        <w:rPr>
          <w:rtl/>
        </w:rPr>
        <w:t>وفي</w:t>
      </w:r>
      <w:r w:rsidR="003969AB">
        <w:rPr>
          <w:rFonts w:hint="cs"/>
          <w:rtl/>
        </w:rPr>
        <w:t> </w:t>
      </w:r>
      <w:r w:rsidRPr="00B70835">
        <w:rPr>
          <w:rtl/>
        </w:rPr>
        <w:t xml:space="preserve">الواقع، </w:t>
      </w:r>
      <w:r w:rsidRPr="00B70835">
        <w:rPr>
          <w:rFonts w:hint="cs"/>
          <w:rtl/>
        </w:rPr>
        <w:t>ت</w:t>
      </w:r>
      <w:r w:rsidRPr="00B70835">
        <w:rPr>
          <w:rtl/>
        </w:rPr>
        <w:t xml:space="preserve">ُرسي </w:t>
      </w:r>
      <w:r w:rsidRPr="00B70835">
        <w:rPr>
          <w:rFonts w:hint="cs"/>
          <w:rtl/>
        </w:rPr>
        <w:t xml:space="preserve">الفقرة </w:t>
      </w:r>
      <w:r w:rsidR="001912B6">
        <w:t>3</w:t>
      </w:r>
      <w:r w:rsidR="001912B6">
        <w:rPr>
          <w:rFonts w:hint="cs"/>
          <w:rtl/>
          <w:lang w:bidi="ar-EG"/>
        </w:rPr>
        <w:t xml:space="preserve"> </w:t>
      </w:r>
      <w:r w:rsidR="001912B6" w:rsidRPr="001912B6">
        <w:rPr>
          <w:rFonts w:hint="cs"/>
          <w:i/>
          <w:iCs/>
          <w:rtl/>
          <w:lang w:bidi="ar-EG"/>
        </w:rPr>
        <w:t>’1‘</w:t>
      </w:r>
      <w:r w:rsidRPr="00B70835">
        <w:rPr>
          <w:rFonts w:hint="cs"/>
          <w:rtl/>
        </w:rPr>
        <w:t xml:space="preserve"> من </w:t>
      </w:r>
      <w:r w:rsidR="001912B6">
        <w:rPr>
          <w:rFonts w:hint="cs"/>
          <w:rtl/>
        </w:rPr>
        <w:t>"</w:t>
      </w:r>
      <w:r w:rsidRPr="00B70835">
        <w:rPr>
          <w:rFonts w:hint="cs"/>
          <w:i/>
          <w:iCs/>
          <w:rtl/>
        </w:rPr>
        <w:t>يقرر</w:t>
      </w:r>
      <w:r w:rsidR="001912B6" w:rsidRPr="001912B6">
        <w:rPr>
          <w:rFonts w:hint="cs"/>
          <w:rtl/>
        </w:rPr>
        <w:t>"</w:t>
      </w:r>
      <w:r w:rsidR="009F4B8F" w:rsidRPr="009F4B8F">
        <w:rPr>
          <w:rFonts w:hint="cs"/>
          <w:rtl/>
        </w:rPr>
        <w:t>)</w:t>
      </w:r>
      <w:r w:rsidRPr="00B70835">
        <w:rPr>
          <w:rtl/>
        </w:rPr>
        <w:t xml:space="preserve"> مبدأ استرداد التكاليف، وهو أن يكون </w:t>
      </w:r>
      <w:r w:rsidRPr="00B70835">
        <w:rPr>
          <w:rFonts w:hint="cs"/>
          <w:rtl/>
        </w:rPr>
        <w:t xml:space="preserve">هناك طلب على </w:t>
      </w:r>
      <w:r w:rsidRPr="00B70835">
        <w:rPr>
          <w:rtl/>
        </w:rPr>
        <w:t xml:space="preserve">المنتج أو الخدمة </w:t>
      </w:r>
      <w:r w:rsidRPr="00B70835">
        <w:rPr>
          <w:rFonts w:hint="cs"/>
          <w:rtl/>
        </w:rPr>
        <w:t>من جانب</w:t>
      </w:r>
      <w:r w:rsidRPr="00B70835">
        <w:rPr>
          <w:rtl/>
        </w:rPr>
        <w:t xml:space="preserve"> عدد قليل من المستخدمين.</w:t>
      </w:r>
    </w:p>
    <w:p w14:paraId="295706A0" w14:textId="1893F0FF" w:rsidR="00B70835" w:rsidRPr="00B70835" w:rsidRDefault="00B70835" w:rsidP="00B70835">
      <w:pPr>
        <w:rPr>
          <w:rtl/>
        </w:rPr>
      </w:pPr>
      <w:r w:rsidRPr="00B70835">
        <w:rPr>
          <w:rFonts w:hint="cs"/>
          <w:rtl/>
        </w:rPr>
        <w:t>و</w:t>
      </w:r>
      <w:r w:rsidRPr="00B70835">
        <w:rPr>
          <w:rtl/>
        </w:rPr>
        <w:t xml:space="preserve">بالإضافة إلى ذلك، عند صياغة </w:t>
      </w:r>
      <w:r w:rsidRPr="00B70835">
        <w:rPr>
          <w:rFonts w:hint="cs"/>
          <w:rtl/>
        </w:rPr>
        <w:t>ال</w:t>
      </w:r>
      <w:r w:rsidRPr="00B70835">
        <w:rPr>
          <w:rtl/>
        </w:rPr>
        <w:t xml:space="preserve">نظام الحالي </w:t>
      </w:r>
      <w:r w:rsidRPr="00B70835">
        <w:rPr>
          <w:rFonts w:hint="cs"/>
          <w:rtl/>
        </w:rPr>
        <w:t>ل</w:t>
      </w:r>
      <w:r w:rsidRPr="00B70835">
        <w:rPr>
          <w:rtl/>
        </w:rPr>
        <w:t xml:space="preserve">رسوم </w:t>
      </w:r>
      <w:r w:rsidRPr="00B70835">
        <w:rPr>
          <w:rFonts w:hint="cs"/>
          <w:rtl/>
        </w:rPr>
        <w:t>بطاقات التبليغ عن الشبكات</w:t>
      </w:r>
      <w:r w:rsidRPr="00B70835">
        <w:rPr>
          <w:rtl/>
        </w:rPr>
        <w:t xml:space="preserve"> الساتلية، يجب مراعاة أن الاتحاد قد </w:t>
      </w:r>
      <w:r w:rsidRPr="00B70835">
        <w:rPr>
          <w:rFonts w:hint="cs"/>
          <w:rtl/>
        </w:rPr>
        <w:t>أيد</w:t>
      </w:r>
      <w:r w:rsidRPr="00B70835">
        <w:rPr>
          <w:rtl/>
        </w:rPr>
        <w:t xml:space="preserve"> </w:t>
      </w:r>
      <w:r w:rsidRPr="00B70835">
        <w:rPr>
          <w:rFonts w:hint="cs"/>
          <w:rtl/>
        </w:rPr>
        <w:t>الحق في</w:t>
      </w:r>
      <w:r w:rsidRPr="00B70835">
        <w:rPr>
          <w:rtl/>
        </w:rPr>
        <w:t xml:space="preserve"> </w:t>
      </w:r>
      <w:r w:rsidRPr="00B70835">
        <w:rPr>
          <w:rFonts w:hint="cs"/>
          <w:rtl/>
        </w:rPr>
        <w:t>معالجة</w:t>
      </w:r>
      <w:r w:rsidRPr="00B70835">
        <w:rPr>
          <w:rtl/>
        </w:rPr>
        <w:t xml:space="preserve"> </w:t>
      </w:r>
      <w:r w:rsidRPr="00B70835">
        <w:rPr>
          <w:rFonts w:hint="cs"/>
          <w:rtl/>
        </w:rPr>
        <w:t>بطاقات التبليغ ب</w:t>
      </w:r>
      <w:r w:rsidRPr="00B70835">
        <w:rPr>
          <w:rtl/>
        </w:rPr>
        <w:t>المجان في بعض الحالات باعتبارها فائدة للاتحاد. ول</w:t>
      </w:r>
      <w:r w:rsidRPr="00B70835">
        <w:rPr>
          <w:rFonts w:hint="cs"/>
          <w:rtl/>
        </w:rPr>
        <w:t xml:space="preserve">بطاقات التبليغ </w:t>
      </w:r>
      <w:r w:rsidRPr="00B70835">
        <w:rPr>
          <w:rtl/>
        </w:rPr>
        <w:t xml:space="preserve">هذه تكاليف كبيرة، وينبغي تقييمها كجزء من الخطوات التالية للنظر في التكاليف غير المباشرة </w:t>
      </w:r>
      <w:r w:rsidRPr="00B70835">
        <w:rPr>
          <w:rFonts w:hint="cs"/>
          <w:rtl/>
        </w:rPr>
        <w:t>لمعالجة</w:t>
      </w:r>
      <w:r w:rsidRPr="00B70835">
        <w:rPr>
          <w:rtl/>
        </w:rPr>
        <w:t xml:space="preserve"> </w:t>
      </w:r>
      <w:r w:rsidRPr="00B70835">
        <w:rPr>
          <w:rFonts w:hint="cs"/>
          <w:rtl/>
        </w:rPr>
        <w:t>بطاقات التبليغ عن الشبكات</w:t>
      </w:r>
      <w:r w:rsidR="003E7E66">
        <w:rPr>
          <w:rFonts w:hint="eastAsia"/>
          <w:rtl/>
        </w:rPr>
        <w:t> </w:t>
      </w:r>
      <w:r w:rsidRPr="00B70835">
        <w:rPr>
          <w:rtl/>
        </w:rPr>
        <w:t>الساتلية.</w:t>
      </w:r>
    </w:p>
    <w:p w14:paraId="0AA5E379" w14:textId="77777777" w:rsidR="00B70835" w:rsidRPr="00B70835" w:rsidRDefault="00B70835" w:rsidP="00B06DDB">
      <w:pPr>
        <w:pStyle w:val="Headingb"/>
        <w:rPr>
          <w:rtl/>
        </w:rPr>
      </w:pPr>
      <w:r w:rsidRPr="00B70835">
        <w:rPr>
          <w:rtl/>
        </w:rPr>
        <w:t>المقترح</w:t>
      </w:r>
    </w:p>
    <w:p w14:paraId="1914470A" w14:textId="4D912034" w:rsidR="00B70835" w:rsidRPr="00B70835" w:rsidRDefault="00B70835" w:rsidP="00B70835">
      <w:pPr>
        <w:rPr>
          <w:rtl/>
        </w:rPr>
      </w:pPr>
      <w:r w:rsidRPr="00B70835">
        <w:rPr>
          <w:rtl/>
        </w:rPr>
        <w:t>بناء</w:t>
      </w:r>
      <w:r w:rsidR="001912B6">
        <w:rPr>
          <w:rFonts w:hint="cs"/>
          <w:rtl/>
        </w:rPr>
        <w:t>ً</w:t>
      </w:r>
      <w:r w:rsidRPr="00B70835">
        <w:rPr>
          <w:rtl/>
        </w:rPr>
        <w:t xml:space="preserve"> على المعلومات التي قدمتها الأمانة، لا </w:t>
      </w:r>
      <w:r w:rsidRPr="00B70835">
        <w:rPr>
          <w:rFonts w:hint="cs"/>
          <w:rtl/>
        </w:rPr>
        <w:t>ترى</w:t>
      </w:r>
      <w:r w:rsidRPr="00B70835">
        <w:rPr>
          <w:rtl/>
        </w:rPr>
        <w:t xml:space="preserve"> الولايات المتحدة أن </w:t>
      </w:r>
      <w:r w:rsidRPr="00B70835">
        <w:rPr>
          <w:rFonts w:hint="cs"/>
          <w:rtl/>
        </w:rPr>
        <w:t>تقدير</w:t>
      </w:r>
      <w:r w:rsidRPr="00B70835">
        <w:rPr>
          <w:rtl/>
        </w:rPr>
        <w:t xml:space="preserve"> رسم بنسبة </w:t>
      </w:r>
      <w:r w:rsidR="00D54247">
        <w:t>%40</w:t>
      </w:r>
      <w:r w:rsidRPr="00B70835">
        <w:rPr>
          <w:rtl/>
        </w:rPr>
        <w:t xml:space="preserve"> على جميع رسوم معالجة بطاقات</w:t>
      </w:r>
      <w:r w:rsidRPr="00B70835">
        <w:rPr>
          <w:rFonts w:hint="cs"/>
          <w:rtl/>
        </w:rPr>
        <w:t xml:space="preserve"> التبليغ عن الشبكات</w:t>
      </w:r>
      <w:r w:rsidRPr="00B70835">
        <w:rPr>
          <w:rtl/>
        </w:rPr>
        <w:t xml:space="preserve"> الساتلية معقول أو تطبيق مناسب للمبادئ الواردة في القرار </w:t>
      </w:r>
      <w:r w:rsidRPr="00B70835">
        <w:t>91</w:t>
      </w:r>
      <w:r w:rsidRPr="00B70835">
        <w:rPr>
          <w:rtl/>
        </w:rPr>
        <w:t>. كما ترى أن هناك حاجة إلى مزيد من العمل لفهم كيف</w:t>
      </w:r>
      <w:r w:rsidRPr="00B70835">
        <w:rPr>
          <w:rFonts w:hint="cs"/>
          <w:rtl/>
        </w:rPr>
        <w:t xml:space="preserve"> حسب</w:t>
      </w:r>
      <w:r w:rsidRPr="00B70835">
        <w:rPr>
          <w:rtl/>
        </w:rPr>
        <w:t xml:space="preserve"> الاتحاد </w:t>
      </w:r>
      <w:r w:rsidRPr="00B70835">
        <w:rPr>
          <w:rFonts w:hint="cs"/>
          <w:rtl/>
        </w:rPr>
        <w:t>ا</w:t>
      </w:r>
      <w:r w:rsidRPr="00B70835">
        <w:rPr>
          <w:rtl/>
        </w:rPr>
        <w:t>لتكاليف غير المباشرة المقترحة بشكل أفضل، و</w:t>
      </w:r>
      <w:r w:rsidRPr="00B70835">
        <w:rPr>
          <w:rFonts w:hint="cs"/>
          <w:rtl/>
        </w:rPr>
        <w:t xml:space="preserve">كذلك </w:t>
      </w:r>
      <w:r w:rsidRPr="00B70835">
        <w:rPr>
          <w:rtl/>
        </w:rPr>
        <w:t>كيف</w:t>
      </w:r>
      <w:r w:rsidRPr="00B70835">
        <w:rPr>
          <w:rFonts w:hint="cs"/>
          <w:rtl/>
        </w:rPr>
        <w:t xml:space="preserve"> يطبق الاتحاد </w:t>
      </w:r>
      <w:r w:rsidRPr="00B70835">
        <w:rPr>
          <w:rtl/>
        </w:rPr>
        <w:t>مبدأ استرداد التكاليف على العديد من منتجاته وخدماته المختلفة.</w:t>
      </w:r>
    </w:p>
    <w:p w14:paraId="39F6194F" w14:textId="1DB1437D" w:rsidR="00B70835" w:rsidRPr="00B70835" w:rsidRDefault="00B70835" w:rsidP="00B70835">
      <w:pPr>
        <w:rPr>
          <w:rtl/>
        </w:rPr>
      </w:pPr>
      <w:r w:rsidRPr="00B70835">
        <w:rPr>
          <w:rFonts w:hint="cs"/>
          <w:rtl/>
        </w:rPr>
        <w:t>و</w:t>
      </w:r>
      <w:r w:rsidRPr="00B70835">
        <w:rPr>
          <w:rtl/>
        </w:rPr>
        <w:t xml:space="preserve">تولي الولايات المتحدة الأولوية للمسؤولية المالية للاتحاد وسلامته المالية على المدى الطويل. وتواصل دعم جهود الأمانة لزيادة الشفافية في وضع الميزانية واستخدام الموارد، ومعالجة أوجه القصور، وإعادة </w:t>
      </w:r>
      <w:r w:rsidRPr="00B70835">
        <w:rPr>
          <w:rFonts w:hint="cs"/>
          <w:rtl/>
        </w:rPr>
        <w:t>مواءمة</w:t>
      </w:r>
      <w:r w:rsidRPr="00B70835">
        <w:rPr>
          <w:rtl/>
        </w:rPr>
        <w:t xml:space="preserve"> التكاليف بطريقة مستدامة. ونرحب بالمبادرات المقترحة لمواصلة العمل على تحسين العمليات والتنظيم، وتحسين الأدوات التكنولوجية لدعم الاتحاد </w:t>
      </w:r>
      <w:r w:rsidRPr="00B70835">
        <w:rPr>
          <w:rFonts w:hint="cs"/>
          <w:rtl/>
        </w:rPr>
        <w:t>في تقديم ا</w:t>
      </w:r>
      <w:r w:rsidRPr="00B70835">
        <w:rPr>
          <w:rtl/>
        </w:rPr>
        <w:t xml:space="preserve">لخدمات الحيوية </w:t>
      </w:r>
      <w:r w:rsidRPr="00B70835">
        <w:rPr>
          <w:rFonts w:hint="cs"/>
          <w:rtl/>
        </w:rPr>
        <w:t xml:space="preserve">إلى </w:t>
      </w:r>
      <w:r w:rsidRPr="00B70835">
        <w:rPr>
          <w:rtl/>
        </w:rPr>
        <w:t xml:space="preserve">أعضائه. وينبغي </w:t>
      </w:r>
      <w:r w:rsidRPr="00B70835">
        <w:rPr>
          <w:rFonts w:hint="cs"/>
          <w:rtl/>
        </w:rPr>
        <w:t>أن يواصل ا</w:t>
      </w:r>
      <w:r w:rsidRPr="00B70835">
        <w:rPr>
          <w:rtl/>
        </w:rPr>
        <w:t>لاتحاد استكشاف هذه الكفاءات التشغيلية، وخفض النفقات، وإعادة هيكلة الميزانية كتدابير بديلة بدلاً من الاعتماد فقط على زيادة استرداد التكاليف المتعلقة بالشبكات الساتلية. ويمكن تحقيق الاستدامة المالية من خلال ن</w:t>
      </w:r>
      <w:r w:rsidRPr="00B70835">
        <w:rPr>
          <w:rFonts w:hint="cs"/>
          <w:rtl/>
        </w:rPr>
        <w:t>ُ</w:t>
      </w:r>
      <w:r w:rsidRPr="00B70835">
        <w:rPr>
          <w:rtl/>
        </w:rPr>
        <w:t>هج متوازنة لا تؤثر بشكل غير متناسب على قطاع واحد.</w:t>
      </w:r>
    </w:p>
    <w:p w14:paraId="3135BAE6" w14:textId="5EAF0683" w:rsidR="00B70835" w:rsidRPr="00B70835" w:rsidRDefault="00B70835" w:rsidP="00B70835">
      <w:pPr>
        <w:rPr>
          <w:lang w:bidi="ar-EG"/>
        </w:rPr>
      </w:pPr>
      <w:r w:rsidRPr="00B70835">
        <w:rPr>
          <w:rtl/>
        </w:rPr>
        <w:t xml:space="preserve">وفي ضوء ما </w:t>
      </w:r>
      <w:r w:rsidRPr="00B70835">
        <w:rPr>
          <w:rFonts w:hint="cs"/>
          <w:rtl/>
        </w:rPr>
        <w:t>ورد أعلاه</w:t>
      </w:r>
      <w:r w:rsidRPr="00B70835">
        <w:rPr>
          <w:rtl/>
        </w:rPr>
        <w:t xml:space="preserve">، تقترح الولايات المتحدة إحالة مسألة التكاليف غير المباشرة إلى فريق </w:t>
      </w:r>
      <w:r w:rsidRPr="00B70835">
        <w:rPr>
          <w:rFonts w:hint="cs"/>
          <w:rtl/>
        </w:rPr>
        <w:t>ال</w:t>
      </w:r>
      <w:r w:rsidRPr="00B70835">
        <w:rPr>
          <w:rtl/>
        </w:rPr>
        <w:t xml:space="preserve">عمل </w:t>
      </w:r>
      <w:r w:rsidRPr="00B70835">
        <w:rPr>
          <w:rFonts w:hint="cs"/>
          <w:rtl/>
        </w:rPr>
        <w:t>التابع ل</w:t>
      </w:r>
      <w:r w:rsidRPr="00B70835">
        <w:rPr>
          <w:rtl/>
        </w:rPr>
        <w:t xml:space="preserve">لمجلس </w:t>
      </w:r>
      <w:r w:rsidRPr="00B70835">
        <w:rPr>
          <w:rFonts w:hint="cs"/>
          <w:rtl/>
        </w:rPr>
        <w:t>و</w:t>
      </w:r>
      <w:r w:rsidRPr="00B70835">
        <w:rPr>
          <w:rtl/>
        </w:rPr>
        <w:t xml:space="preserve">المعني بالموارد المالية والبشرية </w:t>
      </w:r>
      <w:r w:rsidRPr="00B70835">
        <w:t>(</w:t>
      </w:r>
      <w:r w:rsidRPr="00B70835">
        <w:rPr>
          <w:lang w:bidi="ar-EG"/>
        </w:rPr>
        <w:t>CWG-FHR</w:t>
      </w:r>
      <w:r w:rsidRPr="00B70835">
        <w:t>)</w:t>
      </w:r>
      <w:r w:rsidRPr="00B70835">
        <w:rPr>
          <w:rtl/>
        </w:rPr>
        <w:t xml:space="preserve"> لإجراء تحليل إضافي. ونوصي بأن يُلقي هذا العمل اللاحق نظرة أوسع على كيف</w:t>
      </w:r>
      <w:r w:rsidRPr="00B70835">
        <w:rPr>
          <w:rFonts w:hint="cs"/>
          <w:rtl/>
        </w:rPr>
        <w:t xml:space="preserve"> ي</w:t>
      </w:r>
      <w:r w:rsidRPr="00B70835">
        <w:rPr>
          <w:rtl/>
        </w:rPr>
        <w:t xml:space="preserve">طبق الاتحاد مبادئ رسوم التكاليف غير المباشرة على المنتجات والخدمات الأخرى - وليس فقط على </w:t>
      </w:r>
      <w:r w:rsidRPr="00B70835">
        <w:rPr>
          <w:rFonts w:hint="cs"/>
          <w:rtl/>
        </w:rPr>
        <w:t>بطاقات التبليغ عن</w:t>
      </w:r>
      <w:r w:rsidRPr="00B70835">
        <w:rPr>
          <w:rtl/>
        </w:rPr>
        <w:t xml:space="preserve"> </w:t>
      </w:r>
      <w:r w:rsidRPr="00B70835">
        <w:rPr>
          <w:rFonts w:hint="cs"/>
          <w:rtl/>
        </w:rPr>
        <w:t>ال</w:t>
      </w:r>
      <w:r w:rsidRPr="00B70835">
        <w:rPr>
          <w:rtl/>
        </w:rPr>
        <w:t xml:space="preserve">شبكات الساتلية - بما في ذلك فئات التكاليف التي قد تُدرج، وذلك لضمان تطبيق القرار </w:t>
      </w:r>
      <w:r w:rsidRPr="00B70835">
        <w:t>91</w:t>
      </w:r>
      <w:r w:rsidRPr="00B70835">
        <w:rPr>
          <w:rtl/>
        </w:rPr>
        <w:t xml:space="preserve"> تطبيقاً معقولاً ومناسباً. ويمكن أن </w:t>
      </w:r>
      <w:r w:rsidRPr="00B70835">
        <w:rPr>
          <w:rFonts w:hint="cs"/>
          <w:rtl/>
        </w:rPr>
        <w:t>يُرشد</w:t>
      </w:r>
      <w:r w:rsidRPr="00B70835">
        <w:rPr>
          <w:rtl/>
        </w:rPr>
        <w:t xml:space="preserve"> هذا العمل المناقشات اللاحقة التي </w:t>
      </w:r>
      <w:r w:rsidRPr="00B70835">
        <w:rPr>
          <w:rFonts w:hint="cs"/>
          <w:rtl/>
        </w:rPr>
        <w:t>تسبق انعقاد</w:t>
      </w:r>
      <w:r w:rsidRPr="00B70835">
        <w:rPr>
          <w:rtl/>
        </w:rPr>
        <w:t xml:space="preserve"> مؤتمر المندوبين المفوضين وتحديث الخطط الاستراتيجية والمالية للفترة </w:t>
      </w:r>
      <w:r w:rsidR="00D54247">
        <w:t>2031-2028</w:t>
      </w:r>
      <w:r w:rsidRPr="00B70835">
        <w:rPr>
          <w:rtl/>
        </w:rPr>
        <w:t>.</w:t>
      </w:r>
    </w:p>
    <w:p w14:paraId="754FE32A" w14:textId="77777777" w:rsidR="00B70835" w:rsidRPr="00B70835" w:rsidRDefault="00B70835" w:rsidP="00B06DDB">
      <w:pPr>
        <w:pStyle w:val="Headingb"/>
        <w:rPr>
          <w:rtl/>
        </w:rPr>
      </w:pPr>
      <w:r w:rsidRPr="00B70835">
        <w:rPr>
          <w:rtl/>
        </w:rPr>
        <w:t>المقترح</w:t>
      </w:r>
    </w:p>
    <w:p w14:paraId="14CACBC1" w14:textId="77777777" w:rsidR="00B70835" w:rsidRPr="00B70835" w:rsidRDefault="00B70835" w:rsidP="00B70835">
      <w:pPr>
        <w:rPr>
          <w:rtl/>
        </w:rPr>
      </w:pPr>
      <w:r w:rsidRPr="00B70835">
        <w:rPr>
          <w:rtl/>
        </w:rPr>
        <w:t>باختصار، نقترح على مجلس الاتحاد ما يلي:</w:t>
      </w:r>
    </w:p>
    <w:p w14:paraId="42F76A94" w14:textId="2BC2B4CB" w:rsidR="00B70835" w:rsidRPr="00B70835" w:rsidRDefault="00C44BDE" w:rsidP="00B06DDB">
      <w:pPr>
        <w:pStyle w:val="enumlev1"/>
        <w:rPr>
          <w:rtl/>
        </w:rPr>
      </w:pPr>
      <w:r>
        <w:t>(1</w:t>
      </w:r>
      <w:r w:rsidR="00B70835" w:rsidRPr="00B70835">
        <w:rPr>
          <w:rtl/>
        </w:rPr>
        <w:tab/>
      </w:r>
      <w:r w:rsidR="00B70835" w:rsidRPr="00B70835">
        <w:rPr>
          <w:rFonts w:hint="cs"/>
          <w:rtl/>
        </w:rPr>
        <w:t xml:space="preserve">تأييد </w:t>
      </w:r>
      <w:r w:rsidR="00B70835" w:rsidRPr="00B70835">
        <w:rPr>
          <w:rtl/>
        </w:rPr>
        <w:t>التعديلات المقترحة على ال</w:t>
      </w:r>
      <w:r w:rsidR="00CD4CB4">
        <w:rPr>
          <w:rtl/>
        </w:rPr>
        <w:t>مقرر</w:t>
      </w:r>
      <w:r w:rsidR="00B70835" w:rsidRPr="00B70835">
        <w:rPr>
          <w:rtl/>
        </w:rPr>
        <w:t xml:space="preserve"> </w:t>
      </w:r>
      <w:r w:rsidR="00B70835" w:rsidRPr="00B70835">
        <w:t>482</w:t>
      </w:r>
      <w:r w:rsidR="00B70835" w:rsidRPr="00B70835">
        <w:rPr>
          <w:rtl/>
        </w:rPr>
        <w:t xml:space="preserve"> في الوثيقة </w:t>
      </w:r>
      <w:hyperlink r:id="rId12" w:history="1">
        <w:r w:rsidR="008B3282" w:rsidRPr="008B3282">
          <w:rPr>
            <w:rStyle w:val="Hyperlink"/>
            <w:noProof w:val="0"/>
            <w:lang w:val="en-US" w:eastAsia="zh-CN" w:bidi="ar-EG"/>
          </w:rPr>
          <w:t>C25/10</w:t>
        </w:r>
      </w:hyperlink>
      <w:r w:rsidR="00B70835" w:rsidRPr="00B70835">
        <w:rPr>
          <w:rtl/>
        </w:rPr>
        <w:t xml:space="preserve"> (التقرير النهائي لفريق الخبراء المعني باسترداد تكاليف معالجة بطاقات التبليغ عن الشبكات الساتلية). وسيؤدي ذلك إلى زيادة إيرادات استرداد التكاليف للاتحاد عند </w:t>
      </w:r>
      <w:r w:rsidR="00B70835" w:rsidRPr="00B70835">
        <w:rPr>
          <w:rFonts w:hint="cs"/>
          <w:rtl/>
        </w:rPr>
        <w:t>تناول</w:t>
      </w:r>
      <w:r w:rsidR="00B70835" w:rsidRPr="00B70835">
        <w:rPr>
          <w:rtl/>
        </w:rPr>
        <w:t xml:space="preserve"> التكاليف المباشرة لمعالجة البطاقات التبليغ.</w:t>
      </w:r>
    </w:p>
    <w:p w14:paraId="28C083D6" w14:textId="490051F4" w:rsidR="00B70835" w:rsidRPr="00B70835" w:rsidRDefault="00C44BDE" w:rsidP="00B06DDB">
      <w:pPr>
        <w:pStyle w:val="enumlev1"/>
        <w:rPr>
          <w:rtl/>
        </w:rPr>
      </w:pPr>
      <w:r>
        <w:t>(2</w:t>
      </w:r>
      <w:r w:rsidR="00B70835" w:rsidRPr="00B70835">
        <w:rPr>
          <w:rtl/>
        </w:rPr>
        <w:tab/>
      </w:r>
      <w:r w:rsidR="00B70835" w:rsidRPr="00B70835">
        <w:rPr>
          <w:rFonts w:hint="cs"/>
          <w:rtl/>
        </w:rPr>
        <w:t>إحالة</w:t>
      </w:r>
      <w:r w:rsidR="00B70835" w:rsidRPr="00B70835">
        <w:rPr>
          <w:rtl/>
        </w:rPr>
        <w:t xml:space="preserve"> النظر في رسوم التكاليف غير المباشرة إلى فريق العمل التابع لمجلس الاتحاد </w:t>
      </w:r>
      <w:r w:rsidR="00B70835" w:rsidRPr="00B70835">
        <w:rPr>
          <w:rFonts w:hint="cs"/>
          <w:rtl/>
        </w:rPr>
        <w:t>و</w:t>
      </w:r>
      <w:r w:rsidR="00B70835" w:rsidRPr="00B70835">
        <w:rPr>
          <w:rtl/>
        </w:rPr>
        <w:t>المعني بالموارد المالية والبشرية</w:t>
      </w:r>
      <w:r w:rsidR="00701277">
        <w:rPr>
          <w:rFonts w:hint="cs"/>
          <w:rtl/>
        </w:rPr>
        <w:t> </w:t>
      </w:r>
      <w:r w:rsidR="00B70835" w:rsidRPr="00B70835">
        <w:t>(</w:t>
      </w:r>
      <w:r w:rsidR="00B70835" w:rsidRPr="00B70835">
        <w:rPr>
          <w:lang w:bidi="ar-EG"/>
        </w:rPr>
        <w:t>CWG-FHR</w:t>
      </w:r>
      <w:r w:rsidR="00B70835" w:rsidRPr="00B70835">
        <w:t>)</w:t>
      </w:r>
      <w:r w:rsidR="00B70835" w:rsidRPr="00B70835">
        <w:rPr>
          <w:rtl/>
        </w:rPr>
        <w:t xml:space="preserve"> بناء على المقترح الوارد في الوثيقتين </w:t>
      </w:r>
      <w:hyperlink r:id="rId13" w:history="1">
        <w:r w:rsidR="008B3282" w:rsidRPr="008B3282">
          <w:rPr>
            <w:rStyle w:val="Hyperlink"/>
            <w:noProof w:val="0"/>
            <w:lang w:val="en-US" w:eastAsia="zh-CN" w:bidi="ar-EG"/>
          </w:rPr>
          <w:t>C25/64</w:t>
        </w:r>
      </w:hyperlink>
      <w:r w:rsidR="00B70835" w:rsidRPr="00B70835">
        <w:rPr>
          <w:rtl/>
        </w:rPr>
        <w:t xml:space="preserve"> و</w:t>
      </w:r>
      <w:hyperlink r:id="rId14" w:history="1">
        <w:r w:rsidR="008B3282" w:rsidRPr="008B3282">
          <w:rPr>
            <w:rStyle w:val="Hyperlink"/>
            <w:noProof w:val="0"/>
            <w:lang w:val="en-US" w:eastAsia="zh-CN" w:bidi="ar-EG"/>
          </w:rPr>
          <w:t>C25/74</w:t>
        </w:r>
      </w:hyperlink>
      <w:r w:rsidR="00B70835" w:rsidRPr="00B70835">
        <w:rPr>
          <w:rtl/>
        </w:rPr>
        <w:t xml:space="preserve"> لتشجيع التشاور على نطاق أوسع مع الدول الأعضاء. وينبغي أن يأخذ تحليل </w:t>
      </w:r>
      <w:r w:rsidR="00B70835" w:rsidRPr="00B70835">
        <w:rPr>
          <w:rFonts w:hint="cs"/>
          <w:rtl/>
        </w:rPr>
        <w:t>ال</w:t>
      </w:r>
      <w:r w:rsidR="00B70835" w:rsidRPr="00B70835">
        <w:rPr>
          <w:rtl/>
        </w:rPr>
        <w:t xml:space="preserve">فريق </w:t>
      </w:r>
      <w:r w:rsidR="00B70835" w:rsidRPr="00B70835">
        <w:rPr>
          <w:lang w:bidi="ar-EG"/>
        </w:rPr>
        <w:t>CWG-FHR</w:t>
      </w:r>
      <w:r w:rsidR="00B70835" w:rsidRPr="00B70835">
        <w:rPr>
          <w:rtl/>
        </w:rPr>
        <w:t xml:space="preserve"> في الاعتبار أيضاً الطرق الأخرى </w:t>
      </w:r>
      <w:r w:rsidR="00B70835" w:rsidRPr="00B70835">
        <w:rPr>
          <w:rtl/>
        </w:rPr>
        <w:lastRenderedPageBreak/>
        <w:t xml:space="preserve">التي </w:t>
      </w:r>
      <w:r w:rsidR="00B70835" w:rsidRPr="00B70835">
        <w:rPr>
          <w:rFonts w:hint="cs"/>
          <w:rtl/>
        </w:rPr>
        <w:t>فرض</w:t>
      </w:r>
      <w:r w:rsidR="00B70835" w:rsidRPr="00B70835">
        <w:rPr>
          <w:rtl/>
        </w:rPr>
        <w:t xml:space="preserve"> بها الاتحاد، أو قد </w:t>
      </w:r>
      <w:r w:rsidR="00B70835" w:rsidRPr="00B70835">
        <w:rPr>
          <w:rFonts w:hint="cs"/>
          <w:rtl/>
        </w:rPr>
        <w:t>يفرض</w:t>
      </w:r>
      <w:r w:rsidR="00B70835" w:rsidRPr="00B70835">
        <w:rPr>
          <w:rtl/>
        </w:rPr>
        <w:t xml:space="preserve"> بها، رسوماً على التكاليف غير المباشرة على السلع والخدمات الأخرى التي يقدمها الاتحاد بموجب القرار </w:t>
      </w:r>
      <w:r w:rsidR="00B70835" w:rsidRPr="00B70835">
        <w:t>91</w:t>
      </w:r>
      <w:r w:rsidR="00B70835" w:rsidRPr="00B70835">
        <w:rPr>
          <w:rtl/>
        </w:rPr>
        <w:t xml:space="preserve"> (المراجَع </w:t>
      </w:r>
      <w:proofErr w:type="spellStart"/>
      <w:r w:rsidR="00B70835" w:rsidRPr="00B70835">
        <w:rPr>
          <w:rtl/>
        </w:rPr>
        <w:t>غوادالاخارا</w:t>
      </w:r>
      <w:proofErr w:type="spellEnd"/>
      <w:r w:rsidR="00B70835" w:rsidRPr="00B70835">
        <w:rPr>
          <w:rtl/>
        </w:rPr>
        <w:t xml:space="preserve">، </w:t>
      </w:r>
      <w:r w:rsidR="00B70835" w:rsidRPr="00B70835">
        <w:t>2010</w:t>
      </w:r>
      <w:r w:rsidR="00B70835" w:rsidRPr="00B70835">
        <w:rPr>
          <w:rtl/>
        </w:rPr>
        <w:t>).</w:t>
      </w:r>
    </w:p>
    <w:p w14:paraId="659CB12E" w14:textId="1CEE9D15" w:rsidR="00F50E3F" w:rsidRDefault="00C44BDE" w:rsidP="00B06DDB">
      <w:pPr>
        <w:pStyle w:val="enumlev1"/>
        <w:rPr>
          <w:rtl/>
          <w:lang w:bidi="ar-EG"/>
        </w:rPr>
      </w:pPr>
      <w:r>
        <w:t>(3</w:t>
      </w:r>
      <w:r w:rsidR="00B70835" w:rsidRPr="00B70835">
        <w:rPr>
          <w:rtl/>
        </w:rPr>
        <w:tab/>
        <w:t>دعوة الاتحاد و</w:t>
      </w:r>
      <w:r w:rsidR="00B70835" w:rsidRPr="00B70835">
        <w:rPr>
          <w:rFonts w:hint="cs"/>
          <w:rtl/>
        </w:rPr>
        <w:t>ال</w:t>
      </w:r>
      <w:r w:rsidR="00B70835" w:rsidRPr="00B70835">
        <w:rPr>
          <w:rtl/>
        </w:rPr>
        <w:t xml:space="preserve">فريق </w:t>
      </w:r>
      <w:r w:rsidR="00B70835" w:rsidRPr="00B70835">
        <w:rPr>
          <w:lang w:bidi="ar-EG"/>
        </w:rPr>
        <w:t>CWG-FHR</w:t>
      </w:r>
      <w:r w:rsidR="00B70835" w:rsidRPr="00B70835">
        <w:rPr>
          <w:rtl/>
        </w:rPr>
        <w:t xml:space="preserve"> إلى إجراء مشاورات بين الدول الأعضاء وأعضاء القطاعات لفهم </w:t>
      </w:r>
      <w:r w:rsidR="00B70835" w:rsidRPr="00B70835">
        <w:rPr>
          <w:rFonts w:hint="cs"/>
          <w:rtl/>
        </w:rPr>
        <w:t>التأثيرات</w:t>
      </w:r>
      <w:r w:rsidR="00B70835" w:rsidRPr="00B70835">
        <w:rPr>
          <w:rtl/>
        </w:rPr>
        <w:t xml:space="preserve"> المحتملة لأي منهجيات جديدة لاسترداد التكاليف.</w:t>
      </w:r>
    </w:p>
    <w:p w14:paraId="65A8ECB8"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5"/>
      <w:headerReference w:type="first" r:id="rId16"/>
      <w:footerReference w:type="first" r:id="rId17"/>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8D10" w14:textId="77777777" w:rsidR="0047764B" w:rsidRDefault="0047764B" w:rsidP="006C3242">
      <w:pPr>
        <w:spacing w:before="0" w:line="240" w:lineRule="auto"/>
      </w:pPr>
      <w:r>
        <w:separator/>
      </w:r>
    </w:p>
  </w:endnote>
  <w:endnote w:type="continuationSeparator" w:id="0">
    <w:p w14:paraId="5C96D3D5" w14:textId="77777777" w:rsidR="0047764B" w:rsidRDefault="004776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85C3BCE" w14:textId="77777777" w:rsidTr="00A67F05">
      <w:trPr>
        <w:jc w:val="center"/>
      </w:trPr>
      <w:tc>
        <w:tcPr>
          <w:tcW w:w="868" w:type="pct"/>
          <w:vAlign w:val="center"/>
        </w:tcPr>
        <w:p w14:paraId="5C272B0E" w14:textId="652F5985" w:rsidR="00F50E3F" w:rsidRPr="007B0AA0" w:rsidRDefault="00B26556"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B26556">
            <w:rPr>
              <w:rFonts w:ascii="Calibri" w:hAnsi="Calibri" w:cs="Arial"/>
              <w:sz w:val="18"/>
              <w:szCs w:val="14"/>
            </w:rPr>
            <w:t>2501403</w:t>
          </w:r>
        </w:p>
      </w:tc>
      <w:tc>
        <w:tcPr>
          <w:tcW w:w="3912" w:type="pct"/>
        </w:tcPr>
        <w:p w14:paraId="65ABA328" w14:textId="6BF83A56"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26556">
            <w:rPr>
              <w:rFonts w:ascii="Calibri" w:hAnsi="Calibri" w:cs="Arial"/>
              <w:bCs/>
              <w:color w:val="7F7F7F"/>
              <w:sz w:val="18"/>
            </w:rPr>
            <w:t>98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49F2507"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56F4BDE" w14:textId="77777777" w:rsidR="006C3242" w:rsidRPr="00CD4CB4" w:rsidRDefault="006C3242" w:rsidP="00CD4CB4">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362F367" w14:textId="77777777" w:rsidTr="00A67F05">
      <w:trPr>
        <w:jc w:val="center"/>
      </w:trPr>
      <w:tc>
        <w:tcPr>
          <w:tcW w:w="1013" w:type="pct"/>
          <w:vAlign w:val="center"/>
        </w:tcPr>
        <w:p w14:paraId="7EA0A528" w14:textId="77777777" w:rsidR="007B0AA0" w:rsidRPr="00CD4CB4"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CD4CB4">
              <w:rPr>
                <w:rStyle w:val="Hyperlink"/>
                <w:sz w:val="18"/>
                <w:szCs w:val="18"/>
              </w:rPr>
              <w:t>council.itu.int/2025</w:t>
            </w:r>
          </w:hyperlink>
        </w:p>
      </w:tc>
      <w:tc>
        <w:tcPr>
          <w:tcW w:w="3768" w:type="pct"/>
        </w:tcPr>
        <w:p w14:paraId="73ECF7F9" w14:textId="0BDC9BBA"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26556">
            <w:rPr>
              <w:rFonts w:ascii="Calibri" w:hAnsi="Calibri" w:cs="Arial"/>
              <w:bCs/>
              <w:color w:val="7F7F7F"/>
              <w:sz w:val="18"/>
            </w:rPr>
            <w:t>98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4F202D1"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6208A56" w14:textId="77777777" w:rsidR="0006468A" w:rsidRPr="00CD4CB4" w:rsidRDefault="0006468A" w:rsidP="00CD4CB4">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B71EB" w14:textId="77777777" w:rsidR="0047764B" w:rsidRDefault="0047764B" w:rsidP="006C3242">
      <w:pPr>
        <w:spacing w:before="0" w:line="240" w:lineRule="auto"/>
      </w:pPr>
      <w:r>
        <w:separator/>
      </w:r>
    </w:p>
  </w:footnote>
  <w:footnote w:type="continuationSeparator" w:id="0">
    <w:p w14:paraId="068211CF" w14:textId="77777777" w:rsidR="0047764B" w:rsidRDefault="0047764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35E5"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F5FBCBF" wp14:editId="66D89652">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02AA8"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E0BA4B4" wp14:editId="3FBA49DC">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E748CA"/>
    <w:multiLevelType w:val="hybridMultilevel"/>
    <w:tmpl w:val="481A7EE2"/>
    <w:lvl w:ilvl="0" w:tplc="5CEA08AE">
      <w:numFmt w:val="bullet"/>
      <w:lvlText w:val="•"/>
      <w:lvlJc w:val="left"/>
      <w:pPr>
        <w:ind w:left="720" w:hanging="360"/>
      </w:pPr>
      <w:rPr>
        <w:rFonts w:ascii="Dubai" w:eastAsiaTheme="minorEastAsia"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3B52"/>
    <w:multiLevelType w:val="hybridMultilevel"/>
    <w:tmpl w:val="9A32F780"/>
    <w:lvl w:ilvl="0" w:tplc="A6FA6EDE">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694264"/>
    <w:multiLevelType w:val="hybridMultilevel"/>
    <w:tmpl w:val="6D9A0C9E"/>
    <w:lvl w:ilvl="0" w:tplc="93CC6184">
      <w:start w:val="10"/>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C0234"/>
    <w:multiLevelType w:val="hybridMultilevel"/>
    <w:tmpl w:val="C1A8E38C"/>
    <w:lvl w:ilvl="0" w:tplc="244A753A">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9789E"/>
    <w:multiLevelType w:val="hybridMultilevel"/>
    <w:tmpl w:val="1CD0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6695"/>
    <w:multiLevelType w:val="hybridMultilevel"/>
    <w:tmpl w:val="6318EEFE"/>
    <w:lvl w:ilvl="0" w:tplc="A75ABC46">
      <w:start w:val="2"/>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828486">
    <w:abstractNumId w:val="9"/>
  </w:num>
  <w:num w:numId="2" w16cid:durableId="2059352463">
    <w:abstractNumId w:val="7"/>
  </w:num>
  <w:num w:numId="3" w16cid:durableId="1001351193">
    <w:abstractNumId w:val="6"/>
  </w:num>
  <w:num w:numId="4" w16cid:durableId="162744058">
    <w:abstractNumId w:val="5"/>
  </w:num>
  <w:num w:numId="5" w16cid:durableId="351105684">
    <w:abstractNumId w:val="4"/>
  </w:num>
  <w:num w:numId="6" w16cid:durableId="522330730">
    <w:abstractNumId w:val="8"/>
  </w:num>
  <w:num w:numId="7" w16cid:durableId="1595280607">
    <w:abstractNumId w:val="3"/>
  </w:num>
  <w:num w:numId="8" w16cid:durableId="2063820694">
    <w:abstractNumId w:val="2"/>
  </w:num>
  <w:num w:numId="9" w16cid:durableId="609817793">
    <w:abstractNumId w:val="1"/>
  </w:num>
  <w:num w:numId="10" w16cid:durableId="1594836">
    <w:abstractNumId w:val="0"/>
  </w:num>
  <w:num w:numId="11" w16cid:durableId="2103454939">
    <w:abstractNumId w:val="10"/>
  </w:num>
  <w:num w:numId="12" w16cid:durableId="1461997687">
    <w:abstractNumId w:val="14"/>
  </w:num>
  <w:num w:numId="13" w16cid:durableId="1893691656">
    <w:abstractNumId w:val="12"/>
  </w:num>
  <w:num w:numId="14" w16cid:durableId="450898197">
    <w:abstractNumId w:val="13"/>
  </w:num>
  <w:num w:numId="15" w16cid:durableId="122116221">
    <w:abstractNumId w:val="16"/>
  </w:num>
  <w:num w:numId="16" w16cid:durableId="1406686132">
    <w:abstractNumId w:val="15"/>
  </w:num>
  <w:num w:numId="17" w16cid:durableId="968708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28"/>
    <w:rsid w:val="0001415E"/>
    <w:rsid w:val="0006468A"/>
    <w:rsid w:val="00090574"/>
    <w:rsid w:val="000C1C0E"/>
    <w:rsid w:val="000C548A"/>
    <w:rsid w:val="000D19B5"/>
    <w:rsid w:val="00191059"/>
    <w:rsid w:val="001912B6"/>
    <w:rsid w:val="0019698E"/>
    <w:rsid w:val="001A4FF3"/>
    <w:rsid w:val="001B6E2B"/>
    <w:rsid w:val="001C0169"/>
    <w:rsid w:val="001C0C21"/>
    <w:rsid w:val="001D1D50"/>
    <w:rsid w:val="001D64C7"/>
    <w:rsid w:val="001D6745"/>
    <w:rsid w:val="001E446E"/>
    <w:rsid w:val="002154EE"/>
    <w:rsid w:val="002276D2"/>
    <w:rsid w:val="0023283D"/>
    <w:rsid w:val="002516D4"/>
    <w:rsid w:val="00254393"/>
    <w:rsid w:val="0026373E"/>
    <w:rsid w:val="00271C43"/>
    <w:rsid w:val="00290728"/>
    <w:rsid w:val="002978F4"/>
    <w:rsid w:val="002B028D"/>
    <w:rsid w:val="002C3F32"/>
    <w:rsid w:val="002D0DF5"/>
    <w:rsid w:val="002E6541"/>
    <w:rsid w:val="00334924"/>
    <w:rsid w:val="003409BC"/>
    <w:rsid w:val="00357185"/>
    <w:rsid w:val="00365074"/>
    <w:rsid w:val="003712D1"/>
    <w:rsid w:val="00383829"/>
    <w:rsid w:val="00392019"/>
    <w:rsid w:val="003969AB"/>
    <w:rsid w:val="00397F90"/>
    <w:rsid w:val="003D19EA"/>
    <w:rsid w:val="003E7E66"/>
    <w:rsid w:val="003F4B29"/>
    <w:rsid w:val="00420F8A"/>
    <w:rsid w:val="0042686F"/>
    <w:rsid w:val="004317D8"/>
    <w:rsid w:val="0043260A"/>
    <w:rsid w:val="00434183"/>
    <w:rsid w:val="00443869"/>
    <w:rsid w:val="00447F32"/>
    <w:rsid w:val="0047764B"/>
    <w:rsid w:val="00491BA9"/>
    <w:rsid w:val="00494119"/>
    <w:rsid w:val="004A4701"/>
    <w:rsid w:val="004B7334"/>
    <w:rsid w:val="004C263D"/>
    <w:rsid w:val="004D22DF"/>
    <w:rsid w:val="004D422B"/>
    <w:rsid w:val="004E11DC"/>
    <w:rsid w:val="005130DE"/>
    <w:rsid w:val="00513157"/>
    <w:rsid w:val="00525DDD"/>
    <w:rsid w:val="005409AC"/>
    <w:rsid w:val="005434E0"/>
    <w:rsid w:val="005546CF"/>
    <w:rsid w:val="0055516A"/>
    <w:rsid w:val="0058491B"/>
    <w:rsid w:val="00592EA5"/>
    <w:rsid w:val="005A3170"/>
    <w:rsid w:val="00657019"/>
    <w:rsid w:val="00660DEA"/>
    <w:rsid w:val="00677396"/>
    <w:rsid w:val="0069200F"/>
    <w:rsid w:val="006A65CB"/>
    <w:rsid w:val="006B12E5"/>
    <w:rsid w:val="006C3242"/>
    <w:rsid w:val="006C7CC0"/>
    <w:rsid w:val="006F363C"/>
    <w:rsid w:val="006F63F7"/>
    <w:rsid w:val="0070127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1659"/>
    <w:rsid w:val="00874E9F"/>
    <w:rsid w:val="008A7F84"/>
    <w:rsid w:val="008B3282"/>
    <w:rsid w:val="0091702E"/>
    <w:rsid w:val="00923B0C"/>
    <w:rsid w:val="00924F46"/>
    <w:rsid w:val="00935AAC"/>
    <w:rsid w:val="0094021C"/>
    <w:rsid w:val="00952F86"/>
    <w:rsid w:val="00982B28"/>
    <w:rsid w:val="009D313F"/>
    <w:rsid w:val="009F4B8F"/>
    <w:rsid w:val="00A21A00"/>
    <w:rsid w:val="00A47A5A"/>
    <w:rsid w:val="00A63AE6"/>
    <w:rsid w:val="00A6683B"/>
    <w:rsid w:val="00A67F05"/>
    <w:rsid w:val="00A91153"/>
    <w:rsid w:val="00A97F94"/>
    <w:rsid w:val="00AA7EA2"/>
    <w:rsid w:val="00AB5A56"/>
    <w:rsid w:val="00B03099"/>
    <w:rsid w:val="00B05B6E"/>
    <w:rsid w:val="00B05BC8"/>
    <w:rsid w:val="00B06DDB"/>
    <w:rsid w:val="00B07A4C"/>
    <w:rsid w:val="00B26556"/>
    <w:rsid w:val="00B30F5E"/>
    <w:rsid w:val="00B64B47"/>
    <w:rsid w:val="00B70835"/>
    <w:rsid w:val="00B95654"/>
    <w:rsid w:val="00B97F32"/>
    <w:rsid w:val="00BA04B2"/>
    <w:rsid w:val="00BE3F1C"/>
    <w:rsid w:val="00C002DE"/>
    <w:rsid w:val="00C0602B"/>
    <w:rsid w:val="00C224DA"/>
    <w:rsid w:val="00C44BDE"/>
    <w:rsid w:val="00C53BF8"/>
    <w:rsid w:val="00C66157"/>
    <w:rsid w:val="00C674FE"/>
    <w:rsid w:val="00C67501"/>
    <w:rsid w:val="00C75633"/>
    <w:rsid w:val="00C77B94"/>
    <w:rsid w:val="00CD4CB4"/>
    <w:rsid w:val="00CE2EE1"/>
    <w:rsid w:val="00CE3349"/>
    <w:rsid w:val="00CE36E5"/>
    <w:rsid w:val="00CE4360"/>
    <w:rsid w:val="00CF27F5"/>
    <w:rsid w:val="00CF3FFD"/>
    <w:rsid w:val="00CF7008"/>
    <w:rsid w:val="00D10CCF"/>
    <w:rsid w:val="00D13941"/>
    <w:rsid w:val="00D23F5F"/>
    <w:rsid w:val="00D43F7D"/>
    <w:rsid w:val="00D54247"/>
    <w:rsid w:val="00D63735"/>
    <w:rsid w:val="00D77D0F"/>
    <w:rsid w:val="00DA1CF0"/>
    <w:rsid w:val="00DC1E02"/>
    <w:rsid w:val="00DC24B4"/>
    <w:rsid w:val="00DC5FB0"/>
    <w:rsid w:val="00DF16DC"/>
    <w:rsid w:val="00E3291F"/>
    <w:rsid w:val="00E4028B"/>
    <w:rsid w:val="00E41128"/>
    <w:rsid w:val="00E45211"/>
    <w:rsid w:val="00E473C5"/>
    <w:rsid w:val="00E61BE8"/>
    <w:rsid w:val="00E83FF1"/>
    <w:rsid w:val="00E92863"/>
    <w:rsid w:val="00E979B2"/>
    <w:rsid w:val="00EB796D"/>
    <w:rsid w:val="00EF44AF"/>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9040F"/>
  <w15:chartTrackingRefBased/>
  <w15:docId w15:val="{29917403-C8A7-42AC-997A-9E3D1E71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CD4CB4"/>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CD4CB4"/>
    <w:rPr>
      <w:rFonts w:ascii="Dubai" w:hAnsi="Dubai" w:cs="Dubai"/>
      <w:noProof/>
      <w:color w:val="5B9BD5" w:themeColor="accent1"/>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AnnexNo0">
    <w:name w:val="Annex No"/>
    <w:basedOn w:val="Normal"/>
    <w:qFormat/>
    <w:rsid w:val="00B70835"/>
    <w:pPr>
      <w:spacing w:before="360"/>
      <w:jc w:val="center"/>
    </w:pPr>
    <w:rPr>
      <w:sz w:val="26"/>
      <w:szCs w:val="26"/>
      <w:lang w:bidi="ar-SY"/>
    </w:rPr>
  </w:style>
  <w:style w:type="paragraph" w:customStyle="1" w:styleId="Annextitle0">
    <w:name w:val="Annex title"/>
    <w:basedOn w:val="AnnexNo0"/>
    <w:qFormat/>
    <w:rsid w:val="00B70835"/>
    <w:pPr>
      <w:keepNext/>
      <w:keepLines/>
      <w:spacing w:before="120" w:after="360"/>
    </w:pPr>
    <w:rPr>
      <w:b/>
      <w:bCs/>
      <w:sz w:val="28"/>
      <w:szCs w:val="28"/>
    </w:rPr>
  </w:style>
  <w:style w:type="paragraph" w:customStyle="1" w:styleId="enumlev20">
    <w:name w:val="enumlev 2"/>
    <w:basedOn w:val="Normal"/>
    <w:next w:val="Normal"/>
    <w:qFormat/>
    <w:rsid w:val="00B70835"/>
    <w:pPr>
      <w:spacing w:before="80" w:after="0"/>
      <w:ind w:left="1588" w:hanging="794"/>
      <w:outlineLvl w:val="1"/>
    </w:pPr>
  </w:style>
  <w:style w:type="character" w:customStyle="1" w:styleId="CallChar">
    <w:name w:val="Call Char"/>
    <w:basedOn w:val="DefaultParagraphFont"/>
    <w:link w:val="Call"/>
    <w:locked/>
    <w:rsid w:val="00B70835"/>
    <w:rPr>
      <w:rFonts w:ascii="Dubai" w:hAnsi="Dubai" w:cs="Dubai"/>
      <w:i/>
      <w:iCs/>
    </w:rPr>
  </w:style>
  <w:style w:type="character" w:customStyle="1" w:styleId="NormalaftertitleChar">
    <w:name w:val="Normal after title Char"/>
    <w:basedOn w:val="DefaultParagraphFont"/>
    <w:link w:val="Normalaftertitle"/>
    <w:rsid w:val="00B70835"/>
    <w:rPr>
      <w:rFonts w:ascii="Dubai" w:hAnsi="Dubai" w:cs="Dubai"/>
      <w:lang w:bidi="ar-SY"/>
    </w:rPr>
  </w:style>
  <w:style w:type="character" w:styleId="FollowedHyperlink">
    <w:name w:val="FollowedHyperlink"/>
    <w:basedOn w:val="DefaultParagraphFont"/>
    <w:uiPriority w:val="99"/>
    <w:semiHidden/>
    <w:unhideWhenUsed/>
    <w:rsid w:val="00B70835"/>
    <w:rPr>
      <w:color w:val="954F72" w:themeColor="followedHyperlink"/>
      <w:u w:val="single"/>
    </w:rPr>
  </w:style>
  <w:style w:type="paragraph" w:styleId="Revision">
    <w:name w:val="Revision"/>
    <w:hidden/>
    <w:uiPriority w:val="99"/>
    <w:semiHidden/>
    <w:rsid w:val="00B70835"/>
    <w:pPr>
      <w:spacing w:after="0" w:line="240" w:lineRule="auto"/>
    </w:pPr>
    <w:rPr>
      <w:rFonts w:ascii="Dubai" w:hAnsi="Dubai" w:cs="Dubai"/>
    </w:rPr>
  </w:style>
  <w:style w:type="paragraph" w:styleId="EndnoteText">
    <w:name w:val="endnote text"/>
    <w:basedOn w:val="Normal"/>
    <w:link w:val="EndnoteTextChar"/>
    <w:uiPriority w:val="99"/>
    <w:semiHidden/>
    <w:unhideWhenUsed/>
    <w:rsid w:val="00B7083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70835"/>
    <w:rPr>
      <w:rFonts w:ascii="Dubai" w:hAnsi="Dubai" w:cs="Dubai"/>
      <w:sz w:val="20"/>
      <w:szCs w:val="20"/>
    </w:rPr>
  </w:style>
  <w:style w:type="character" w:styleId="EndnoteReference">
    <w:name w:val="endnote reference"/>
    <w:basedOn w:val="DefaultParagraphFont"/>
    <w:uiPriority w:val="99"/>
    <w:semiHidden/>
    <w:unhideWhenUsed/>
    <w:rsid w:val="00B70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10/en" TargetMode="External"/><Relationship Id="rId13" Type="http://schemas.openxmlformats.org/officeDocument/2006/relationships/hyperlink" Target="https://www.itu.int/md/S25-CL-C-0064/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5-CL-C-0010/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006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5-CL-C-006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5-CL-C-0010/en" TargetMode="External"/><Relationship Id="rId14" Type="http://schemas.openxmlformats.org/officeDocument/2006/relationships/hyperlink" Target="https://www.itu.int/md/S25-CL-C-007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10\2501403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4</Pages>
  <Words>1361</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 Satellite network filing cost recovery and indirect costs</dc:title>
  <dc:subject>ITU Council 2025</dc:subject>
  <dc:creator>PC-28</dc:creator>
  <cp:keywords>C2025, C25, Council-25</cp:keywords>
  <dc:description/>
  <cp:lastModifiedBy>GBS</cp:lastModifiedBy>
  <cp:revision>2</cp:revision>
  <dcterms:created xsi:type="dcterms:W3CDTF">2025-06-12T11:38:00Z</dcterms:created>
  <dcterms:modified xsi:type="dcterms:W3CDTF">2025-06-12T11:38:00Z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