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E0DEB" w14:paraId="229A8788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B27DF21" w14:textId="2A96F0D8" w:rsidR="00796BD3" w:rsidRPr="008E0DEB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8E0DEB">
              <w:rPr>
                <w:b/>
                <w:lang w:val="ru-RU"/>
              </w:rPr>
              <w:t>Пункт повестки дня:</w:t>
            </w:r>
            <w:r w:rsidR="008E0DEB">
              <w:rPr>
                <w:b/>
                <w:lang w:val="en-US"/>
              </w:rPr>
              <w:t xml:space="preserve"> </w:t>
            </w:r>
            <w:r w:rsidR="008E0DEB" w:rsidRPr="008E0DEB">
              <w:rPr>
                <w:b/>
                <w:lang w:val="en-US"/>
              </w:rPr>
              <w:t>PL 2</w:t>
            </w:r>
          </w:p>
        </w:tc>
        <w:tc>
          <w:tcPr>
            <w:tcW w:w="5245" w:type="dxa"/>
          </w:tcPr>
          <w:p w14:paraId="13A7ACBD" w14:textId="76F7D6F2" w:rsidR="00796BD3" w:rsidRPr="008E0DEB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E0DEB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8E0DEB">
              <w:rPr>
                <w:b/>
                <w:lang w:val="ru-RU"/>
              </w:rPr>
              <w:t>C2</w:t>
            </w:r>
            <w:r w:rsidR="00D631AA" w:rsidRPr="008E0DEB">
              <w:rPr>
                <w:b/>
                <w:lang w:val="ru-RU"/>
              </w:rPr>
              <w:t>5</w:t>
            </w:r>
            <w:proofErr w:type="spellEnd"/>
            <w:r w:rsidR="00796BD3" w:rsidRPr="008E0DEB">
              <w:rPr>
                <w:b/>
                <w:lang w:val="ru-RU"/>
              </w:rPr>
              <w:t>/</w:t>
            </w:r>
            <w:r w:rsidR="00E87B56" w:rsidRPr="008E0DEB">
              <w:rPr>
                <w:b/>
                <w:lang w:val="ru-RU"/>
              </w:rPr>
              <w:t>97</w:t>
            </w:r>
            <w:r w:rsidR="00796BD3" w:rsidRPr="008E0DEB">
              <w:rPr>
                <w:b/>
                <w:lang w:val="ru-RU"/>
              </w:rPr>
              <w:t>-R</w:t>
            </w:r>
          </w:p>
        </w:tc>
      </w:tr>
      <w:tr w:rsidR="00796BD3" w:rsidRPr="008E0DEB" w14:paraId="0D2CACE3" w14:textId="77777777" w:rsidTr="00DA770A">
        <w:trPr>
          <w:cantSplit/>
        </w:trPr>
        <w:tc>
          <w:tcPr>
            <w:tcW w:w="3969" w:type="dxa"/>
            <w:vMerge/>
          </w:tcPr>
          <w:p w14:paraId="1D4E4114" w14:textId="77777777" w:rsidR="00796BD3" w:rsidRPr="008E0DEB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E23597B" w14:textId="54FD279D" w:rsidR="00796BD3" w:rsidRPr="008E0DEB" w:rsidRDefault="00E87B56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8E0DEB">
              <w:rPr>
                <w:b/>
                <w:lang w:val="ru-RU"/>
              </w:rPr>
              <w:t>3 июня 2025 года</w:t>
            </w:r>
          </w:p>
        </w:tc>
      </w:tr>
      <w:tr w:rsidR="00796BD3" w:rsidRPr="008E0DEB" w14:paraId="34AB38C9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05F134D8" w14:textId="77777777" w:rsidR="00796BD3" w:rsidRPr="008E0DEB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84F4AD" w14:textId="77777777" w:rsidR="00796BD3" w:rsidRPr="008E0DEB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E0DEB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8E0DEB" w14:paraId="636729FE" w14:textId="77777777" w:rsidTr="00DA770A">
        <w:trPr>
          <w:cantSplit/>
          <w:trHeight w:val="23"/>
        </w:trPr>
        <w:tc>
          <w:tcPr>
            <w:tcW w:w="3969" w:type="dxa"/>
          </w:tcPr>
          <w:p w14:paraId="27AE49BE" w14:textId="77777777" w:rsidR="00796BD3" w:rsidRPr="008E0DEB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44FC5E1" w14:textId="77777777" w:rsidR="00796BD3" w:rsidRPr="008E0DEB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8E0DEB" w14:paraId="5BFCEA40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7C2ECA3" w14:textId="5FAB5B64" w:rsidR="00796BD3" w:rsidRPr="008E0DEB" w:rsidRDefault="00E87B56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8E0DEB">
              <w:rPr>
                <w:rFonts w:cstheme="minorHAnsi"/>
                <w:sz w:val="32"/>
                <w:szCs w:val="32"/>
                <w:lang w:val="ru-RU"/>
              </w:rPr>
              <w:t>Вклад Южно-Африканской Республики</w:t>
            </w:r>
          </w:p>
        </w:tc>
      </w:tr>
      <w:tr w:rsidR="00796BD3" w:rsidRPr="00E95ACB" w14:paraId="53245F0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0B38C91" w14:textId="79BB978D" w:rsidR="00796BD3" w:rsidRPr="008E0DEB" w:rsidRDefault="00E87B56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8E0DEB">
              <w:rPr>
                <w:sz w:val="32"/>
                <w:szCs w:val="32"/>
                <w:lang w:val="ru-RU"/>
              </w:rPr>
              <w:t>Рабочая группа "Группы двадцати" по цифровой экономике в период председательства Южно-Африканской Республики</w:t>
            </w:r>
          </w:p>
        </w:tc>
      </w:tr>
      <w:tr w:rsidR="00796BD3" w:rsidRPr="00E95ACB" w14:paraId="1E085F86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55F87C2" w14:textId="77777777" w:rsidR="00796BD3" w:rsidRPr="008E0DEB" w:rsidRDefault="0033025A" w:rsidP="00E87B56">
            <w:pPr>
              <w:pStyle w:val="Headingb"/>
              <w:rPr>
                <w:lang w:val="ru-RU"/>
              </w:rPr>
            </w:pPr>
            <w:r w:rsidRPr="008E0DEB">
              <w:rPr>
                <w:lang w:val="ru-RU"/>
              </w:rPr>
              <w:t>Назначение</w:t>
            </w:r>
          </w:p>
          <w:p w14:paraId="2CE7F7FE" w14:textId="2424E261" w:rsidR="00796BD3" w:rsidRPr="008E0DEB" w:rsidRDefault="00E87B56" w:rsidP="00E95ACB">
            <w:pPr>
              <w:jc w:val="both"/>
              <w:rPr>
                <w:lang w:val="ru-RU"/>
              </w:rPr>
            </w:pPr>
            <w:r w:rsidRPr="008E0DEB">
              <w:rPr>
                <w:lang w:val="ru-RU"/>
              </w:rPr>
              <w:t>В настоящем документе описывается деятельность Рабочей группы "Группы двадцати" по цифровой экономике в период председательства Южно-Африканской Республики.</w:t>
            </w:r>
          </w:p>
          <w:p w14:paraId="5A218EEF" w14:textId="77777777" w:rsidR="00796BD3" w:rsidRPr="008E0DEB" w:rsidRDefault="0033025A" w:rsidP="00E87B56">
            <w:pPr>
              <w:pStyle w:val="Headingb"/>
              <w:rPr>
                <w:lang w:val="ru-RU"/>
              </w:rPr>
            </w:pPr>
            <w:r w:rsidRPr="008E0DEB">
              <w:rPr>
                <w:lang w:val="ru-RU"/>
              </w:rPr>
              <w:t>Необходимые действия Совета</w:t>
            </w:r>
          </w:p>
          <w:p w14:paraId="5475417D" w14:textId="7B76F4E8" w:rsidR="00796BD3" w:rsidRPr="008E0DEB" w:rsidRDefault="00E87B56" w:rsidP="00DA770A">
            <w:pPr>
              <w:rPr>
                <w:lang w:val="ru-RU"/>
              </w:rPr>
            </w:pPr>
            <w:r w:rsidRPr="008E0DEB">
              <w:rPr>
                <w:lang w:val="ru-RU"/>
              </w:rPr>
              <w:t xml:space="preserve">Совету предлагается </w:t>
            </w:r>
            <w:r w:rsidRPr="008E0DEB">
              <w:rPr>
                <w:b/>
                <w:bCs/>
                <w:lang w:val="ru-RU"/>
              </w:rPr>
              <w:t>принять к сведению</w:t>
            </w:r>
            <w:r w:rsidRPr="008E0DEB">
              <w:rPr>
                <w:lang w:val="ru-RU"/>
              </w:rPr>
              <w:t xml:space="preserve"> настоящий документ.</w:t>
            </w:r>
          </w:p>
          <w:p w14:paraId="63568A82" w14:textId="77777777" w:rsidR="00796BD3" w:rsidRPr="008E0DEB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8E0DEB">
              <w:rPr>
                <w:sz w:val="20"/>
                <w:szCs w:val="18"/>
                <w:lang w:val="ru-RU"/>
              </w:rPr>
              <w:t>__________________</w:t>
            </w:r>
          </w:p>
          <w:p w14:paraId="0A0C7A4B" w14:textId="77777777" w:rsidR="00796BD3" w:rsidRPr="008E0DEB" w:rsidRDefault="0033025A" w:rsidP="00E87B56">
            <w:pPr>
              <w:pStyle w:val="Headingb"/>
              <w:rPr>
                <w:sz w:val="26"/>
                <w:szCs w:val="26"/>
                <w:lang w:val="ru-RU"/>
              </w:rPr>
            </w:pPr>
            <w:r w:rsidRPr="008E0DEB">
              <w:rPr>
                <w:lang w:val="ru-RU"/>
              </w:rPr>
              <w:t>Справочные материалы</w:t>
            </w:r>
          </w:p>
          <w:p w14:paraId="1BBC334A" w14:textId="230B54AD" w:rsidR="00796BD3" w:rsidRPr="008E0DEB" w:rsidRDefault="00E87B56" w:rsidP="00DA770A">
            <w:pPr>
              <w:spacing w:after="160"/>
              <w:rPr>
                <w:i/>
                <w:iCs/>
                <w:lang w:val="ru-RU"/>
              </w:rPr>
            </w:pPr>
            <w:r w:rsidRPr="008E0DEB">
              <w:rPr>
                <w:i/>
                <w:iCs/>
                <w:lang w:val="ru-RU"/>
              </w:rPr>
              <w:t xml:space="preserve">Документ </w:t>
            </w:r>
            <w:r>
              <w:fldChar w:fldCharType="begin"/>
            </w:r>
            <w:r>
              <w:instrText>HYPERLINK</w:instrText>
            </w:r>
            <w:r w:rsidRPr="00E95AC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95ACB">
              <w:rPr>
                <w:lang w:val="ru-RU"/>
              </w:rPr>
              <w:instrText>://</w:instrText>
            </w:r>
            <w:r>
              <w:instrText>www</w:instrText>
            </w:r>
            <w:r w:rsidRPr="00E95ACB">
              <w:rPr>
                <w:lang w:val="ru-RU"/>
              </w:rPr>
              <w:instrText>.</w:instrText>
            </w:r>
            <w:r>
              <w:instrText>itu</w:instrText>
            </w:r>
            <w:r w:rsidRPr="00E95ACB">
              <w:rPr>
                <w:lang w:val="ru-RU"/>
              </w:rPr>
              <w:instrText>.</w:instrText>
            </w:r>
            <w:r>
              <w:instrText>int</w:instrText>
            </w:r>
            <w:r w:rsidRPr="00E95ACB">
              <w:rPr>
                <w:lang w:val="ru-RU"/>
              </w:rPr>
              <w:instrText>/</w:instrText>
            </w:r>
            <w:r>
              <w:instrText>md</w:instrText>
            </w:r>
            <w:r w:rsidRPr="00E95ACB">
              <w:rPr>
                <w:lang w:val="ru-RU"/>
              </w:rPr>
              <w:instrText>/</w:instrText>
            </w:r>
            <w:r>
              <w:instrText>S</w:instrText>
            </w:r>
            <w:r w:rsidRPr="00E95ACB">
              <w:rPr>
                <w:lang w:val="ru-RU"/>
              </w:rPr>
              <w:instrText>25-</w:instrText>
            </w:r>
            <w:r>
              <w:instrText>CL</w:instrText>
            </w:r>
            <w:r w:rsidRPr="00E95ACB">
              <w:rPr>
                <w:lang w:val="ru-RU"/>
              </w:rPr>
              <w:instrText>-</w:instrText>
            </w:r>
            <w:r>
              <w:instrText>C</w:instrText>
            </w:r>
            <w:r w:rsidRPr="00E95ACB">
              <w:rPr>
                <w:lang w:val="ru-RU"/>
              </w:rPr>
              <w:instrText>-0070/</w:instrText>
            </w:r>
            <w:r>
              <w:instrText>en</w:instrText>
            </w:r>
            <w:r w:rsidRPr="00E95ACB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8E0DEB">
              <w:rPr>
                <w:rStyle w:val="Hyperlink"/>
                <w:i/>
                <w:iCs/>
                <w:lang w:val="ru-RU"/>
              </w:rPr>
              <w:t>C25</w:t>
            </w:r>
            <w:proofErr w:type="spellEnd"/>
            <w:r w:rsidRPr="008E0DEB">
              <w:rPr>
                <w:rStyle w:val="Hyperlink"/>
                <w:i/>
                <w:iCs/>
                <w:lang w:val="ru-RU"/>
              </w:rPr>
              <w:t>/70</w:t>
            </w:r>
            <w:r>
              <w:fldChar w:fldCharType="end"/>
            </w:r>
            <w:r w:rsidRPr="008E0DEB">
              <w:rPr>
                <w:i/>
                <w:iCs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42454FA7" w14:textId="77777777" w:rsidR="00796BD3" w:rsidRPr="008E0DEB" w:rsidRDefault="00796BD3" w:rsidP="00796BD3">
      <w:pPr>
        <w:rPr>
          <w:lang w:val="ru-RU"/>
        </w:rPr>
      </w:pPr>
    </w:p>
    <w:p w14:paraId="780D8771" w14:textId="77777777" w:rsidR="00165D06" w:rsidRPr="008E0DEB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E0DEB">
        <w:rPr>
          <w:lang w:val="ru-RU"/>
        </w:rPr>
        <w:br w:type="page"/>
      </w:r>
    </w:p>
    <w:p w14:paraId="2E586A20" w14:textId="77777777" w:rsidR="00E87B56" w:rsidRPr="00E87B56" w:rsidRDefault="00E87B56" w:rsidP="00E87B56">
      <w:pPr>
        <w:pStyle w:val="Headingb"/>
        <w:rPr>
          <w:lang w:val="ru-RU"/>
        </w:rPr>
      </w:pPr>
      <w:r w:rsidRPr="00E87B56">
        <w:rPr>
          <w:lang w:val="ru-RU"/>
        </w:rPr>
        <w:lastRenderedPageBreak/>
        <w:t>Базовая информация</w:t>
      </w:r>
    </w:p>
    <w:p w14:paraId="10EC1A0E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>В предложении Южной Африки о создании Рабочей группы "Группы двадцати" по цифровой экономике нашла отражение общая для "Группы двадцати" тема: "Солидарность, равенство и устойчивость".</w:t>
      </w:r>
    </w:p>
    <w:p w14:paraId="4CB0490D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>Эта тема может стать основой для международных усилий по построению более процветающего, открытого для всех и безопасного мира, который послужит во благо будущим поколениям.</w:t>
      </w:r>
    </w:p>
    <w:p w14:paraId="21EF59E2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>В период нашего председательства деятельность "Группы двадцати" направлена на укрепление международного консенсуса по повестке дня в области развития по итогам успешной работы прошлогоднего Саммита будущего, нынешнего Обзора Всемирной встречи на высшем уровне по вопросам информационного общества за 20-летний период и недавнего председательства в "Группе двадцати" развивающихся стран, таких как Индонезия, Индия и Бразилия.</w:t>
      </w:r>
    </w:p>
    <w:p w14:paraId="7657E4A0" w14:textId="563767A2" w:rsidR="00E87B56" w:rsidRPr="00E95ACB" w:rsidRDefault="00E87B56" w:rsidP="00E87B56">
      <w:pPr>
        <w:pStyle w:val="Headingb"/>
        <w:rPr>
          <w:lang w:val="ru-RU"/>
        </w:rPr>
      </w:pPr>
      <w:r w:rsidRPr="00E87B56">
        <w:rPr>
          <w:lang w:val="ru-RU"/>
        </w:rPr>
        <w:t>Обсуждаемый вопрос</w:t>
      </w:r>
    </w:p>
    <w:p w14:paraId="24EAD0CD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 xml:space="preserve">Приоритеты нашего Председательства учитывают как национальные, так и глобальные приоритеты и способны подстегнуть социально-экономическое развитие за счет использования цифровых технологий. </w:t>
      </w:r>
    </w:p>
    <w:p w14:paraId="5F5919EB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>Первостепенная задача Рабочей группы по цифровой экономике заключается в достижении возможности установления соединений в интересах инклюзивного цифрового развития в тесном сотрудничестве с МСЭ и Банком развития юга Африки (</w:t>
      </w:r>
      <w:proofErr w:type="spellStart"/>
      <w:r w:rsidRPr="00E87B56">
        <w:rPr>
          <w:lang w:val="ru-RU"/>
        </w:rPr>
        <w:t>DBSA</w:t>
      </w:r>
      <w:proofErr w:type="spellEnd"/>
      <w:r w:rsidRPr="00E87B56">
        <w:rPr>
          <w:lang w:val="ru-RU"/>
        </w:rPr>
        <w:t xml:space="preserve">) при поддержке консультантов </w:t>
      </w:r>
      <w:proofErr w:type="spellStart"/>
      <w:r w:rsidRPr="00E87B56">
        <w:rPr>
          <w:lang w:val="ru-RU"/>
        </w:rPr>
        <w:t>BCG</w:t>
      </w:r>
      <w:proofErr w:type="spellEnd"/>
      <w:r w:rsidRPr="00E87B56">
        <w:rPr>
          <w:lang w:val="ru-RU"/>
        </w:rPr>
        <w:t xml:space="preserve"> и при участии компании Research </w:t>
      </w:r>
      <w:proofErr w:type="spellStart"/>
      <w:r w:rsidRPr="00E87B56">
        <w:rPr>
          <w:lang w:val="ru-RU"/>
        </w:rPr>
        <w:t>ICT</w:t>
      </w:r>
      <w:proofErr w:type="spellEnd"/>
      <w:r w:rsidRPr="00E87B56">
        <w:rPr>
          <w:lang w:val="ru-RU"/>
        </w:rPr>
        <w:t xml:space="preserve"> Africa. Необходимо придать новый импульс усилиям по обеспечению охвата цифровыми технологиями. Если мы этого не сделаем, то неравенство лишь углубится и усугубится с новым витком технологического развития и инвестиций. Когда мы согласовывали решения </w:t>
      </w:r>
      <w:proofErr w:type="spellStart"/>
      <w:r w:rsidRPr="00E87B56">
        <w:rPr>
          <w:lang w:val="ru-RU"/>
        </w:rPr>
        <w:t>ВВУИО</w:t>
      </w:r>
      <w:proofErr w:type="spellEnd"/>
      <w:r w:rsidRPr="00E87B56">
        <w:rPr>
          <w:lang w:val="ru-RU"/>
        </w:rPr>
        <w:t xml:space="preserve"> в 2003 году в Женеве и в 2005 году в Тунисе, мы надеялись способствовать развитию путем внедрения цифровых технологий. </w:t>
      </w:r>
    </w:p>
    <w:p w14:paraId="78443737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>Создание информационного общества, ориентированного на интересы людей, открытого для всех и направленного на развитие, требует от нас более полного представления об ограничениях и обстоятельствах, затрудняющих людям доступ в интернет, и изучения причин отсутствия у них полноценного доступа. Для этого нам нужны более точные статистические данные. Мы рассуждаем над вопросом, почему трудно получить такие данные, а также над возможными механизмами финансирования для решения этой проблемы.</w:t>
      </w:r>
    </w:p>
    <w:p w14:paraId="6C0739EE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>Мы намерены разработать структуру для оказания странам помощи в выявлении и устранении препятствий, мешающих обеспечению универсальной и реальной возможности установления соединений, подчеркивая при этом необходимость уделять более пристальное внимание факторам спроса, затрудняющим охват цифровыми технологиями. Речь идет не только о создании инфраструктуры. Стоимость мобильных телефонов, уровень доходов, стоимость данных, ценность услуг, значимых в повседневной жизни людей, и уровень образования – все это влияет на обеспечение полноценного доступа в интернет и его использование.</w:t>
      </w:r>
    </w:p>
    <w:p w14:paraId="6C465086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>В качестве второго приоритетного направления мы предлагаем создать структуру для измерения общественной ценности цифровой инфраструктуры общего пользования (</w:t>
      </w:r>
      <w:proofErr w:type="spellStart"/>
      <w:r w:rsidRPr="00E87B56">
        <w:rPr>
          <w:lang w:val="ru-RU"/>
        </w:rPr>
        <w:t>DPI</w:t>
      </w:r>
      <w:proofErr w:type="spellEnd"/>
      <w:r w:rsidRPr="00E87B56">
        <w:rPr>
          <w:lang w:val="ru-RU"/>
        </w:rPr>
        <w:t xml:space="preserve">), выходящую за рамки весьма ограничивающих традиционных подходов, которые применяются для определения выгоды от инвестиций в инфраструктуру. Эта методика также может служить ориентиром при разработке решений </w:t>
      </w:r>
      <w:proofErr w:type="spellStart"/>
      <w:r w:rsidRPr="00E87B56">
        <w:rPr>
          <w:lang w:val="ru-RU"/>
        </w:rPr>
        <w:t>DPI</w:t>
      </w:r>
      <w:proofErr w:type="spellEnd"/>
      <w:r w:rsidRPr="00E87B56">
        <w:rPr>
          <w:lang w:val="ru-RU"/>
        </w:rPr>
        <w:t xml:space="preserve">, с тем чтобы увеличить потенциальное положительное влияние </w:t>
      </w:r>
      <w:proofErr w:type="spellStart"/>
      <w:r w:rsidRPr="00E87B56">
        <w:rPr>
          <w:lang w:val="ru-RU"/>
        </w:rPr>
        <w:t>DPI</w:t>
      </w:r>
      <w:proofErr w:type="spellEnd"/>
      <w:r w:rsidRPr="00E87B56">
        <w:rPr>
          <w:lang w:val="ru-RU"/>
        </w:rPr>
        <w:t xml:space="preserve">. Такой подход способен помочь правительствам лучше оценивать преимущества, смягчать риски и обосновывать целесообразность инвестиций в развитие экосистемы </w:t>
      </w:r>
      <w:proofErr w:type="spellStart"/>
      <w:r w:rsidRPr="00E87B56">
        <w:rPr>
          <w:lang w:val="ru-RU"/>
        </w:rPr>
        <w:t>DPI</w:t>
      </w:r>
      <w:proofErr w:type="spellEnd"/>
      <w:r w:rsidRPr="00E87B56">
        <w:rPr>
          <w:lang w:val="ru-RU"/>
        </w:rPr>
        <w:t xml:space="preserve"> в контексте своих стран. Для поддержки этих усилий мы также рассматриваем Интегрированные руководящие принципы управления для </w:t>
      </w:r>
      <w:proofErr w:type="spellStart"/>
      <w:r w:rsidRPr="00E87B56">
        <w:rPr>
          <w:lang w:val="ru-RU"/>
        </w:rPr>
        <w:t>DPI</w:t>
      </w:r>
      <w:proofErr w:type="spellEnd"/>
      <w:r w:rsidRPr="00E87B56">
        <w:rPr>
          <w:lang w:val="ru-RU"/>
        </w:rPr>
        <w:t xml:space="preserve">, в соответствии с ожиданиями предыдущих председательств, чтобы обеспечить правозащитный подход при разработке решений </w:t>
      </w:r>
      <w:proofErr w:type="spellStart"/>
      <w:r w:rsidRPr="00E87B56">
        <w:rPr>
          <w:lang w:val="ru-RU"/>
        </w:rPr>
        <w:t>DPI</w:t>
      </w:r>
      <w:proofErr w:type="spellEnd"/>
      <w:r w:rsidRPr="00E87B56">
        <w:rPr>
          <w:lang w:val="ru-RU"/>
        </w:rPr>
        <w:t xml:space="preserve">. По </w:t>
      </w:r>
      <w:r w:rsidRPr="00E87B56">
        <w:rPr>
          <w:lang w:val="ru-RU"/>
        </w:rPr>
        <w:lastRenderedPageBreak/>
        <w:t xml:space="preserve">мере продвижения этой работы мы тесно сотрудничали с МСЭ, ПРООН, </w:t>
      </w:r>
      <w:proofErr w:type="spellStart"/>
      <w:r w:rsidRPr="00E87B56">
        <w:rPr>
          <w:lang w:val="ru-RU"/>
        </w:rPr>
        <w:t>DIAL</w:t>
      </w:r>
      <w:proofErr w:type="spellEnd"/>
      <w:r w:rsidRPr="00E87B56">
        <w:rPr>
          <w:lang w:val="ru-RU"/>
        </w:rPr>
        <w:t xml:space="preserve">, Университетским колледжем Лондона, Кембриджским университетом и Research </w:t>
      </w:r>
      <w:proofErr w:type="spellStart"/>
      <w:r w:rsidRPr="00E87B56">
        <w:rPr>
          <w:lang w:val="ru-RU"/>
        </w:rPr>
        <w:t>ICT</w:t>
      </w:r>
      <w:proofErr w:type="spellEnd"/>
      <w:r w:rsidRPr="00E87B56">
        <w:rPr>
          <w:lang w:val="ru-RU"/>
        </w:rPr>
        <w:t xml:space="preserve"> Africa.</w:t>
      </w:r>
    </w:p>
    <w:p w14:paraId="608C28A0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 xml:space="preserve">Мы также объявили конкурс инноваций "Группы двадцати" в сфере </w:t>
      </w:r>
      <w:proofErr w:type="spellStart"/>
      <w:r w:rsidRPr="00E87B56">
        <w:rPr>
          <w:lang w:val="ru-RU"/>
        </w:rPr>
        <w:t>DPI</w:t>
      </w:r>
      <w:proofErr w:type="spellEnd"/>
      <w:r w:rsidRPr="00E87B56">
        <w:rPr>
          <w:lang w:val="ru-RU"/>
        </w:rPr>
        <w:t xml:space="preserve"> в "Группе двадцати" и в Африке через Африканский союз и уже получили несколько интересных откликов. На нем будут представлены свежие инновации в области внедрения </w:t>
      </w:r>
      <w:proofErr w:type="spellStart"/>
      <w:r w:rsidRPr="00E87B56">
        <w:rPr>
          <w:lang w:val="ru-RU"/>
        </w:rPr>
        <w:t>DPI</w:t>
      </w:r>
      <w:proofErr w:type="spellEnd"/>
      <w:r w:rsidRPr="00E87B56">
        <w:rPr>
          <w:lang w:val="ru-RU"/>
        </w:rPr>
        <w:t xml:space="preserve">. Мы ведем работу в сфере </w:t>
      </w:r>
      <w:proofErr w:type="spellStart"/>
      <w:r w:rsidRPr="00E87B56">
        <w:rPr>
          <w:lang w:val="ru-RU"/>
        </w:rPr>
        <w:t>DPI</w:t>
      </w:r>
      <w:proofErr w:type="spellEnd"/>
      <w:r w:rsidRPr="00E87B56">
        <w:rPr>
          <w:lang w:val="ru-RU"/>
        </w:rPr>
        <w:t xml:space="preserve"> в партнерстве с Африканским союзом (АС), а также МСЭ и ПРООН.</w:t>
      </w:r>
    </w:p>
    <w:p w14:paraId="7BFF7D61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 xml:space="preserve">В настоящее время мы разрабатываем документ о развитии ориентированных на будущее инновационных экосистем для средних и малых предприятий, призванный помочь </w:t>
      </w:r>
      <w:proofErr w:type="spellStart"/>
      <w:r w:rsidRPr="00E87B56">
        <w:rPr>
          <w:lang w:val="ru-RU"/>
        </w:rPr>
        <w:t>ММСП</w:t>
      </w:r>
      <w:proofErr w:type="spellEnd"/>
      <w:r w:rsidRPr="00E87B56">
        <w:rPr>
          <w:lang w:val="ru-RU"/>
        </w:rPr>
        <w:t xml:space="preserve"> адаптироваться к будущим технологическим тенденциям. Это потребовало взаимодействия между МСЭ, коллегами из </w:t>
      </w:r>
      <w:proofErr w:type="spellStart"/>
      <w:r w:rsidRPr="00E87B56">
        <w:rPr>
          <w:lang w:val="ru-RU"/>
        </w:rPr>
        <w:t>DCDT</w:t>
      </w:r>
      <w:proofErr w:type="spellEnd"/>
      <w:r w:rsidRPr="00E87B56">
        <w:rPr>
          <w:lang w:val="ru-RU"/>
        </w:rPr>
        <w:t>, Советом по научно-промышленным исследованиям (</w:t>
      </w:r>
      <w:proofErr w:type="spellStart"/>
      <w:r w:rsidRPr="00E87B56">
        <w:rPr>
          <w:lang w:val="ru-RU"/>
        </w:rPr>
        <w:t>CSIR</w:t>
      </w:r>
      <w:proofErr w:type="spellEnd"/>
      <w:r w:rsidRPr="00E87B56">
        <w:rPr>
          <w:lang w:val="ru-RU"/>
        </w:rPr>
        <w:t>) и Департаментом науки, технологий и инноваций (</w:t>
      </w:r>
      <w:proofErr w:type="spellStart"/>
      <w:r w:rsidRPr="00E87B56">
        <w:rPr>
          <w:lang w:val="ru-RU"/>
        </w:rPr>
        <w:t>DSTI</w:t>
      </w:r>
      <w:proofErr w:type="spellEnd"/>
      <w:r w:rsidRPr="00E87B56">
        <w:rPr>
          <w:lang w:val="ru-RU"/>
        </w:rPr>
        <w:t xml:space="preserve">), а также рядом </w:t>
      </w:r>
      <w:proofErr w:type="spellStart"/>
      <w:r w:rsidRPr="00E87B56">
        <w:rPr>
          <w:lang w:val="ru-RU"/>
        </w:rPr>
        <w:t>ММСП</w:t>
      </w:r>
      <w:proofErr w:type="spellEnd"/>
      <w:r w:rsidRPr="00E87B56">
        <w:rPr>
          <w:lang w:val="ru-RU"/>
        </w:rPr>
        <w:t xml:space="preserve"> в рамках южноафриканской программы </w:t>
      </w:r>
      <w:proofErr w:type="spellStart"/>
      <w:r w:rsidRPr="00E87B56">
        <w:rPr>
          <w:lang w:val="ru-RU"/>
        </w:rPr>
        <w:t>Digitech</w:t>
      </w:r>
      <w:proofErr w:type="spellEnd"/>
      <w:r w:rsidRPr="00E87B56">
        <w:rPr>
          <w:lang w:val="ru-RU"/>
        </w:rPr>
        <w:t xml:space="preserve"> и других правительственных программ. В заключительном отчете будут представлены рекомендации по ключевым элементам ориентированной на будущее экосистемы цифровых инноваций для </w:t>
      </w:r>
      <w:proofErr w:type="spellStart"/>
      <w:r w:rsidRPr="00E87B56">
        <w:rPr>
          <w:lang w:val="ru-RU"/>
        </w:rPr>
        <w:t>ММСП</w:t>
      </w:r>
      <w:proofErr w:type="spellEnd"/>
      <w:r w:rsidRPr="00E87B56">
        <w:rPr>
          <w:lang w:val="ru-RU"/>
        </w:rPr>
        <w:t xml:space="preserve"> для рассмотрения в рамках "Группы двадцати". Впоследствии мы сделали дополнительный акцент на финансирование инновационных цифровых </w:t>
      </w:r>
      <w:proofErr w:type="spellStart"/>
      <w:r w:rsidRPr="00E87B56">
        <w:rPr>
          <w:lang w:val="ru-RU"/>
        </w:rPr>
        <w:t>ММСП</w:t>
      </w:r>
      <w:proofErr w:type="spellEnd"/>
      <w:r w:rsidRPr="00E87B56">
        <w:rPr>
          <w:lang w:val="ru-RU"/>
        </w:rPr>
        <w:t>.</w:t>
      </w:r>
    </w:p>
    <w:p w14:paraId="1379EABA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 xml:space="preserve">Кроме того, мы анализируем результаты исследований, проведенных Всемирным банком и Research </w:t>
      </w:r>
      <w:proofErr w:type="spellStart"/>
      <w:r w:rsidRPr="00E87B56">
        <w:rPr>
          <w:lang w:val="ru-RU"/>
        </w:rPr>
        <w:t>ICT</w:t>
      </w:r>
      <w:proofErr w:type="spellEnd"/>
      <w:r w:rsidRPr="00E87B56">
        <w:rPr>
          <w:lang w:val="ru-RU"/>
        </w:rPr>
        <w:t xml:space="preserve"> Africa, по вопросу о включении микропредприятий в цифровую экономику для укрепления равенства и содействия установлению соединений. В странах Африки к югу от Сахары микропредприятия составляют основу многих источников средств к существованию, но, несмотря на их доказанную высокую жизнеспособность и инновационный характер, в экономическом плане они подвергаются серьезной маргинализации, ограничивающей их рост и устойчивость.</w:t>
      </w:r>
    </w:p>
    <w:p w14:paraId="472E980B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>Благодаря развитию технологий смартфонов многие микропредприятия получили доступ в интернет. Это открыло новые возможности за счет доступа к информации, установления контактов с клиентами и поставщиками, а также использования бизнес-инструментов для повышения производительности и прибыльности. Однако эти преимущества могут быть реализованы лишь при условии, что микропредприятия располагают информацией об имеющихся возможностях, а также необходимыми ресурсами, для того чтобы суметь ими воспользоваться. Их потенциал по избавлению сообществ от нищеты остается во многом нереализованным до тех пор, пока они не могут полноценно участвовать в цифровой экономике: речь идет и о приложениях, разработанных с учетом потребностей тех, кто в настоящее время лишен доступа к цифровым технологиям.</w:t>
      </w:r>
    </w:p>
    <w:p w14:paraId="618BB9DB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>Мы совместно с ЮНЕСКО работаем над отчетом и комплектом материалов в целях борьбы с неравенством, которое может возникнуть или усугубиться вследствие использования моделей ИИ из-за проблем проектирования или нерепрезентативных данных для обучения.</w:t>
      </w:r>
    </w:p>
    <w:p w14:paraId="4865FAEC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 xml:space="preserve">Кроме того, компания Research </w:t>
      </w:r>
      <w:proofErr w:type="spellStart"/>
      <w:r w:rsidRPr="00E87B56">
        <w:rPr>
          <w:lang w:val="ru-RU"/>
        </w:rPr>
        <w:t>ICT</w:t>
      </w:r>
      <w:proofErr w:type="spellEnd"/>
      <w:r w:rsidRPr="00E87B56">
        <w:rPr>
          <w:lang w:val="ru-RU"/>
        </w:rPr>
        <w:t xml:space="preserve"> Africa и Университет Претории подготовили документ о руководящих принципах в области доступа к данным для </w:t>
      </w:r>
      <w:proofErr w:type="spellStart"/>
      <w:r w:rsidRPr="00E87B56">
        <w:rPr>
          <w:lang w:val="ru-RU"/>
        </w:rPr>
        <w:t>ММСП</w:t>
      </w:r>
      <w:proofErr w:type="spellEnd"/>
      <w:r w:rsidRPr="00E87B56">
        <w:rPr>
          <w:lang w:val="ru-RU"/>
        </w:rPr>
        <w:t xml:space="preserve"> и исследователей, включая содействие обмену данными с государственным и частным секторами. В этом контексте языковые модели для цифровых языков могут оказаться весьма полезны многим развивающимся странам и способствовать охвату цифровыми технологиями, но для этого потребуется доступ к данным в целях обучения моделей ИИ. Такие модели на местных языках могут принести огромную пользу при оказании любых видов общественных услуг как в государственном, так и в частном секторах.</w:t>
      </w:r>
    </w:p>
    <w:p w14:paraId="0B580CF3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 xml:space="preserve">Мы также рассматриваем возможность организации семинара-практикума по генеративному ИИ и его совершенствующейся способности производить высококачественные "глубокие подделки", его влиянию на достоверность информации, а также рассмотрению возможных рекомендаций. Это мероприятие станет ответом на растущий объем </w:t>
      </w:r>
      <w:proofErr w:type="spellStart"/>
      <w:r w:rsidRPr="00E87B56">
        <w:rPr>
          <w:lang w:val="ru-RU"/>
        </w:rPr>
        <w:t>дипфейковых</w:t>
      </w:r>
      <w:proofErr w:type="spellEnd"/>
      <w:r w:rsidRPr="00E87B56">
        <w:rPr>
          <w:lang w:val="ru-RU"/>
        </w:rPr>
        <w:t xml:space="preserve"> материалов, </w:t>
      </w:r>
      <w:r w:rsidRPr="00E87B56">
        <w:rPr>
          <w:lang w:val="ru-RU"/>
        </w:rPr>
        <w:lastRenderedPageBreak/>
        <w:t>распространяемых в социальных сетях. Члены "Группы двадцати" высказались в поддержку проведения этого семинара-практикума.</w:t>
      </w:r>
    </w:p>
    <w:p w14:paraId="4BF57841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 xml:space="preserve">С учетом растущей приоритетности мер по борьбе с доминированием искусственного интеллекта и его потенциальным воздействием на развитие создается Целевая группа по ИИ, управлению данными и инновациям в интересах устойчивого развития. Очевидно, что Африка и другие развивающиеся страны рискуют еще больше отстать в процессе эволюции технологий, если на континенте не будут приняты меры по созданию потенциала и стимулированию инвестиций. Одновременно потенциал необходимо укреплять и для того, чтобы защитить благосостояние человека от растущих опасностей, связанных с ИИ и другими технологичными решениями. </w:t>
      </w:r>
    </w:p>
    <w:p w14:paraId="23133560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 xml:space="preserve">В этих целях в Южно-Африканской Республике состоится конференция "ИИ для Африки" для мобилизации целевой международной поддержки развития ИИ в Африке в соответствии с существующими программами АС. Мероприятие запланировано на </w:t>
      </w:r>
      <w:proofErr w:type="gramStart"/>
      <w:r w:rsidRPr="00E87B56">
        <w:rPr>
          <w:lang w:val="ru-RU"/>
        </w:rPr>
        <w:t>3−5</w:t>
      </w:r>
      <w:proofErr w:type="gramEnd"/>
      <w:r w:rsidRPr="00E87B56">
        <w:rPr>
          <w:lang w:val="ru-RU"/>
        </w:rPr>
        <w:t xml:space="preserve"> сентября 2025 года, и должно стать флагманским событием нашего председательства. Он послужит связующим звеном между работой "Группы двадцати" и задачами, стоящими перед Африканским континентом, и позволит мобилизовать ресурсы для поддержки реализации стратегии АС в области искусственного интеллекта и Основ политики АС в области данных.</w:t>
      </w:r>
    </w:p>
    <w:p w14:paraId="32F35C99" w14:textId="77777777" w:rsidR="00E87B56" w:rsidRPr="008E0DEB" w:rsidRDefault="00E87B56" w:rsidP="00E95ACB">
      <w:pPr>
        <w:pStyle w:val="Headingb"/>
        <w:jc w:val="both"/>
        <w:rPr>
          <w:lang w:val="ru-RU"/>
        </w:rPr>
      </w:pPr>
      <w:r w:rsidRPr="008E0DEB">
        <w:rPr>
          <w:lang w:val="ru-RU"/>
        </w:rPr>
        <w:t xml:space="preserve">Заключение </w:t>
      </w:r>
    </w:p>
    <w:p w14:paraId="3D342051" w14:textId="77777777" w:rsidR="00E87B56" w:rsidRPr="00E87B56" w:rsidRDefault="00E87B56" w:rsidP="00E95ACB">
      <w:pPr>
        <w:jc w:val="both"/>
        <w:rPr>
          <w:lang w:val="ru-RU"/>
        </w:rPr>
      </w:pPr>
      <w:r w:rsidRPr="00E87B56">
        <w:rPr>
          <w:lang w:val="ru-RU"/>
        </w:rPr>
        <w:t>Мощную поддержку нам оказал МСЭ, который даже помог подготовить наших секретарей для редактирования в режиме реального времени. Кроме того, мы получили положительный отклик на наши предложения от членов "Группы двадцати".</w:t>
      </w:r>
    </w:p>
    <w:p w14:paraId="62D91C5D" w14:textId="77777777" w:rsidR="00796BD3" w:rsidRPr="008E0DEB" w:rsidRDefault="00C462C5" w:rsidP="00E87B56">
      <w:pPr>
        <w:spacing w:before="720"/>
        <w:jc w:val="center"/>
        <w:rPr>
          <w:lang w:val="ru-RU"/>
        </w:rPr>
      </w:pPr>
      <w:r w:rsidRPr="008E0DEB">
        <w:rPr>
          <w:lang w:val="ru-RU"/>
        </w:rPr>
        <w:t>______________</w:t>
      </w:r>
    </w:p>
    <w:sectPr w:rsidR="00796BD3" w:rsidRPr="008E0DEB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E9F8A" w14:textId="77777777" w:rsidR="00E87B56" w:rsidRDefault="00E87B56">
      <w:r>
        <w:separator/>
      </w:r>
    </w:p>
  </w:endnote>
  <w:endnote w:type="continuationSeparator" w:id="0">
    <w:p w14:paraId="1B13138A" w14:textId="77777777" w:rsidR="00E87B56" w:rsidRDefault="00E8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05F17C2" w14:textId="77777777" w:rsidTr="00E31DCE">
      <w:trPr>
        <w:jc w:val="center"/>
      </w:trPr>
      <w:tc>
        <w:tcPr>
          <w:tcW w:w="1803" w:type="dxa"/>
          <w:vAlign w:val="center"/>
        </w:tcPr>
        <w:p w14:paraId="37766FE9" w14:textId="6BD21D42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5B01D41" w14:textId="084F7898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E87B56">
            <w:rPr>
              <w:bCs/>
            </w:rPr>
            <w:t>97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B1F62D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D1161B4" w14:textId="77777777" w:rsidTr="00E31DCE">
      <w:trPr>
        <w:jc w:val="center"/>
      </w:trPr>
      <w:tc>
        <w:tcPr>
          <w:tcW w:w="1803" w:type="dxa"/>
          <w:vAlign w:val="center"/>
        </w:tcPr>
        <w:p w14:paraId="177BECD5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0839662C" w14:textId="14A57317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210493">
            <w:rPr>
              <w:bCs/>
            </w:rPr>
            <w:t>97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EDE0750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9389F" w14:textId="77777777" w:rsidR="00E87B56" w:rsidRDefault="00E87B56">
      <w:r>
        <w:t>____________________</w:t>
      </w:r>
    </w:p>
  </w:footnote>
  <w:footnote w:type="continuationSeparator" w:id="0">
    <w:p w14:paraId="0A1CE75C" w14:textId="77777777" w:rsidR="00E87B56" w:rsidRDefault="00E8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25C3DF40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3A6B2658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9595CA0" wp14:editId="64432EF4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BAAE299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665861A8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D35C3" wp14:editId="78B43BA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E5D6B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56"/>
    <w:rsid w:val="00005BE0"/>
    <w:rsid w:val="0002183E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10493"/>
    <w:rsid w:val="00225368"/>
    <w:rsid w:val="00227FF0"/>
    <w:rsid w:val="00291EB6"/>
    <w:rsid w:val="002C3F32"/>
    <w:rsid w:val="002D2F57"/>
    <w:rsid w:val="002D48C5"/>
    <w:rsid w:val="0033025A"/>
    <w:rsid w:val="00345D2A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D7E7A"/>
    <w:rsid w:val="00515795"/>
    <w:rsid w:val="005A64D5"/>
    <w:rsid w:val="005B3DEC"/>
    <w:rsid w:val="005C341E"/>
    <w:rsid w:val="00601994"/>
    <w:rsid w:val="00660449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E0DEB"/>
    <w:rsid w:val="008F19C8"/>
    <w:rsid w:val="008F7C2C"/>
    <w:rsid w:val="00940E96"/>
    <w:rsid w:val="00950A82"/>
    <w:rsid w:val="009A2BB2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462C5"/>
    <w:rsid w:val="00C63B3F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87B56"/>
    <w:rsid w:val="00E95ACB"/>
    <w:rsid w:val="00EB4FCB"/>
    <w:rsid w:val="00EB69EC"/>
    <w:rsid w:val="00EC6BC5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B8FB34"/>
  <w15:docId w15:val="{CF266FEC-8A40-438F-9F1A-ECD84D8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5ACB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87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4</Pages>
  <Words>1200</Words>
  <Characters>8264</Characters>
  <Application>Microsoft Office Word</Application>
  <DocSecurity>0</DocSecurity>
  <Lines>138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Africa's G20 Digital Economy Working Group</vt:lpstr>
    </vt:vector>
  </TitlesOfParts>
  <Manager>General Secretariat - Pool</Manager>
  <Company>International Telecommunication Union (ITU)</Company>
  <LinksUpToDate>false</LinksUpToDate>
  <CharactersWithSpaces>9434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Africa's G20 Digital Economy Working Group</dc:title>
  <dc:subject>ITU Council 2025</dc:subject>
  <cp:keywords>C2025, C25, Council-25</cp:keywords>
  <dc:description/>
  <cp:lastPrinted>2006-03-28T16:12:00Z</cp:lastPrinted>
  <dcterms:created xsi:type="dcterms:W3CDTF">2025-06-17T16:18:00Z</dcterms:created>
  <dcterms:modified xsi:type="dcterms:W3CDTF">2025-06-17T16:18:00Z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