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975F7" w:rsidRPr="00BB6FD8" w14:paraId="4A12A0C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2FE2D75" w14:textId="600D9430" w:rsidR="004975F7" w:rsidRPr="00BB6FD8" w:rsidRDefault="004975F7" w:rsidP="004975F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3F1060">
              <w:rPr>
                <w:b/>
                <w:lang w:val="es-ES"/>
              </w:rPr>
              <w:t>Punto del orden del día: ADM 1</w:t>
            </w:r>
          </w:p>
        </w:tc>
        <w:tc>
          <w:tcPr>
            <w:tcW w:w="5245" w:type="dxa"/>
          </w:tcPr>
          <w:p w14:paraId="2C22B1FA" w14:textId="22C28271" w:rsidR="004975F7" w:rsidRPr="00BB6FD8" w:rsidRDefault="004975F7" w:rsidP="004975F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</w:t>
            </w:r>
            <w:r>
              <w:rPr>
                <w:b/>
              </w:rPr>
              <w:t>o</w:t>
            </w:r>
            <w:r w:rsidRPr="00C0458D">
              <w:rPr>
                <w:b/>
              </w:rPr>
              <w:t xml:space="preserve"> C25/</w:t>
            </w:r>
            <w:r>
              <w:rPr>
                <w:b/>
              </w:rPr>
              <w:t>95</w:t>
            </w:r>
            <w:r w:rsidRPr="00C0458D">
              <w:rPr>
                <w:b/>
              </w:rPr>
              <w:t>-</w:t>
            </w:r>
            <w:r>
              <w:rPr>
                <w:b/>
              </w:rPr>
              <w:t>S</w:t>
            </w:r>
          </w:p>
        </w:tc>
      </w:tr>
      <w:tr w:rsidR="004975F7" w:rsidRPr="00666D09" w14:paraId="3C86806B" w14:textId="77777777" w:rsidTr="00C538FC">
        <w:trPr>
          <w:cantSplit/>
        </w:trPr>
        <w:tc>
          <w:tcPr>
            <w:tcW w:w="3969" w:type="dxa"/>
            <w:vMerge/>
          </w:tcPr>
          <w:p w14:paraId="47AFE8A2" w14:textId="77777777" w:rsidR="004975F7" w:rsidRPr="00BB6FD8" w:rsidRDefault="004975F7" w:rsidP="004975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27C7AF9" w14:textId="3FF5FDF2" w:rsidR="004975F7" w:rsidRPr="00666D09" w:rsidRDefault="004975F7" w:rsidP="004975F7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3 de junio de 2025</w:t>
            </w:r>
          </w:p>
        </w:tc>
      </w:tr>
      <w:tr w:rsidR="004975F7" w:rsidRPr="00BB6FD8" w14:paraId="4DF2443C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EF95A2C" w14:textId="77777777" w:rsidR="004975F7" w:rsidRPr="00666D09" w:rsidRDefault="004975F7" w:rsidP="004975F7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0F050089" w14:textId="5BCEDC35" w:rsidR="004975F7" w:rsidRPr="00BB6FD8" w:rsidRDefault="004975F7" w:rsidP="004975F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0458D">
              <w:rPr>
                <w:b/>
              </w:rPr>
              <w:t xml:space="preserve">Original: </w:t>
            </w:r>
            <w:r>
              <w:rPr>
                <w:b/>
              </w:rPr>
              <w:t>inglés</w:t>
            </w:r>
          </w:p>
        </w:tc>
      </w:tr>
      <w:tr w:rsidR="00FE57F6" w:rsidRPr="00BB6FD8" w14:paraId="6EE43429" w14:textId="77777777" w:rsidTr="00C538FC">
        <w:trPr>
          <w:cantSplit/>
          <w:trHeight w:val="23"/>
        </w:trPr>
        <w:tc>
          <w:tcPr>
            <w:tcW w:w="3969" w:type="dxa"/>
          </w:tcPr>
          <w:p w14:paraId="6230A20A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C53737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1DE06F2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3B1FA69" w14:textId="4D625523" w:rsidR="00FE57F6" w:rsidRPr="004975F7" w:rsidRDefault="004975F7" w:rsidP="00C538FC">
            <w:pPr>
              <w:pStyle w:val="Source"/>
              <w:jc w:val="left"/>
              <w:rPr>
                <w:rFonts w:cstheme="minorHAnsi"/>
                <w:sz w:val="34"/>
                <w:szCs w:val="34"/>
              </w:rPr>
            </w:pPr>
            <w:r w:rsidRPr="004975F7">
              <w:rPr>
                <w:rFonts w:cstheme="minorHAnsi"/>
                <w:sz w:val="34"/>
                <w:szCs w:val="34"/>
              </w:rPr>
              <w:t>Contribución de Egipto (República Árabe de), Kenya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4975F7">
              <w:rPr>
                <w:rFonts w:cstheme="minorHAnsi"/>
                <w:sz w:val="34"/>
                <w:szCs w:val="34"/>
              </w:rPr>
              <w:t>(República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4975F7">
              <w:rPr>
                <w:rFonts w:cstheme="minorHAnsi"/>
                <w:sz w:val="34"/>
                <w:szCs w:val="34"/>
              </w:rPr>
              <w:t>de), Uganda (República de), Rwanda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4975F7">
              <w:rPr>
                <w:rFonts w:cstheme="minorHAnsi"/>
                <w:sz w:val="34"/>
                <w:szCs w:val="34"/>
              </w:rPr>
              <w:t>(República de), Sudáfrica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4975F7">
              <w:rPr>
                <w:rFonts w:cstheme="minorHAnsi"/>
                <w:sz w:val="34"/>
                <w:szCs w:val="34"/>
              </w:rPr>
              <w:t>(República de), Senegal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4975F7">
              <w:rPr>
                <w:rFonts w:cstheme="minorHAnsi"/>
                <w:sz w:val="34"/>
                <w:szCs w:val="34"/>
              </w:rPr>
              <w:t>(República de), Tanzanía (República</w:t>
            </w:r>
            <w:r>
              <w:rPr>
                <w:rFonts w:cstheme="minorHAnsi"/>
                <w:sz w:val="34"/>
                <w:szCs w:val="34"/>
              </w:rPr>
              <w:t xml:space="preserve"> </w:t>
            </w:r>
            <w:r w:rsidRPr="004975F7">
              <w:rPr>
                <w:rFonts w:cstheme="minorHAnsi"/>
                <w:sz w:val="34"/>
                <w:szCs w:val="34"/>
              </w:rPr>
              <w:t>Unida de) y Túnez</w:t>
            </w:r>
          </w:p>
        </w:tc>
      </w:tr>
      <w:tr w:rsidR="00FE57F6" w:rsidRPr="00BB6FD8" w14:paraId="5336F33C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615F3CE" w14:textId="321D4274" w:rsidR="00FE57F6" w:rsidRPr="00F92BED" w:rsidRDefault="004975F7" w:rsidP="00F92BED">
            <w:pPr>
              <w:pStyle w:val="Subtitle"/>
              <w:framePr w:hSpace="0" w:wrap="auto" w:vAnchor="margin" w:hAnchor="text" w:xAlign="left" w:yAlign="inline"/>
            </w:pPr>
            <w:r w:rsidRPr="003F1060">
              <w:rPr>
                <w:lang w:val="es-ES"/>
              </w:rPr>
              <w:t xml:space="preserve">REDUCCIÓN DE LA CARGA FINANCIERA PARA LOS PAÍSES </w:t>
            </w:r>
            <w:r>
              <w:rPr>
                <w:lang w:val="es-ES"/>
              </w:rPr>
              <w:t>ANFITRIONES DE CONFERENCIAS, REUNIONES Y ACTIVIDADES DE LA UIT</w:t>
            </w:r>
          </w:p>
        </w:tc>
      </w:tr>
      <w:tr w:rsidR="00FE57F6" w:rsidRPr="00BB6FD8" w14:paraId="4AF5BC42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E1E36FC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570607A0" w14:textId="77777777" w:rsidR="004975F7" w:rsidRPr="003F1060" w:rsidRDefault="004975F7" w:rsidP="004975F7">
            <w:pPr>
              <w:jc w:val="both"/>
              <w:rPr>
                <w:lang w:val="es-ES"/>
              </w:rPr>
            </w:pPr>
            <w:r w:rsidRPr="003F1060">
              <w:rPr>
                <w:lang w:val="es-ES"/>
              </w:rPr>
              <w:t>En esta propuesta se presentan medidas prácticas para reducir los costes para los países anfitriones, manteniendo al mismo tiempo la calidad e inclus</w:t>
            </w:r>
            <w:r>
              <w:rPr>
                <w:lang w:val="es-ES"/>
              </w:rPr>
              <w:t>ividad de los eventos de la UIT</w:t>
            </w:r>
            <w:r w:rsidRPr="003F1060">
              <w:rPr>
                <w:lang w:val="es-ES"/>
              </w:rPr>
              <w:t>.</w:t>
            </w:r>
          </w:p>
          <w:p w14:paraId="221A6066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20AC9D95" w14:textId="77777777" w:rsidR="004975F7" w:rsidRDefault="004975F7" w:rsidP="00E16526">
            <w:pPr>
              <w:spacing w:before="160"/>
              <w:jc w:val="both"/>
              <w:rPr>
                <w:lang w:val="es-ES"/>
              </w:rPr>
            </w:pPr>
            <w:r w:rsidRPr="003F1060">
              <w:rPr>
                <w:lang w:val="es-ES"/>
              </w:rPr>
              <w:t xml:space="preserve">Se invita al Consejo a </w:t>
            </w:r>
            <w:r w:rsidRPr="003F1060">
              <w:rPr>
                <w:b/>
                <w:bCs/>
                <w:lang w:val="es-ES"/>
              </w:rPr>
              <w:t xml:space="preserve">considerar </w:t>
            </w:r>
            <w:r w:rsidRPr="003F1060">
              <w:rPr>
                <w:lang w:val="es-ES"/>
              </w:rPr>
              <w:t xml:space="preserve">esta propuesta y a </w:t>
            </w:r>
            <w:r w:rsidRPr="003F1060">
              <w:rPr>
                <w:b/>
                <w:bCs/>
                <w:lang w:val="es-ES"/>
              </w:rPr>
              <w:t xml:space="preserve">tomar </w:t>
            </w:r>
            <w:r w:rsidRPr="003F1060">
              <w:rPr>
                <w:lang w:val="es-ES"/>
              </w:rPr>
              <w:t>las medidas que es</w:t>
            </w:r>
            <w:r>
              <w:rPr>
                <w:lang w:val="es-ES"/>
              </w:rPr>
              <w:t>time convenientes</w:t>
            </w:r>
            <w:r w:rsidRPr="003F1060">
              <w:rPr>
                <w:lang w:val="es-ES"/>
              </w:rPr>
              <w:t>.</w:t>
            </w:r>
          </w:p>
          <w:p w14:paraId="75850D62" w14:textId="77777777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0C5F55C7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  <w:r w:rsidR="00D375E0" w:rsidRPr="00BB6FD8">
              <w:rPr>
                <w:sz w:val="26"/>
                <w:szCs w:val="26"/>
              </w:rPr>
              <w:t xml:space="preserve"> </w:t>
            </w:r>
          </w:p>
          <w:p w14:paraId="406A596F" w14:textId="39BEF591" w:rsidR="00FE57F6" w:rsidRPr="004975F7" w:rsidRDefault="004975F7" w:rsidP="00E16526">
            <w:pPr>
              <w:spacing w:after="160"/>
              <w:jc w:val="both"/>
              <w:rPr>
                <w:i/>
                <w:iCs/>
                <w:szCs w:val="24"/>
              </w:rPr>
            </w:pPr>
            <w:hyperlink r:id="rId7" w:history="1">
              <w:r w:rsidRPr="004975F7">
                <w:rPr>
                  <w:rStyle w:val="Hyperlink"/>
                  <w:i/>
                  <w:iCs/>
                  <w:szCs w:val="24"/>
                  <w:lang w:val="es-ES"/>
                </w:rPr>
                <w:t>Decisión 5 (Rev. Bucarest, 2022)</w:t>
              </w:r>
            </w:hyperlink>
            <w:r w:rsidRPr="004975F7">
              <w:rPr>
                <w:i/>
                <w:iCs/>
                <w:szCs w:val="24"/>
                <w:lang w:val="es-ES"/>
              </w:rPr>
              <w:t xml:space="preserve"> de la Conferencia de Plenipotenciarios; Resoluciones </w:t>
            </w:r>
            <w:hyperlink r:id="rId8" w:history="1">
              <w:r w:rsidRPr="004975F7">
                <w:rPr>
                  <w:rStyle w:val="Hyperlink"/>
                  <w:i/>
                  <w:iCs/>
                  <w:szCs w:val="24"/>
                  <w:lang w:val="es-ES"/>
                </w:rPr>
                <w:t>66</w:t>
              </w:r>
              <w:r>
                <w:rPr>
                  <w:rStyle w:val="Hyperlink"/>
                  <w:i/>
                  <w:iCs/>
                  <w:szCs w:val="24"/>
                  <w:lang w:val="es-ES"/>
                </w:rPr>
                <w:t> </w:t>
              </w:r>
              <w:r w:rsidRPr="004975F7">
                <w:rPr>
                  <w:rStyle w:val="Hyperlink"/>
                  <w:i/>
                  <w:iCs/>
                  <w:szCs w:val="24"/>
                  <w:lang w:val="es-ES"/>
                </w:rPr>
                <w:t>(Rev.</w:t>
              </w:r>
              <w:r>
                <w:rPr>
                  <w:rStyle w:val="Hyperlink"/>
                  <w:i/>
                  <w:iCs/>
                  <w:szCs w:val="24"/>
                  <w:lang w:val="es-ES"/>
                </w:rPr>
                <w:t> </w:t>
              </w:r>
              <w:r w:rsidRPr="004975F7">
                <w:rPr>
                  <w:rStyle w:val="Hyperlink"/>
                  <w:i/>
                  <w:iCs/>
                  <w:szCs w:val="24"/>
                  <w:lang w:val="es-ES"/>
                </w:rPr>
                <w:t>Bucarest, 2022)</w:t>
              </w:r>
            </w:hyperlink>
            <w:r w:rsidRPr="004975F7">
              <w:rPr>
                <w:i/>
                <w:iCs/>
                <w:szCs w:val="24"/>
                <w:lang w:val="es-ES"/>
              </w:rPr>
              <w:t xml:space="preserve">, Documentos y publicaciones de la Unión, y </w:t>
            </w:r>
            <w:hyperlink r:id="rId9" w:history="1">
              <w:r w:rsidRPr="004975F7">
                <w:rPr>
                  <w:rStyle w:val="Hyperlink"/>
                  <w:i/>
                  <w:iCs/>
                  <w:szCs w:val="24"/>
                  <w:lang w:val="es-ES"/>
                </w:rPr>
                <w:t>167 (Rev. Bucarest, 2022)</w:t>
              </w:r>
            </w:hyperlink>
            <w:r w:rsidRPr="004975F7">
              <w:rPr>
                <w:i/>
                <w:iCs/>
                <w:szCs w:val="24"/>
                <w:lang w:val="es-ES"/>
              </w:rPr>
              <w:t>, Fortalecimiento y fomento de las capacidades de la UIT para celebrar reuniones totalmente virtuales y reuniones presenciales con participación a distancia, y los medios electrónicos para avanzar la labor de la Unión, de la Conferencia de Plenipotenciarios.</w:t>
            </w:r>
          </w:p>
        </w:tc>
      </w:tr>
      <w:bookmarkEnd w:id="0"/>
    </w:tbl>
    <w:p w14:paraId="50440E03" w14:textId="77777777" w:rsidR="00093EEB" w:rsidRPr="00BB6FD8" w:rsidRDefault="00093EEB"/>
    <w:p w14:paraId="5DDA615B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24D89FE7" w14:textId="77777777" w:rsidR="004975F7" w:rsidRPr="00EB473A" w:rsidRDefault="004975F7" w:rsidP="00E16526">
      <w:pPr>
        <w:pStyle w:val="Headingb"/>
        <w:jc w:val="both"/>
        <w:rPr>
          <w:lang w:val="es-ES"/>
        </w:rPr>
      </w:pPr>
      <w:r w:rsidRPr="00EB473A">
        <w:rPr>
          <w:lang w:val="es-ES"/>
        </w:rPr>
        <w:lastRenderedPageBreak/>
        <w:t>Antecedentes</w:t>
      </w:r>
    </w:p>
    <w:p w14:paraId="257B373D" w14:textId="77777777" w:rsidR="004975F7" w:rsidRPr="004975F7" w:rsidRDefault="004975F7" w:rsidP="004975F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4"/>
          <w:lang w:val="es-ES"/>
        </w:rPr>
      </w:pPr>
      <w:r w:rsidRPr="004975F7">
        <w:rPr>
          <w:rFonts w:cs="Calibri"/>
          <w:szCs w:val="24"/>
          <w:lang w:val="es-ES"/>
        </w:rPr>
        <w:t>La Unión Internacional de Telecomunicaciones (UIT) desempeña un papel esencial en el desarrollo digital global gracias a sus conferencias, reuniones, foros y actividades, que se celebran no sólo en Ginebra, sino también en Estados Miembros de todas las regiones. Estos eventos fomentan la participación inclusiva, promueven la capacitación e intensifican la presencia de la Unión en el terreno en cumplimiento de su mandato de inclusión digital y desarrollo sectorial.</w:t>
      </w:r>
    </w:p>
    <w:p w14:paraId="0302DC3B" w14:textId="77777777" w:rsidR="004975F7" w:rsidRPr="004975F7" w:rsidRDefault="004975F7" w:rsidP="004975F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4"/>
          <w:lang w:val="es-ES"/>
        </w:rPr>
      </w:pPr>
      <w:r w:rsidRPr="004975F7">
        <w:rPr>
          <w:rFonts w:cs="Calibri"/>
          <w:szCs w:val="24"/>
          <w:lang w:val="es-ES"/>
        </w:rPr>
        <w:t>La celebración de esos eventos, aunque benéfica para la implicación regional, suele llevar consigo una inversión logística importante para los países anfitriones, sobre todo en lo que respecta a los servicios de interpretación, infraestructura de TI e impresión de documentos. Estos costes pueden desalentar a posibles anfitriones, en particular los países en desarrollo, de presentar su candidatura a la organización de tales eventos.</w:t>
      </w:r>
    </w:p>
    <w:p w14:paraId="1FC77856" w14:textId="77777777" w:rsidR="004975F7" w:rsidRPr="008237A1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4"/>
          <w:lang w:val="es-ES"/>
        </w:rPr>
      </w:pPr>
      <w:r w:rsidRPr="00B42AB8">
        <w:rPr>
          <w:rStyle w:val="Strong"/>
          <w:rFonts w:cs="Calibri"/>
          <w:lang w:val="es-ES"/>
        </w:rPr>
        <w:t>En la Decisión 5 (Rev. Bucarest, 2022)</w:t>
      </w:r>
      <w:r w:rsidRPr="00B42AB8">
        <w:rPr>
          <w:rFonts w:cs="Calibri"/>
          <w:lang w:val="es-ES"/>
        </w:rPr>
        <w:t xml:space="preserve"> y su </w:t>
      </w:r>
      <w:r w:rsidRPr="00B42AB8">
        <w:rPr>
          <w:rStyle w:val="Strong"/>
          <w:rFonts w:cs="Calibri"/>
          <w:lang w:val="es-ES"/>
        </w:rPr>
        <w:t>Anexo 2</w:t>
      </w:r>
      <w:r w:rsidRPr="00B42AB8">
        <w:rPr>
          <w:rFonts w:cs="Calibri"/>
          <w:lang w:val="es-ES"/>
        </w:rPr>
        <w:t xml:space="preserve"> se define un marco integral para mejorar </w:t>
      </w:r>
      <w:r w:rsidRPr="008237A1">
        <w:rPr>
          <w:rFonts w:cs="Calibri"/>
          <w:szCs w:val="24"/>
          <w:lang w:val="es-ES"/>
        </w:rPr>
        <w:t>la eficiencia de la UIT y reducir los gastos operativos, abogando por medidas el aprovechamiento de recursos locales, la digitalización de los flujos de trabajo y la minimización de los viajes y las expediciones.</w:t>
      </w:r>
    </w:p>
    <w:p w14:paraId="426037DD" w14:textId="77777777" w:rsidR="004975F7" w:rsidRPr="008237A1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/>
        <w:jc w:val="both"/>
        <w:textAlignment w:val="auto"/>
        <w:rPr>
          <w:rFonts w:cs="Calibri"/>
          <w:szCs w:val="24"/>
          <w:lang w:val="es-ES"/>
        </w:rPr>
      </w:pPr>
      <w:r w:rsidRPr="008237A1">
        <w:rPr>
          <w:rFonts w:cs="Calibri"/>
          <w:szCs w:val="24"/>
          <w:lang w:val="es-ES"/>
        </w:rPr>
        <w:t>Con esta contribución se pretende apoyar la aplicación de la Decisión 5 y facilitar aún más la celebración de eventos de la UIT en todo el mundo proponiendo medidas concretas y aplicables de reducción de costes.</w:t>
      </w:r>
    </w:p>
    <w:p w14:paraId="004BE1BF" w14:textId="77777777" w:rsidR="004975F7" w:rsidRPr="00EB473A" w:rsidRDefault="004975F7" w:rsidP="00E16526">
      <w:pPr>
        <w:pStyle w:val="Headingb"/>
        <w:spacing w:after="120"/>
        <w:jc w:val="both"/>
        <w:rPr>
          <w:rFonts w:cs="Calibri"/>
          <w:b w:val="0"/>
          <w:bCs/>
          <w:lang w:val="es-ES"/>
        </w:rPr>
      </w:pPr>
      <w:r w:rsidRPr="008237A1">
        <w:rPr>
          <w:lang w:val="es-ES"/>
        </w:rPr>
        <w:t>Propuesta</w:t>
      </w:r>
    </w:p>
    <w:p w14:paraId="7A20024C" w14:textId="77777777" w:rsidR="004975F7" w:rsidRPr="00B42AB8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lang w:val="es-ES"/>
        </w:rPr>
      </w:pPr>
      <w:r w:rsidRPr="00B42AB8">
        <w:rPr>
          <w:rFonts w:cs="Calibri"/>
          <w:lang w:val="es-ES"/>
        </w:rPr>
        <w:t>Para facilitar una mayor participación de los países, en particular los países en desarrollo, en calidad de anfitriones de las actividades de la UIT se presentan las si</w:t>
      </w:r>
      <w:r>
        <w:rPr>
          <w:rFonts w:cs="Calibri"/>
          <w:lang w:val="es-ES"/>
        </w:rPr>
        <w:t>guientes propuestas</w:t>
      </w:r>
      <w:r w:rsidRPr="00B42AB8">
        <w:rPr>
          <w:rFonts w:cs="Calibri"/>
          <w:lang w:val="es-ES"/>
        </w:rPr>
        <w:t>:</w:t>
      </w:r>
    </w:p>
    <w:p w14:paraId="39051A5E" w14:textId="15D01A2E" w:rsidR="004975F7" w:rsidRPr="008237A1" w:rsidRDefault="008237A1" w:rsidP="00E16526">
      <w:pPr>
        <w:pStyle w:val="Heading1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ab/>
      </w:r>
      <w:r w:rsidR="004975F7" w:rsidRPr="008237A1">
        <w:rPr>
          <w:sz w:val="24"/>
          <w:szCs w:val="24"/>
          <w:lang w:val="es-ES"/>
        </w:rPr>
        <w:t>Utilizar recursos de interpretación locales/nacionales:</w:t>
      </w:r>
    </w:p>
    <w:p w14:paraId="13D15AA6" w14:textId="77777777" w:rsidR="004975F7" w:rsidRPr="00B84EC1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lang w:val="es-ES"/>
        </w:rPr>
      </w:pPr>
      <w:r w:rsidRPr="00B42AB8">
        <w:rPr>
          <w:rFonts w:cs="Calibri"/>
          <w:lang w:val="es-ES"/>
        </w:rPr>
        <w:t>En el apartado 12 del Anexo 2 a la Decisión 5 se recomienda reducir el coste de la interpretaci</w:t>
      </w:r>
      <w:r>
        <w:rPr>
          <w:rFonts w:cs="Calibri"/>
          <w:lang w:val="es-ES"/>
        </w:rPr>
        <w:t xml:space="preserve">ón mediante medidas de optimización y utilizando procedimientos de traducción alternativos. </w:t>
      </w:r>
      <w:r w:rsidRPr="00B42AB8">
        <w:rPr>
          <w:rFonts w:cs="Calibri"/>
          <w:lang w:val="es-ES"/>
        </w:rPr>
        <w:t xml:space="preserve">Por consiguiente, se alienta a la UIT a colaborar con los países anfitriones en la contratación de </w:t>
      </w:r>
      <w:r w:rsidRPr="00B42AB8">
        <w:rPr>
          <w:rFonts w:cs="Calibri"/>
          <w:b/>
          <w:bCs/>
          <w:lang w:val="es-ES"/>
        </w:rPr>
        <w:t>in</w:t>
      </w:r>
      <w:r>
        <w:rPr>
          <w:rFonts w:cs="Calibri"/>
          <w:b/>
          <w:bCs/>
          <w:lang w:val="es-ES"/>
        </w:rPr>
        <w:t xml:space="preserve">térpretes locales cualificados </w:t>
      </w:r>
      <w:r>
        <w:rPr>
          <w:rFonts w:cs="Calibri"/>
          <w:lang w:val="es-ES"/>
        </w:rPr>
        <w:t xml:space="preserve">en los idiomas oficiales de la UIT/Naciones Unidas. </w:t>
      </w:r>
      <w:r w:rsidRPr="00B42AB8">
        <w:rPr>
          <w:rFonts w:cs="Calibri"/>
          <w:lang w:val="es-ES"/>
        </w:rPr>
        <w:t xml:space="preserve">De este modo se reducirían los </w:t>
      </w:r>
      <w:r w:rsidRPr="00B42AB8">
        <w:rPr>
          <w:rFonts w:cs="Calibri"/>
          <w:b/>
          <w:bCs/>
          <w:lang w:val="es-ES"/>
        </w:rPr>
        <w:t xml:space="preserve">gastos de viaje, alojamiento y dietas </w:t>
      </w:r>
      <w:r w:rsidRPr="00B42AB8">
        <w:rPr>
          <w:rFonts w:cs="Calibri"/>
          <w:lang w:val="es-ES"/>
        </w:rPr>
        <w:t>que generalmente</w:t>
      </w:r>
      <w:r>
        <w:rPr>
          <w:rFonts w:cs="Calibri"/>
          <w:lang w:val="es-ES"/>
        </w:rPr>
        <w:t xml:space="preserve"> sufragan la UIT o el país anfitrión. </w:t>
      </w:r>
      <w:r w:rsidRPr="00B84EC1">
        <w:rPr>
          <w:rFonts w:cs="Calibri"/>
          <w:lang w:val="es-ES"/>
        </w:rPr>
        <w:t>En colaboración con los servicios lingüísticos de la UIT podrían definirse directrices y procesos de ga</w:t>
      </w:r>
      <w:r>
        <w:rPr>
          <w:rFonts w:cs="Calibri"/>
          <w:lang w:val="es-ES"/>
        </w:rPr>
        <w:t>rantía de la calidad a fin de asegurar el mantenimiento del nivel cualitativo</w:t>
      </w:r>
      <w:r w:rsidRPr="00B84EC1">
        <w:rPr>
          <w:rFonts w:cs="Calibri"/>
          <w:lang w:val="es-ES"/>
        </w:rPr>
        <w:t>.</w:t>
      </w:r>
    </w:p>
    <w:p w14:paraId="618F4541" w14:textId="7DCC04A3" w:rsidR="004975F7" w:rsidRPr="008237A1" w:rsidRDefault="008237A1" w:rsidP="00E16526">
      <w:pPr>
        <w:pStyle w:val="Heading1"/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</w:t>
      </w:r>
      <w:r>
        <w:rPr>
          <w:sz w:val="24"/>
          <w:szCs w:val="24"/>
          <w:lang w:val="es-ES"/>
        </w:rPr>
        <w:tab/>
      </w:r>
      <w:r w:rsidR="004975F7" w:rsidRPr="008237A1">
        <w:rPr>
          <w:sz w:val="24"/>
          <w:szCs w:val="24"/>
          <w:lang w:val="es-ES"/>
        </w:rPr>
        <w:t>Oferta local de equipos y dispositivos de TI:</w:t>
      </w:r>
    </w:p>
    <w:p w14:paraId="5060BC3C" w14:textId="77777777" w:rsidR="004975F7" w:rsidRPr="00CB5210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lang w:val="es-ES"/>
        </w:rPr>
      </w:pPr>
      <w:r w:rsidRPr="00DF4272">
        <w:rPr>
          <w:rFonts w:cs="Calibri"/>
          <w:lang w:val="es-ES"/>
        </w:rPr>
        <w:t xml:space="preserve">En lugar de expedir equipos de la UIT, podría autorizarse a los países anfitriones (con la orientación técnica de la UIT) a alquilar o facilitar </w:t>
      </w:r>
      <w:r>
        <w:rPr>
          <w:rFonts w:cs="Calibri"/>
          <w:lang w:val="es-ES"/>
        </w:rPr>
        <w:t>equipos de TI disponibles localmente, por ejemplo, portátiles, impresoras, sistemas de control de acceso</w:t>
      </w:r>
      <w:r w:rsidRPr="00DF4272">
        <w:rPr>
          <w:rFonts w:cs="Calibri"/>
          <w:lang w:val="es-ES"/>
        </w:rPr>
        <w:t xml:space="preserve">, etc. De este modo se reducirían notablemente los costes de expedición, tasas aduaneras y </w:t>
      </w:r>
      <w:r>
        <w:rPr>
          <w:rFonts w:cs="Calibri"/>
          <w:lang w:val="es-ES"/>
        </w:rPr>
        <w:t xml:space="preserve">posibles retrasos, lo que permitiría ahorrar tiempo y dinero. </w:t>
      </w:r>
      <w:r w:rsidRPr="00DF4272">
        <w:rPr>
          <w:rFonts w:cs="Calibri"/>
          <w:lang w:val="es-ES"/>
        </w:rPr>
        <w:t>Si procede, la UIT podría mantener una lista de especificaciones té</w:t>
      </w:r>
      <w:r>
        <w:rPr>
          <w:rFonts w:cs="Calibri"/>
          <w:lang w:val="es-ES"/>
        </w:rPr>
        <w:t>c</w:t>
      </w:r>
      <w:r w:rsidRPr="00DF4272">
        <w:rPr>
          <w:rFonts w:cs="Calibri"/>
          <w:lang w:val="es-ES"/>
        </w:rPr>
        <w:t>ni</w:t>
      </w:r>
      <w:r>
        <w:rPr>
          <w:rFonts w:cs="Calibri"/>
          <w:lang w:val="es-ES"/>
        </w:rPr>
        <w:t>c</w:t>
      </w:r>
      <w:r w:rsidRPr="00DF4272">
        <w:rPr>
          <w:rFonts w:cs="Calibri"/>
          <w:lang w:val="es-ES"/>
        </w:rPr>
        <w:t>as de equipos re</w:t>
      </w:r>
      <w:r>
        <w:rPr>
          <w:rFonts w:cs="Calibri"/>
          <w:lang w:val="es-ES"/>
        </w:rPr>
        <w:t xml:space="preserve">comendadas para sus eventos. </w:t>
      </w:r>
      <w:r w:rsidRPr="00CB5210">
        <w:rPr>
          <w:rFonts w:cs="Calibri"/>
          <w:lang w:val="es-ES"/>
        </w:rPr>
        <w:t xml:space="preserve">En el apartado 5 del Anexo 2 a la Decisión 5 se promueve la utilización de </w:t>
      </w:r>
      <w:r>
        <w:rPr>
          <w:rFonts w:cs="Calibri"/>
          <w:lang w:val="es-ES"/>
        </w:rPr>
        <w:t xml:space="preserve">expertos y recursos locales para ahorrar gastos de viaje y logísticos, sobre todo durante la planificación y organización de eventos fuera </w:t>
      </w:r>
      <w:r>
        <w:rPr>
          <w:rFonts w:cs="Calibri"/>
          <w:lang w:val="es-ES"/>
        </w:rPr>
        <w:lastRenderedPageBreak/>
        <w:t xml:space="preserve">de Ginebra. </w:t>
      </w:r>
      <w:r w:rsidRPr="00CB5210">
        <w:rPr>
          <w:rFonts w:cs="Calibri"/>
          <w:lang w:val="es-ES"/>
        </w:rPr>
        <w:t xml:space="preserve">Por otra parte, en el apartado 17 se aboga por aplicar criterios para reducir </w:t>
      </w:r>
      <w:r>
        <w:rPr>
          <w:rFonts w:cs="Calibri"/>
          <w:lang w:val="es-ES"/>
        </w:rPr>
        <w:t>los gastos de viaje, lo que respalda indirectamente el suministro local de los equipos necesarios</w:t>
      </w:r>
      <w:r w:rsidRPr="00CB5210">
        <w:rPr>
          <w:rFonts w:cs="Calibri"/>
          <w:lang w:val="es-ES"/>
        </w:rPr>
        <w:t>.</w:t>
      </w:r>
    </w:p>
    <w:p w14:paraId="2A2219AC" w14:textId="0956B407" w:rsidR="004975F7" w:rsidRPr="008237A1" w:rsidRDefault="008237A1" w:rsidP="00E16526">
      <w:pPr>
        <w:pStyle w:val="Heading1"/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>
        <w:rPr>
          <w:sz w:val="24"/>
          <w:szCs w:val="24"/>
          <w:lang w:val="es-ES"/>
        </w:rPr>
        <w:tab/>
      </w:r>
      <w:r w:rsidR="004975F7" w:rsidRPr="008237A1">
        <w:rPr>
          <w:sz w:val="24"/>
          <w:szCs w:val="24"/>
          <w:lang w:val="es-ES"/>
        </w:rPr>
        <w:t>Transición a las tarjetas de identificación digitales para conferencias</w:t>
      </w:r>
    </w:p>
    <w:p w14:paraId="793FA715" w14:textId="7C4F6A3D" w:rsidR="004975F7" w:rsidRPr="00CB5210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4"/>
          <w:lang w:val="es-ES"/>
        </w:rPr>
      </w:pPr>
      <w:r w:rsidRPr="00CB5210">
        <w:rPr>
          <w:rFonts w:cs="Calibri"/>
          <w:szCs w:val="24"/>
          <w:lang w:val="es-ES"/>
        </w:rPr>
        <w:t xml:space="preserve">En los apartados 10 y 11 del Anexo 2 a la Decisión 5 (Rev. Bucarest, 2022) se insta vivamente a la UIT a celebrar </w:t>
      </w:r>
      <w:r w:rsidR="00FC1672">
        <w:rPr>
          <w:rFonts w:cs="Calibri"/>
          <w:szCs w:val="24"/>
          <w:lang w:val="es-ES"/>
        </w:rPr>
        <w:t>"</w:t>
      </w:r>
      <w:r w:rsidRPr="00CB5210">
        <w:rPr>
          <w:rFonts w:cs="Calibri"/>
          <w:szCs w:val="24"/>
          <w:lang w:val="es-ES"/>
        </w:rPr>
        <w:t>conferencias y reuniones de todo tipo y nivel sin papel</w:t>
      </w:r>
      <w:r w:rsidR="00FC1672">
        <w:rPr>
          <w:rFonts w:cs="Calibri"/>
          <w:szCs w:val="24"/>
          <w:lang w:val="es-ES"/>
        </w:rPr>
        <w:t>"</w:t>
      </w:r>
      <w:r w:rsidRPr="00CB5210">
        <w:rPr>
          <w:rFonts w:cs="Calibri"/>
          <w:szCs w:val="24"/>
          <w:lang w:val="es-ES"/>
        </w:rPr>
        <w:t>, reduciendo la impresión y distribuci</w:t>
      </w:r>
      <w:r>
        <w:rPr>
          <w:rFonts w:cs="Calibri"/>
          <w:szCs w:val="24"/>
          <w:lang w:val="es-ES"/>
        </w:rPr>
        <w:t xml:space="preserve">ón de materiales que no generan ingresos y maximizando la utilización de plataformas y métodos de comunicación digitales. </w:t>
      </w:r>
      <w:r w:rsidRPr="00CB5210">
        <w:rPr>
          <w:rFonts w:cs="Calibri"/>
          <w:szCs w:val="24"/>
          <w:lang w:val="es-ES"/>
        </w:rPr>
        <w:t>La transición de los materiales de identificación impresos (por ejemplo, tarjetas de identificación de papel o plástico) a las credenciales digitales para las conferencias</w:t>
      </w:r>
      <w:r>
        <w:rPr>
          <w:rFonts w:cs="Calibri"/>
          <w:szCs w:val="24"/>
          <w:lang w:val="es-ES"/>
        </w:rPr>
        <w:t>, por ejemplo, identificación móvil por QR, contribuye a lograr ese objetivo al eliminar la necesidad de un soporte físico, reduciendo así las consecuencias para el medio ambiente y simplificando la logística</w:t>
      </w:r>
      <w:r w:rsidRPr="00CB5210">
        <w:rPr>
          <w:rFonts w:cs="Calibri"/>
          <w:szCs w:val="24"/>
          <w:lang w:val="es-ES"/>
        </w:rPr>
        <w:t>.</w:t>
      </w:r>
    </w:p>
    <w:p w14:paraId="19F9DB66" w14:textId="77777777" w:rsidR="004975F7" w:rsidRPr="00291FAD" w:rsidRDefault="004975F7" w:rsidP="004975F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4"/>
          <w:lang w:val="es-ES"/>
        </w:rPr>
      </w:pPr>
      <w:r w:rsidRPr="00CB5210">
        <w:rPr>
          <w:rFonts w:cs="Calibri"/>
          <w:szCs w:val="24"/>
          <w:lang w:val="es-ES"/>
        </w:rPr>
        <w:t>Este método ya se está utilizando en otros organismos de las Naciones Unidas, incluida la Oficina de las Naciones Unidas en Ginebra (O</w:t>
      </w:r>
      <w:r>
        <w:rPr>
          <w:rFonts w:cs="Calibri"/>
          <w:szCs w:val="24"/>
          <w:lang w:val="es-ES"/>
        </w:rPr>
        <w:t>NU</w:t>
      </w:r>
      <w:r w:rsidRPr="00CB5210">
        <w:rPr>
          <w:rFonts w:cs="Calibri"/>
          <w:szCs w:val="24"/>
          <w:lang w:val="es-ES"/>
        </w:rPr>
        <w:t xml:space="preserve">G) </w:t>
      </w:r>
      <w:r>
        <w:rPr>
          <w:rFonts w:cs="Calibri"/>
          <w:szCs w:val="24"/>
          <w:lang w:val="es-ES"/>
        </w:rPr>
        <w:t>y</w:t>
      </w:r>
      <w:r w:rsidRPr="00CB5210">
        <w:rPr>
          <w:rFonts w:cs="Calibri"/>
          <w:szCs w:val="24"/>
          <w:lang w:val="es-ES"/>
        </w:rPr>
        <w:t xml:space="preserve"> </w:t>
      </w:r>
      <w:r>
        <w:rPr>
          <w:rFonts w:cs="Calibri"/>
          <w:szCs w:val="24"/>
          <w:lang w:val="es-ES"/>
        </w:rPr>
        <w:t xml:space="preserve">la Convención Marco de las Naciones Unidas sobre el Cambio Climático (CMNUCC), que han adoptado sistemas de identificación digital para eventos de alto nivel. </w:t>
      </w:r>
      <w:r w:rsidRPr="00291FAD">
        <w:rPr>
          <w:rFonts w:cs="Calibri"/>
          <w:szCs w:val="24"/>
          <w:lang w:val="es-ES"/>
        </w:rPr>
        <w:t xml:space="preserve">Estos sistemas permiten el acceso seguro, la verificación en tiempo real y </w:t>
      </w:r>
      <w:r>
        <w:rPr>
          <w:rFonts w:cs="Calibri"/>
          <w:szCs w:val="24"/>
          <w:lang w:val="es-ES"/>
        </w:rPr>
        <w:t xml:space="preserve">la reducción de costes sin poner en peligro la garantía de identificación o la experiencia de los participantes. </w:t>
      </w:r>
      <w:r w:rsidRPr="00291FAD">
        <w:rPr>
          <w:rFonts w:cs="Calibri"/>
          <w:szCs w:val="24"/>
          <w:lang w:val="es-ES"/>
        </w:rPr>
        <w:t xml:space="preserve">Siguiendo esta práctica idónea, la UIT y los países anfitriones pueden aumentar la </w:t>
      </w:r>
      <w:r>
        <w:rPr>
          <w:rFonts w:cs="Calibri"/>
          <w:szCs w:val="24"/>
          <w:lang w:val="es-ES"/>
        </w:rPr>
        <w:t>sostenibilidad y reducir los costes administrativos y materiales que conllevan la producción, distribución y reimpresión de tarjetas identificativas</w:t>
      </w:r>
      <w:r w:rsidRPr="00291FAD">
        <w:rPr>
          <w:rFonts w:cs="Calibri"/>
          <w:szCs w:val="24"/>
          <w:lang w:val="es-ES"/>
        </w:rPr>
        <w:t>.</w:t>
      </w:r>
    </w:p>
    <w:p w14:paraId="21629AD1" w14:textId="77777777" w:rsidR="004975F7" w:rsidRPr="008237A1" w:rsidRDefault="004975F7" w:rsidP="00E16526">
      <w:pPr>
        <w:pStyle w:val="Headingb"/>
        <w:spacing w:after="120"/>
        <w:jc w:val="both"/>
        <w:rPr>
          <w:lang w:val="es-ES"/>
        </w:rPr>
      </w:pPr>
      <w:r w:rsidRPr="008237A1">
        <w:rPr>
          <w:lang w:val="es-ES"/>
        </w:rPr>
        <w:t>Conclusión</w:t>
      </w:r>
    </w:p>
    <w:p w14:paraId="5EDA17B2" w14:textId="77777777" w:rsidR="004975F7" w:rsidRPr="00EB473A" w:rsidRDefault="004975F7" w:rsidP="008237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lang w:val="es-ES"/>
        </w:rPr>
      </w:pPr>
      <w:r w:rsidRPr="00291FAD">
        <w:rPr>
          <w:rFonts w:cs="Calibri"/>
          <w:lang w:val="es-ES"/>
        </w:rPr>
        <w:t xml:space="preserve">La aplicación de estas medidas prácticas y rentables permitirá a la UIT y sus Estados Miembros contribuir conjuntamente a la consecución </w:t>
      </w:r>
      <w:r>
        <w:rPr>
          <w:rFonts w:cs="Calibri"/>
          <w:lang w:val="es-ES"/>
        </w:rPr>
        <w:t xml:space="preserve">simultánea </w:t>
      </w:r>
      <w:r w:rsidRPr="00291FAD">
        <w:rPr>
          <w:rFonts w:cs="Calibri"/>
          <w:lang w:val="es-ES"/>
        </w:rPr>
        <w:t xml:space="preserve">del objetivo </w:t>
      </w:r>
      <w:r>
        <w:rPr>
          <w:rFonts w:cs="Calibri"/>
          <w:lang w:val="es-ES"/>
        </w:rPr>
        <w:t>global</w:t>
      </w:r>
      <w:r w:rsidRPr="00291FAD">
        <w:rPr>
          <w:rFonts w:cs="Calibri"/>
          <w:lang w:val="es-ES"/>
        </w:rPr>
        <w:t xml:space="preserve"> de aumentar la participación regional en las actividades d</w:t>
      </w:r>
      <w:r>
        <w:rPr>
          <w:rFonts w:cs="Calibri"/>
          <w:lang w:val="es-ES"/>
        </w:rPr>
        <w:t xml:space="preserve">e la UIT y de sus objetivos estratégicos y financieros. </w:t>
      </w:r>
      <w:r w:rsidRPr="00291FAD">
        <w:rPr>
          <w:rFonts w:cs="Calibri"/>
          <w:lang w:val="es-ES"/>
        </w:rPr>
        <w:t>Estas medidas ayudarán asimismo a la UIT a respetar su compromiso para con la sostenibilidad, la transformación digital y la cooperación internacional in</w:t>
      </w:r>
      <w:r>
        <w:rPr>
          <w:rFonts w:cs="Calibri"/>
          <w:lang w:val="es-ES"/>
        </w:rPr>
        <w:t>clusiva</w:t>
      </w:r>
      <w:r w:rsidRPr="00EB473A">
        <w:rPr>
          <w:rFonts w:cs="Calibri"/>
          <w:lang w:val="es-ES"/>
        </w:rPr>
        <w:t>.</w:t>
      </w:r>
    </w:p>
    <w:p w14:paraId="35A285FE" w14:textId="77777777" w:rsidR="00F92BED" w:rsidRPr="004975F7" w:rsidRDefault="00F92BED" w:rsidP="0032202E">
      <w:pPr>
        <w:pStyle w:val="Reasons"/>
        <w:rPr>
          <w:lang w:val="es-ES"/>
        </w:rPr>
      </w:pPr>
    </w:p>
    <w:p w14:paraId="36FB2A41" w14:textId="77777777" w:rsidR="00F92BED" w:rsidRPr="00F92BED" w:rsidRDefault="00F92BED" w:rsidP="00F92BED">
      <w:pPr>
        <w:jc w:val="center"/>
      </w:pPr>
      <w:r>
        <w:t>______________</w:t>
      </w:r>
    </w:p>
    <w:sectPr w:rsidR="00F92BED" w:rsidRPr="00F92BED" w:rsidSect="00C538FC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7B66" w14:textId="77777777" w:rsidR="004975F7" w:rsidRDefault="004975F7">
      <w:r>
        <w:separator/>
      </w:r>
    </w:p>
  </w:endnote>
  <w:endnote w:type="continuationSeparator" w:id="0">
    <w:p w14:paraId="10A0DB0C" w14:textId="77777777" w:rsidR="004975F7" w:rsidRDefault="0049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0DA3C88" w14:textId="77777777" w:rsidTr="00E31DCE">
      <w:trPr>
        <w:jc w:val="center"/>
      </w:trPr>
      <w:tc>
        <w:tcPr>
          <w:tcW w:w="1803" w:type="dxa"/>
          <w:vAlign w:val="center"/>
        </w:tcPr>
        <w:p w14:paraId="04E8620A" w14:textId="0D2F4C85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8237A1">
            <w:rPr>
              <w:noProof/>
            </w:rPr>
            <w:t>2501371</w:t>
          </w:r>
        </w:p>
      </w:tc>
      <w:tc>
        <w:tcPr>
          <w:tcW w:w="8261" w:type="dxa"/>
        </w:tcPr>
        <w:p w14:paraId="6205BAC0" w14:textId="15128975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8237A1">
            <w:rPr>
              <w:bCs/>
            </w:rPr>
            <w:t>95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F50ECA6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FB47CE1" w14:textId="77777777" w:rsidTr="00E31DCE">
      <w:trPr>
        <w:jc w:val="center"/>
      </w:trPr>
      <w:tc>
        <w:tcPr>
          <w:tcW w:w="1803" w:type="dxa"/>
          <w:vAlign w:val="center"/>
        </w:tcPr>
        <w:p w14:paraId="1D2369D1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729F2DFF" w14:textId="7DF09F58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8237A1">
            <w:rPr>
              <w:bCs/>
            </w:rPr>
            <w:t>95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27BDA6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4E3F" w14:textId="77777777" w:rsidR="004975F7" w:rsidRDefault="004975F7">
      <w:r>
        <w:t>____________________</w:t>
      </w:r>
    </w:p>
  </w:footnote>
  <w:footnote w:type="continuationSeparator" w:id="0">
    <w:p w14:paraId="6EFAF259" w14:textId="77777777" w:rsidR="004975F7" w:rsidRDefault="0049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09C0A9F5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7628E926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0A10646" wp14:editId="6C7A9274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1A856000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F44DA3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16E97" wp14:editId="100C79D7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F2A76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1D9C"/>
    <w:multiLevelType w:val="hybridMultilevel"/>
    <w:tmpl w:val="55BE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9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F7"/>
    <w:rsid w:val="000007D1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B6E2B"/>
    <w:rsid w:val="001F14A2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365074"/>
    <w:rsid w:val="00473962"/>
    <w:rsid w:val="004975F7"/>
    <w:rsid w:val="004B5D49"/>
    <w:rsid w:val="004D3A3C"/>
    <w:rsid w:val="00513630"/>
    <w:rsid w:val="00520C40"/>
    <w:rsid w:val="00560125"/>
    <w:rsid w:val="00585553"/>
    <w:rsid w:val="005A1F17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87EFE"/>
    <w:rsid w:val="007955DA"/>
    <w:rsid w:val="007E5DD3"/>
    <w:rsid w:val="007F350B"/>
    <w:rsid w:val="00820BE4"/>
    <w:rsid w:val="008237A1"/>
    <w:rsid w:val="008451E8"/>
    <w:rsid w:val="008F6ABC"/>
    <w:rsid w:val="0090628B"/>
    <w:rsid w:val="00913B9C"/>
    <w:rsid w:val="00927F93"/>
    <w:rsid w:val="00956E77"/>
    <w:rsid w:val="009A338E"/>
    <w:rsid w:val="009F4811"/>
    <w:rsid w:val="00A94438"/>
    <w:rsid w:val="00AA390C"/>
    <w:rsid w:val="00AC7DC5"/>
    <w:rsid w:val="00B0200A"/>
    <w:rsid w:val="00B060DF"/>
    <w:rsid w:val="00B574DB"/>
    <w:rsid w:val="00B826C2"/>
    <w:rsid w:val="00B8298E"/>
    <w:rsid w:val="00BB6FD8"/>
    <w:rsid w:val="00BD0723"/>
    <w:rsid w:val="00BD2518"/>
    <w:rsid w:val="00BF1D1C"/>
    <w:rsid w:val="00C12004"/>
    <w:rsid w:val="00C20C59"/>
    <w:rsid w:val="00C2727F"/>
    <w:rsid w:val="00C538FC"/>
    <w:rsid w:val="00C55B1F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16526"/>
    <w:rsid w:val="00E21444"/>
    <w:rsid w:val="00E34072"/>
    <w:rsid w:val="00E3592D"/>
    <w:rsid w:val="00E50D76"/>
    <w:rsid w:val="00E8018B"/>
    <w:rsid w:val="00E92DE8"/>
    <w:rsid w:val="00EB1212"/>
    <w:rsid w:val="00ED65AB"/>
    <w:rsid w:val="00EE0938"/>
    <w:rsid w:val="00F12850"/>
    <w:rsid w:val="00F24B71"/>
    <w:rsid w:val="00F33BF4"/>
    <w:rsid w:val="00F7105E"/>
    <w:rsid w:val="00F75F57"/>
    <w:rsid w:val="00F82FEE"/>
    <w:rsid w:val="00F92BED"/>
    <w:rsid w:val="00FC1672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8E94B"/>
  <w15:docId w15:val="{D42E2EA9-2F9D-48F9-801D-D2F2B4B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75F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975F7"/>
    <w:pPr>
      <w:ind w:left="72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497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66-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DEC-005-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67-S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</TotalTime>
  <Pages>3</Pages>
  <Words>992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6764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multipaís - Reducción de la carga financiera para los países anfitriones de conferencias, reuniones y actividades de la UIT</dc:title>
  <dc:subject>ITU Council 2025</dc:subject>
  <dc:creator>Spanish</dc:creator>
  <cp:keywords>C2025, C25, Council-25</cp:keywords>
  <dc:description/>
  <cp:lastModifiedBy>GBS</cp:lastModifiedBy>
  <cp:revision>2</cp:revision>
  <cp:lastPrinted>2006-03-24T09:51:00Z</cp:lastPrinted>
  <dcterms:created xsi:type="dcterms:W3CDTF">2025-06-12T11:08:00Z</dcterms:created>
  <dcterms:modified xsi:type="dcterms:W3CDTF">2025-06-12T11:08:00Z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