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0ADCCCBB" w14:textId="77777777" w:rsidTr="00AD3606">
        <w:trPr>
          <w:cantSplit/>
          <w:trHeight w:val="23"/>
        </w:trPr>
        <w:tc>
          <w:tcPr>
            <w:tcW w:w="3969" w:type="dxa"/>
            <w:vMerge w:val="restart"/>
            <w:tcMar>
              <w:left w:w="0" w:type="dxa"/>
            </w:tcMar>
          </w:tcPr>
          <w:p w14:paraId="4B744A28" w14:textId="3AB21152"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C17D52">
              <w:rPr>
                <w:b/>
              </w:rPr>
              <w:t xml:space="preserve">ADM </w:t>
            </w:r>
            <w:r w:rsidR="00F5055A">
              <w:rPr>
                <w:b/>
              </w:rPr>
              <w:t>1</w:t>
            </w:r>
          </w:p>
        </w:tc>
        <w:tc>
          <w:tcPr>
            <w:tcW w:w="5245" w:type="dxa"/>
          </w:tcPr>
          <w:p w14:paraId="474DB31A" w14:textId="370939C4" w:rsidR="00AD3606" w:rsidRPr="00C0458D" w:rsidRDefault="00AD3606" w:rsidP="00472BAD">
            <w:pPr>
              <w:tabs>
                <w:tab w:val="left" w:pos="851"/>
              </w:tabs>
              <w:spacing w:before="0" w:line="240" w:lineRule="atLeast"/>
              <w:jc w:val="right"/>
              <w:rPr>
                <w:b/>
              </w:rPr>
            </w:pPr>
            <w:r w:rsidRPr="00C0458D">
              <w:rPr>
                <w:b/>
              </w:rPr>
              <w:t xml:space="preserve">Document </w:t>
            </w:r>
            <w:proofErr w:type="spellStart"/>
            <w:r w:rsidRPr="00C0458D">
              <w:rPr>
                <w:b/>
              </w:rPr>
              <w:t>C2</w:t>
            </w:r>
            <w:r w:rsidR="00BF1FDE" w:rsidRPr="00C0458D">
              <w:rPr>
                <w:b/>
              </w:rPr>
              <w:t>5</w:t>
            </w:r>
            <w:proofErr w:type="spellEnd"/>
            <w:r w:rsidRPr="00C0458D">
              <w:rPr>
                <w:b/>
              </w:rPr>
              <w:t>/</w:t>
            </w:r>
            <w:r w:rsidR="00D52E9B">
              <w:rPr>
                <w:b/>
              </w:rPr>
              <w:t>95</w:t>
            </w:r>
            <w:r w:rsidRPr="00C0458D">
              <w:rPr>
                <w:b/>
              </w:rPr>
              <w:t>-E</w:t>
            </w:r>
          </w:p>
        </w:tc>
      </w:tr>
      <w:tr w:rsidR="00AD3606" w:rsidRPr="00C0458D" w14:paraId="7D341476" w14:textId="77777777" w:rsidTr="00AD3606">
        <w:trPr>
          <w:cantSplit/>
        </w:trPr>
        <w:tc>
          <w:tcPr>
            <w:tcW w:w="3969" w:type="dxa"/>
            <w:vMerge/>
          </w:tcPr>
          <w:p w14:paraId="53A6E512"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44AEB3CA" w14:textId="0FFF78B4" w:rsidR="00AD3606" w:rsidRPr="00C0458D" w:rsidRDefault="00946283" w:rsidP="00AD3606">
            <w:pPr>
              <w:tabs>
                <w:tab w:val="left" w:pos="851"/>
              </w:tabs>
              <w:spacing w:before="0"/>
              <w:jc w:val="right"/>
              <w:rPr>
                <w:b/>
              </w:rPr>
            </w:pPr>
            <w:r>
              <w:rPr>
                <w:b/>
              </w:rPr>
              <w:t>3 June 2025</w:t>
            </w:r>
          </w:p>
        </w:tc>
      </w:tr>
      <w:tr w:rsidR="00AD3606" w:rsidRPr="00C0458D" w14:paraId="25662288" w14:textId="77777777" w:rsidTr="00AD3606">
        <w:trPr>
          <w:cantSplit/>
          <w:trHeight w:val="23"/>
        </w:trPr>
        <w:tc>
          <w:tcPr>
            <w:tcW w:w="3969" w:type="dxa"/>
            <w:vMerge/>
          </w:tcPr>
          <w:p w14:paraId="5201E907"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2E559C9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21010694" w14:textId="77777777" w:rsidTr="00AD3606">
        <w:trPr>
          <w:cantSplit/>
          <w:trHeight w:val="23"/>
        </w:trPr>
        <w:tc>
          <w:tcPr>
            <w:tcW w:w="3969" w:type="dxa"/>
          </w:tcPr>
          <w:p w14:paraId="5A4779AC" w14:textId="77777777" w:rsidR="00472BAD" w:rsidRPr="00C0458D" w:rsidRDefault="00472BAD" w:rsidP="00AD3606">
            <w:pPr>
              <w:tabs>
                <w:tab w:val="left" w:pos="851"/>
              </w:tabs>
              <w:spacing w:line="240" w:lineRule="atLeast"/>
              <w:rPr>
                <w:b/>
              </w:rPr>
            </w:pPr>
          </w:p>
        </w:tc>
        <w:tc>
          <w:tcPr>
            <w:tcW w:w="5245" w:type="dxa"/>
          </w:tcPr>
          <w:p w14:paraId="03139328" w14:textId="77777777" w:rsidR="00472BAD" w:rsidRPr="00C0458D" w:rsidRDefault="00472BAD" w:rsidP="00AD3606">
            <w:pPr>
              <w:tabs>
                <w:tab w:val="left" w:pos="851"/>
              </w:tabs>
              <w:spacing w:before="0" w:line="240" w:lineRule="atLeast"/>
              <w:jc w:val="right"/>
              <w:rPr>
                <w:b/>
              </w:rPr>
            </w:pPr>
          </w:p>
        </w:tc>
      </w:tr>
      <w:tr w:rsidR="00AD3606" w:rsidRPr="00C0458D" w14:paraId="49FBFF58" w14:textId="77777777" w:rsidTr="00AD3606">
        <w:trPr>
          <w:cantSplit/>
        </w:trPr>
        <w:tc>
          <w:tcPr>
            <w:tcW w:w="9214" w:type="dxa"/>
            <w:gridSpan w:val="2"/>
            <w:tcMar>
              <w:left w:w="0" w:type="dxa"/>
            </w:tcMar>
          </w:tcPr>
          <w:p w14:paraId="3F661337" w14:textId="6472DBE1" w:rsidR="00AD3606" w:rsidRPr="000F7289" w:rsidRDefault="00945CC6" w:rsidP="00945CC6">
            <w:pPr>
              <w:pStyle w:val="Source"/>
              <w:framePr w:hSpace="0" w:wrap="auto" w:vAnchor="margin" w:hAnchor="text" w:xAlign="left" w:yAlign="inline"/>
            </w:pPr>
            <w:bookmarkStart w:id="8" w:name="dsource" w:colFirst="0" w:colLast="0"/>
            <w:bookmarkEnd w:id="7"/>
            <w:r w:rsidRPr="00945CC6">
              <w:t xml:space="preserve">Contribution by </w:t>
            </w:r>
            <w:r w:rsidR="00D52E9B" w:rsidRPr="00D52E9B">
              <w:t>Egypt (Arab Republic of)</w:t>
            </w:r>
            <w:r w:rsidR="00D52E9B">
              <w:t xml:space="preserve">, </w:t>
            </w:r>
            <w:r w:rsidR="00D52E9B" w:rsidRPr="00D52E9B">
              <w:t>Kenya (Republic of)</w:t>
            </w:r>
            <w:r w:rsidR="00D52E9B">
              <w:t xml:space="preserve">, </w:t>
            </w:r>
            <w:r w:rsidR="00D52E9B" w:rsidRPr="00D52E9B">
              <w:t>Uganda (Republic of)</w:t>
            </w:r>
            <w:r w:rsidR="00D52E9B">
              <w:t xml:space="preserve">, </w:t>
            </w:r>
            <w:r w:rsidR="00D52E9B" w:rsidRPr="00D52E9B">
              <w:t>Rwanda (Republic of)</w:t>
            </w:r>
            <w:r w:rsidR="00D52E9B">
              <w:t xml:space="preserve">, </w:t>
            </w:r>
            <w:r w:rsidR="00D52E9B" w:rsidRPr="00D52E9B">
              <w:t>South Africa (Republic of)</w:t>
            </w:r>
            <w:r w:rsidR="00D52E9B">
              <w:t xml:space="preserve">, </w:t>
            </w:r>
            <w:r w:rsidR="00D52E9B" w:rsidRPr="00D52E9B">
              <w:t>Senegal (Republic of)</w:t>
            </w:r>
            <w:r w:rsidR="00D52E9B">
              <w:t xml:space="preserve">, </w:t>
            </w:r>
            <w:r w:rsidR="00D52E9B" w:rsidRPr="00D52E9B">
              <w:t>Tanzania (United Republic of)</w:t>
            </w:r>
            <w:r w:rsidR="00D52E9B">
              <w:t>, and Tunisia,</w:t>
            </w:r>
          </w:p>
        </w:tc>
      </w:tr>
      <w:tr w:rsidR="00AD3606" w:rsidRPr="00C0458D" w14:paraId="346B8EFE" w14:textId="77777777" w:rsidTr="00AD3606">
        <w:trPr>
          <w:cantSplit/>
        </w:trPr>
        <w:tc>
          <w:tcPr>
            <w:tcW w:w="9214" w:type="dxa"/>
            <w:gridSpan w:val="2"/>
            <w:tcMar>
              <w:left w:w="0" w:type="dxa"/>
            </w:tcMar>
          </w:tcPr>
          <w:p w14:paraId="637FAF0E" w14:textId="5E468F8A" w:rsidR="00AD3606" w:rsidRPr="000F7289" w:rsidRDefault="00D52E9B" w:rsidP="000F7289">
            <w:pPr>
              <w:pStyle w:val="Subtitle"/>
              <w:framePr w:hSpace="0" w:wrap="auto" w:xAlign="left" w:yAlign="inline"/>
            </w:pPr>
            <w:bookmarkStart w:id="9" w:name="dtitle1" w:colFirst="0" w:colLast="0"/>
            <w:bookmarkEnd w:id="8"/>
            <w:r>
              <w:t>REDUCING FINANCIAL BURDENS ON HOST COUNTRIES OF ITU CONFERENCES, MEETINGS AND ACTIVITIES</w:t>
            </w:r>
          </w:p>
        </w:tc>
      </w:tr>
      <w:tr w:rsidR="00AD3606" w:rsidRPr="00C0458D" w14:paraId="64F79403" w14:textId="77777777" w:rsidTr="00AD3606">
        <w:trPr>
          <w:cantSplit/>
        </w:trPr>
        <w:tc>
          <w:tcPr>
            <w:tcW w:w="9214" w:type="dxa"/>
            <w:gridSpan w:val="2"/>
            <w:tcBorders>
              <w:top w:val="single" w:sz="4" w:space="0" w:color="auto"/>
              <w:bottom w:val="single" w:sz="4" w:space="0" w:color="auto"/>
            </w:tcBorders>
            <w:tcMar>
              <w:left w:w="0" w:type="dxa"/>
            </w:tcMar>
          </w:tcPr>
          <w:p w14:paraId="1D597720" w14:textId="77777777" w:rsidR="00AD3606" w:rsidRPr="00C0458D" w:rsidRDefault="00F16BAB" w:rsidP="00F16BAB">
            <w:pPr>
              <w:spacing w:before="160"/>
              <w:rPr>
                <w:b/>
                <w:bCs/>
                <w:sz w:val="26"/>
                <w:szCs w:val="26"/>
              </w:rPr>
            </w:pPr>
            <w:r w:rsidRPr="00C0458D">
              <w:rPr>
                <w:b/>
                <w:bCs/>
                <w:sz w:val="26"/>
                <w:szCs w:val="26"/>
              </w:rPr>
              <w:t>Purpose</w:t>
            </w:r>
          </w:p>
          <w:p w14:paraId="0C3BB9BB" w14:textId="77777777" w:rsidR="00AD3606" w:rsidRPr="00C0458D" w:rsidRDefault="00D97169" w:rsidP="00D52E9B">
            <w:pPr>
              <w:jc w:val="both"/>
            </w:pPr>
            <w:r>
              <w:t>This proposal outlines practical measures to reduce host country costs while maintaining the quality and inclusivity of ITU events.</w:t>
            </w:r>
          </w:p>
          <w:p w14:paraId="6A50E9C3"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3D24CBD6" w14:textId="77F9F036" w:rsidR="00453079" w:rsidRPr="00453079" w:rsidRDefault="00D97169" w:rsidP="00F16BAB">
            <w:pPr>
              <w:spacing w:before="160"/>
              <w:rPr>
                <w:szCs w:val="24"/>
              </w:rPr>
            </w:pPr>
            <w:r>
              <w:t xml:space="preserve">The Council is invited to </w:t>
            </w:r>
            <w:r w:rsidRPr="00D52E9B">
              <w:rPr>
                <w:b/>
                <w:bCs/>
              </w:rPr>
              <w:t>consider</w:t>
            </w:r>
            <w:r>
              <w:t xml:space="preserve"> and </w:t>
            </w:r>
            <w:r w:rsidRPr="00D52E9B">
              <w:rPr>
                <w:b/>
                <w:bCs/>
              </w:rPr>
              <w:t>take</w:t>
            </w:r>
            <w:r>
              <w:t xml:space="preserve"> appropriate action.</w:t>
            </w:r>
          </w:p>
          <w:p w14:paraId="47AC9D18" w14:textId="77777777" w:rsidR="00C0458D" w:rsidRDefault="00C0458D">
            <w:r>
              <w:t>_______________</w:t>
            </w:r>
          </w:p>
          <w:p w14:paraId="44137F14" w14:textId="77777777" w:rsidR="00AD3606" w:rsidRPr="00C0458D" w:rsidRDefault="00AD3606" w:rsidP="00F16BAB">
            <w:pPr>
              <w:spacing w:before="160"/>
              <w:rPr>
                <w:b/>
                <w:bCs/>
                <w:sz w:val="26"/>
                <w:szCs w:val="26"/>
              </w:rPr>
            </w:pPr>
            <w:r w:rsidRPr="00C0458D">
              <w:rPr>
                <w:b/>
                <w:bCs/>
                <w:sz w:val="26"/>
                <w:szCs w:val="26"/>
              </w:rPr>
              <w:t>References</w:t>
            </w:r>
          </w:p>
          <w:p w14:paraId="3AFF088B" w14:textId="4E19BCA6" w:rsidR="00AD3606" w:rsidRPr="00722551" w:rsidRDefault="006E345D" w:rsidP="00C17D52">
            <w:pPr>
              <w:spacing w:after="160"/>
              <w:jc w:val="both"/>
              <w:rPr>
                <w:i/>
                <w:iCs/>
                <w:sz w:val="22"/>
                <w:szCs w:val="22"/>
              </w:rPr>
            </w:pPr>
            <w:hyperlink r:id="rId8" w:history="1">
              <w:r w:rsidRPr="00C17D52">
                <w:rPr>
                  <w:rStyle w:val="Hyperlink"/>
                  <w:i/>
                  <w:iCs/>
                  <w:sz w:val="22"/>
                  <w:szCs w:val="22"/>
                </w:rPr>
                <w:t>Decision 5 (Rev. Bucharest, 2022)</w:t>
              </w:r>
            </w:hyperlink>
            <w:r w:rsidR="00D52E9B">
              <w:rPr>
                <w:i/>
                <w:iCs/>
                <w:sz w:val="22"/>
                <w:szCs w:val="22"/>
              </w:rPr>
              <w:t xml:space="preserve"> of the Plenipotentiary Conference</w:t>
            </w:r>
            <w:r>
              <w:rPr>
                <w:i/>
                <w:iCs/>
                <w:sz w:val="22"/>
                <w:szCs w:val="22"/>
              </w:rPr>
              <w:t>;</w:t>
            </w:r>
            <w:r w:rsidRPr="006E345D">
              <w:rPr>
                <w:i/>
                <w:iCs/>
                <w:sz w:val="22"/>
                <w:szCs w:val="22"/>
              </w:rPr>
              <w:t xml:space="preserve"> Resolution</w:t>
            </w:r>
            <w:r w:rsidR="00D52E9B">
              <w:rPr>
                <w:i/>
                <w:iCs/>
                <w:sz w:val="22"/>
                <w:szCs w:val="22"/>
              </w:rPr>
              <w:t>s</w:t>
            </w:r>
            <w:r w:rsidRPr="006E345D">
              <w:rPr>
                <w:i/>
                <w:iCs/>
                <w:sz w:val="22"/>
                <w:szCs w:val="22"/>
              </w:rPr>
              <w:t xml:space="preserve"> </w:t>
            </w:r>
            <w:hyperlink r:id="rId9" w:history="1">
              <w:r w:rsidRPr="00C17D52">
                <w:rPr>
                  <w:rStyle w:val="Hyperlink"/>
                  <w:i/>
                  <w:iCs/>
                  <w:sz w:val="22"/>
                  <w:szCs w:val="22"/>
                </w:rPr>
                <w:t>66 (Rev. Bucharest, 2022)</w:t>
              </w:r>
            </w:hyperlink>
            <w:r w:rsidR="005C6AEC">
              <w:rPr>
                <w:i/>
                <w:iCs/>
                <w:sz w:val="22"/>
                <w:szCs w:val="22"/>
              </w:rPr>
              <w:t xml:space="preserve">, </w:t>
            </w:r>
            <w:r w:rsidR="007D2D94">
              <w:rPr>
                <w:i/>
                <w:iCs/>
                <w:sz w:val="22"/>
                <w:szCs w:val="22"/>
              </w:rPr>
              <w:t xml:space="preserve">on </w:t>
            </w:r>
            <w:r w:rsidRPr="006E345D">
              <w:rPr>
                <w:i/>
                <w:iCs/>
                <w:sz w:val="22"/>
                <w:szCs w:val="22"/>
              </w:rPr>
              <w:t>Documents and publications of the Union</w:t>
            </w:r>
            <w:r w:rsidR="00D52E9B">
              <w:rPr>
                <w:i/>
                <w:iCs/>
                <w:sz w:val="22"/>
                <w:szCs w:val="22"/>
              </w:rPr>
              <w:t>, and</w:t>
            </w:r>
            <w:r w:rsidRPr="006E345D">
              <w:rPr>
                <w:i/>
                <w:iCs/>
                <w:sz w:val="22"/>
                <w:szCs w:val="22"/>
              </w:rPr>
              <w:t xml:space="preserve"> </w:t>
            </w:r>
            <w:hyperlink r:id="rId10" w:history="1">
              <w:r w:rsidRPr="00C17D52">
                <w:rPr>
                  <w:rStyle w:val="Hyperlink"/>
                  <w:i/>
                  <w:iCs/>
                  <w:sz w:val="22"/>
                  <w:szCs w:val="22"/>
                </w:rPr>
                <w:t>167 (Rev. Bucharest, 2022)</w:t>
              </w:r>
            </w:hyperlink>
            <w:r w:rsidR="005C6AEC">
              <w:rPr>
                <w:i/>
                <w:iCs/>
                <w:sz w:val="22"/>
                <w:szCs w:val="22"/>
              </w:rPr>
              <w:t xml:space="preserve">, </w:t>
            </w:r>
            <w:r w:rsidR="007D2D94">
              <w:rPr>
                <w:i/>
                <w:iCs/>
                <w:sz w:val="22"/>
                <w:szCs w:val="22"/>
              </w:rPr>
              <w:t xml:space="preserve">on </w:t>
            </w:r>
            <w:r w:rsidR="005C6AEC" w:rsidRPr="006E345D">
              <w:rPr>
                <w:i/>
                <w:iCs/>
                <w:sz w:val="22"/>
                <w:szCs w:val="22"/>
              </w:rPr>
              <w:t xml:space="preserve">virtual </w:t>
            </w:r>
            <w:r w:rsidR="007D2D94" w:rsidRPr="006E345D">
              <w:rPr>
                <w:i/>
                <w:iCs/>
                <w:sz w:val="22"/>
                <w:szCs w:val="22"/>
              </w:rPr>
              <w:t>and hybrid meetings and use of electronic means</w:t>
            </w:r>
            <w:r w:rsidR="005C6AEC">
              <w:rPr>
                <w:i/>
                <w:iCs/>
                <w:sz w:val="22"/>
                <w:szCs w:val="22"/>
              </w:rPr>
              <w:t>,</w:t>
            </w:r>
            <w:r w:rsidR="007D2D94">
              <w:rPr>
                <w:i/>
                <w:iCs/>
                <w:sz w:val="22"/>
                <w:szCs w:val="22"/>
              </w:rPr>
              <w:t xml:space="preserve"> </w:t>
            </w:r>
            <w:r w:rsidR="00D52E9B">
              <w:rPr>
                <w:i/>
                <w:iCs/>
                <w:sz w:val="22"/>
                <w:szCs w:val="22"/>
              </w:rPr>
              <w:t>of the Plenipotentiary Conference</w:t>
            </w:r>
            <w:r w:rsidRPr="006E345D">
              <w:rPr>
                <w:i/>
                <w:iCs/>
                <w:sz w:val="22"/>
                <w:szCs w:val="22"/>
              </w:rPr>
              <w:t>.</w:t>
            </w:r>
          </w:p>
        </w:tc>
      </w:tr>
    </w:tbl>
    <w:p w14:paraId="08F616ED"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3DA41C9"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471AA4FE" w14:textId="2719F05B" w:rsidR="006E345D" w:rsidRPr="006E345D" w:rsidRDefault="006E345D" w:rsidP="007D2D94">
      <w:pPr>
        <w:pStyle w:val="Headingb"/>
      </w:pPr>
      <w:r w:rsidRPr="006E345D">
        <w:lastRenderedPageBreak/>
        <w:t>Background</w:t>
      </w:r>
    </w:p>
    <w:p w14:paraId="64389078" w14:textId="77777777" w:rsidR="006E345D" w:rsidRDefault="006E345D" w:rsidP="005545EB">
      <w:pPr>
        <w:jc w:val="both"/>
      </w:pPr>
      <w:r w:rsidRPr="006E345D">
        <w:t>The International Telecommunication Union (ITU) plays a key role in global digital development through conferences, meetings, forums, and activities that are hosted not only in Geneva but also by Member States across all regions. These events enhance inclusive participation, foster capacity-building, and strengthen the Union’s field presence</w:t>
      </w:r>
      <w:r>
        <w:t xml:space="preserve">, </w:t>
      </w:r>
      <w:r w:rsidRPr="006E345D">
        <w:t>supporting its mandate of global digital inclusion and sectoral development.</w:t>
      </w:r>
    </w:p>
    <w:p w14:paraId="690B3085" w14:textId="77777777" w:rsidR="006E345D" w:rsidRPr="006E345D" w:rsidRDefault="006E345D" w:rsidP="005545EB">
      <w:pPr>
        <w:jc w:val="both"/>
      </w:pPr>
      <w:r w:rsidRPr="006E345D">
        <w:t xml:space="preserve">Hosting such events, while beneficial for regional engagement, often involves substantial logistical commitments from host countries, particularly in the areas of interpretation services, IT infrastructure provisioning, and </w:t>
      </w:r>
      <w:r w:rsidR="0006343B" w:rsidRPr="006E345D">
        <w:t>production of printed materials</w:t>
      </w:r>
      <w:r w:rsidRPr="006E345D">
        <w:t>.</w:t>
      </w:r>
      <w:r>
        <w:t xml:space="preserve"> </w:t>
      </w:r>
      <w:r w:rsidRPr="006E345D">
        <w:t>These costs can deter potential hosts—particularly developing countries—from volunteering to organize such events.</w:t>
      </w:r>
    </w:p>
    <w:p w14:paraId="6D5151DA" w14:textId="77777777" w:rsidR="006E345D" w:rsidRPr="006E345D" w:rsidRDefault="006E345D" w:rsidP="005545EB">
      <w:pPr>
        <w:jc w:val="both"/>
      </w:pPr>
      <w:r w:rsidRPr="006E345D">
        <w:rPr>
          <w:rStyle w:val="Strong"/>
          <w:rFonts w:cs="Calibri"/>
        </w:rPr>
        <w:t>Decision 5 (Rev. Bucharest, 2022)</w:t>
      </w:r>
      <w:r w:rsidRPr="006E345D">
        <w:t xml:space="preserve"> and its </w:t>
      </w:r>
      <w:r w:rsidRPr="006E345D">
        <w:rPr>
          <w:rStyle w:val="Strong"/>
          <w:rFonts w:cs="Calibri"/>
        </w:rPr>
        <w:t>Annex 2</w:t>
      </w:r>
      <w:r w:rsidRPr="006E345D">
        <w:t xml:space="preserve"> provide a comprehensive framework for improving ITU efficiency and reducing operational expenses, encouraging measures such as leveraging local resources, digitalizing workflows, and minimizing travel and shipping.</w:t>
      </w:r>
    </w:p>
    <w:p w14:paraId="63BE1BD8" w14:textId="77777777" w:rsidR="006E345D" w:rsidRDefault="006E345D" w:rsidP="005545EB">
      <w:pPr>
        <w:jc w:val="both"/>
      </w:pPr>
      <w:r w:rsidRPr="006E345D">
        <w:t>This contribution seeks to support the implementation of Decision 5 and further facilitate the hosting of ITU events worldwide by proposing specific, actionable cost-reduction measures.</w:t>
      </w:r>
    </w:p>
    <w:p w14:paraId="0F3F0CDB" w14:textId="2926ABA0" w:rsidR="0006343B" w:rsidRPr="0006343B" w:rsidRDefault="0006343B" w:rsidP="007D2D94">
      <w:pPr>
        <w:pStyle w:val="Headingb"/>
      </w:pPr>
      <w:r w:rsidRPr="0006343B">
        <w:t>Proposal</w:t>
      </w:r>
    </w:p>
    <w:p w14:paraId="00DCE9CE" w14:textId="7643D152" w:rsidR="0006343B" w:rsidRDefault="0006343B" w:rsidP="005C6AEC">
      <w:pPr>
        <w:jc w:val="both"/>
      </w:pPr>
      <w:r w:rsidRPr="0006343B">
        <w:t>To facilitate broader participation of countries</w:t>
      </w:r>
      <w:r w:rsidR="005C6AEC">
        <w:t xml:space="preserve"> </w:t>
      </w:r>
      <w:r w:rsidRPr="0006343B">
        <w:t>—especially developing ones—</w:t>
      </w:r>
      <w:r w:rsidR="005C6AEC">
        <w:t xml:space="preserve"> </w:t>
      </w:r>
      <w:r w:rsidRPr="0006343B">
        <w:t>as hosts of ITU activities, the following proposals are submitted for consideration:</w:t>
      </w:r>
    </w:p>
    <w:p w14:paraId="360238D0" w14:textId="3BDDF771" w:rsidR="0006343B" w:rsidRPr="0006343B" w:rsidRDefault="007D2D94" w:rsidP="005545EB">
      <w:pPr>
        <w:pStyle w:val="Heading1"/>
      </w:pPr>
      <w:r w:rsidRPr="0006343B">
        <w:t>1</w:t>
      </w:r>
      <w:r w:rsidRPr="0006343B">
        <w:tab/>
      </w:r>
      <w:r w:rsidR="0006343B" w:rsidRPr="0006343B">
        <w:t xml:space="preserve">Utilize </w:t>
      </w:r>
      <w:r w:rsidR="005C6AEC" w:rsidRPr="0006343B">
        <w:t>local/national interpretation resources</w:t>
      </w:r>
    </w:p>
    <w:p w14:paraId="0E4A4727" w14:textId="77777777" w:rsidR="0006343B" w:rsidRDefault="0006343B" w:rsidP="005C6AEC">
      <w:pPr>
        <w:jc w:val="both"/>
      </w:pPr>
      <w:r w:rsidRPr="0006343B">
        <w:t>Annex 2, article 12</w:t>
      </w:r>
      <w:r w:rsidR="00D97169">
        <w:t xml:space="preserve"> of Decision 5,</w:t>
      </w:r>
      <w:r w:rsidRPr="0006343B">
        <w:t xml:space="preserve"> recommends reducing the cost of interpretation through optimization measures and the use of alternative translation procedures. </w:t>
      </w:r>
      <w:r>
        <w:t xml:space="preserve">Therefore, </w:t>
      </w:r>
      <w:r w:rsidRPr="0006343B">
        <w:t xml:space="preserve">ITU </w:t>
      </w:r>
      <w:r>
        <w:t xml:space="preserve">is encouraged </w:t>
      </w:r>
      <w:r w:rsidRPr="0006343B">
        <w:t xml:space="preserve">to work with host countries to recruit </w:t>
      </w:r>
      <w:r w:rsidRPr="0006343B">
        <w:rPr>
          <w:b/>
          <w:bCs/>
        </w:rPr>
        <w:t>qualified local interpreters</w:t>
      </w:r>
      <w:r w:rsidRPr="0006343B">
        <w:t xml:space="preserve"> in official UN/ITU languages.</w:t>
      </w:r>
      <w:r>
        <w:t xml:space="preserve"> </w:t>
      </w:r>
      <w:r w:rsidRPr="0006343B">
        <w:t xml:space="preserve">This would reduce the </w:t>
      </w:r>
      <w:r w:rsidRPr="0006343B">
        <w:rPr>
          <w:b/>
          <w:bCs/>
        </w:rPr>
        <w:t>travel, accommodation, and per diem expenses</w:t>
      </w:r>
      <w:r w:rsidRPr="0006343B">
        <w:t xml:space="preserve"> otherwise borne by either ITU or the host country.</w:t>
      </w:r>
      <w:r>
        <w:t xml:space="preserve"> </w:t>
      </w:r>
      <w:r w:rsidRPr="0006343B">
        <w:t>Guidelines and quality assurance processes can be developed jointly with ITU language services to ensure standards are maintained.</w:t>
      </w:r>
    </w:p>
    <w:p w14:paraId="52985BF6" w14:textId="1EBD7301" w:rsidR="0006343B" w:rsidRDefault="007D2D94" w:rsidP="005545EB">
      <w:pPr>
        <w:pStyle w:val="Heading1"/>
      </w:pPr>
      <w:r>
        <w:t>2</w:t>
      </w:r>
      <w:r>
        <w:tab/>
      </w:r>
      <w:r w:rsidR="0006343B">
        <w:t xml:space="preserve">Local </w:t>
      </w:r>
      <w:r w:rsidR="005C6AEC">
        <w:t xml:space="preserve">provision </w:t>
      </w:r>
      <w:r w:rsidR="0006343B">
        <w:t xml:space="preserve">of IT </w:t>
      </w:r>
      <w:r w:rsidR="005C6AEC">
        <w:t>equipment and devices</w:t>
      </w:r>
    </w:p>
    <w:p w14:paraId="3A0CE06F" w14:textId="77777777" w:rsidR="0006343B" w:rsidRPr="0006343B" w:rsidRDefault="0006343B" w:rsidP="005C6AEC">
      <w:pPr>
        <w:jc w:val="both"/>
      </w:pPr>
      <w:r w:rsidRPr="0006343B">
        <w:t>Instead of shipping ITU-owned equipment, the host country may be authorized (with ITU technical guidance) to rent or provide locally available IT equipment, such as laptops, printers, access control systems, etc.</w:t>
      </w:r>
      <w:r>
        <w:t xml:space="preserve"> </w:t>
      </w:r>
      <w:r w:rsidRPr="0006343B">
        <w:t>This will significantly reduce freight costs, customs duties, and potential delays, contributing to both cost and time efficiency.</w:t>
      </w:r>
      <w:r>
        <w:t xml:space="preserve"> </w:t>
      </w:r>
      <w:r w:rsidRPr="0006343B">
        <w:t>Where applicable, ITU may maintain a recommended list of technical specifications for standard equipment required at its events.</w:t>
      </w:r>
      <w:r>
        <w:t xml:space="preserve"> </w:t>
      </w:r>
      <w:r w:rsidRPr="0006343B">
        <w:t xml:space="preserve">Annex 2, </w:t>
      </w:r>
      <w:r w:rsidR="00D97169">
        <w:t>Article</w:t>
      </w:r>
      <w:r w:rsidRPr="0006343B">
        <w:t xml:space="preserve"> 5 </w:t>
      </w:r>
      <w:r w:rsidR="00D97169">
        <w:t xml:space="preserve">of Decision 5 </w:t>
      </w:r>
      <w:r w:rsidRPr="0006343B">
        <w:t>encourages the use of local experts and resources to save on travel and logistics costs, especially in the planning and organization of events outside Geneva.</w:t>
      </w:r>
      <w:r w:rsidR="00D97169">
        <w:t xml:space="preserve"> </w:t>
      </w:r>
      <w:r w:rsidRPr="0006343B">
        <w:t xml:space="preserve">Additionally, </w:t>
      </w:r>
      <w:r w:rsidR="00D97169">
        <w:t>article</w:t>
      </w:r>
      <w:r w:rsidRPr="0006343B">
        <w:t xml:space="preserve"> 17 promotes criteria to reduce travel-related expenses, indirectly supporting in-country provisioning of needed equipment.</w:t>
      </w:r>
    </w:p>
    <w:p w14:paraId="1B0AC3AA" w14:textId="14A4ED63" w:rsidR="00BA2099" w:rsidRPr="007D2D94" w:rsidRDefault="007D2D94" w:rsidP="005C6AEC">
      <w:pPr>
        <w:pStyle w:val="Heading1"/>
        <w:rPr>
          <w:lang w:val="en-US"/>
        </w:rPr>
      </w:pPr>
      <w:r w:rsidRPr="00BA2099">
        <w:rPr>
          <w:lang w:val="en-US"/>
        </w:rPr>
        <w:t>3</w:t>
      </w:r>
      <w:r w:rsidRPr="00BA2099">
        <w:rPr>
          <w:lang w:val="en-US"/>
        </w:rPr>
        <w:tab/>
      </w:r>
      <w:r w:rsidR="00BA2099" w:rsidRPr="007D2D94">
        <w:rPr>
          <w:lang w:val="en-US"/>
        </w:rPr>
        <w:t xml:space="preserve">Transition to </w:t>
      </w:r>
      <w:r w:rsidR="005C6AEC" w:rsidRPr="007D2D94">
        <w:rPr>
          <w:lang w:val="en-US"/>
        </w:rPr>
        <w:t>digital conference badges</w:t>
      </w:r>
    </w:p>
    <w:p w14:paraId="07011339" w14:textId="77777777" w:rsidR="00D97169" w:rsidRPr="00D97169" w:rsidRDefault="00D97169" w:rsidP="005C6AEC">
      <w:pPr>
        <w:jc w:val="both"/>
        <w:rPr>
          <w:lang w:val="en-US"/>
        </w:rPr>
      </w:pPr>
      <w:r w:rsidRPr="00D97169">
        <w:rPr>
          <w:lang w:val="en-US"/>
        </w:rPr>
        <w:t xml:space="preserve">Annex 2 to Decision 5 (Rev. Bucharest, 2022), </w:t>
      </w:r>
      <w:r>
        <w:rPr>
          <w:lang w:val="en-US"/>
        </w:rPr>
        <w:t>articles</w:t>
      </w:r>
      <w:r w:rsidRPr="00D97169">
        <w:rPr>
          <w:lang w:val="en-US"/>
        </w:rPr>
        <w:t xml:space="preserve"> 10 and 11, strongly encourage ITU to conduct “paperless conferences and meetings of all kinds and at all levels,” reduce the printing </w:t>
      </w:r>
      <w:r w:rsidRPr="00D97169">
        <w:rPr>
          <w:lang w:val="en-US"/>
        </w:rPr>
        <w:lastRenderedPageBreak/>
        <w:t xml:space="preserve">and distribution of non-revenue-generating </w:t>
      </w:r>
      <w:proofErr w:type="gramStart"/>
      <w:r w:rsidRPr="00D97169">
        <w:rPr>
          <w:lang w:val="en-US"/>
        </w:rPr>
        <w:t>materials, and</w:t>
      </w:r>
      <w:proofErr w:type="gramEnd"/>
      <w:r w:rsidRPr="00D97169">
        <w:rPr>
          <w:lang w:val="en-US"/>
        </w:rPr>
        <w:t xml:space="preserve"> maximize the use of digital platforms and communication methods.</w:t>
      </w:r>
      <w:r>
        <w:rPr>
          <w:lang w:val="en-US"/>
        </w:rPr>
        <w:t xml:space="preserve"> </w:t>
      </w:r>
      <w:r w:rsidRPr="00D97169">
        <w:rPr>
          <w:lang w:val="en-US"/>
        </w:rPr>
        <w:t>Transitioning from printed identification materials (e.g., paper or plastic badges) to digital conference credentials, such as QR-code-enabled mobile badges, supports these goals by eliminating the need for physical production, reducing environmental impact, and simplifying logistics.</w:t>
      </w:r>
    </w:p>
    <w:p w14:paraId="4F4B299A" w14:textId="77777777" w:rsidR="0006343B" w:rsidRDefault="00D97169" w:rsidP="005C6AEC">
      <w:pPr>
        <w:jc w:val="both"/>
        <w:rPr>
          <w:lang w:val="en-US"/>
        </w:rPr>
      </w:pPr>
      <w:r w:rsidRPr="00D97169">
        <w:rPr>
          <w:lang w:val="en-US"/>
        </w:rPr>
        <w:t>This approach is already being implemented across other United Nations agencies, including the United Nations Office at Geneva (</w:t>
      </w:r>
      <w:proofErr w:type="spellStart"/>
      <w:r w:rsidRPr="00D97169">
        <w:rPr>
          <w:lang w:val="en-US"/>
        </w:rPr>
        <w:t>UNOG</w:t>
      </w:r>
      <w:proofErr w:type="spellEnd"/>
      <w:r w:rsidRPr="00D97169">
        <w:rPr>
          <w:lang w:val="en-US"/>
        </w:rPr>
        <w:t>) and United Nations Framework Convention on Climate Change (UNFCCC), both of which have adopted digital badge systems for high-level events. These systems provide secure access, real-time verification, and cost reductions without compromising identity assurance or participant experience.</w:t>
      </w:r>
      <w:r>
        <w:rPr>
          <w:lang w:val="en-US"/>
        </w:rPr>
        <w:t xml:space="preserve"> </w:t>
      </w:r>
      <w:r w:rsidRPr="00D97169">
        <w:rPr>
          <w:lang w:val="en-US"/>
        </w:rPr>
        <w:t>By following this best practice, ITU and host countries can both enhance sustainability and reduce the administrative and material costs of badge production, distribution, and reprinting.</w:t>
      </w:r>
    </w:p>
    <w:p w14:paraId="1187E61E" w14:textId="0E0D1637" w:rsidR="00D97169" w:rsidRPr="00D97169" w:rsidRDefault="00D97169" w:rsidP="005C6AEC">
      <w:pPr>
        <w:pStyle w:val="Headingb"/>
      </w:pPr>
      <w:r w:rsidRPr="00D97169">
        <w:t>Conclusion</w:t>
      </w:r>
    </w:p>
    <w:p w14:paraId="2593D954" w14:textId="77777777" w:rsidR="00D97169" w:rsidRPr="00D97169" w:rsidRDefault="00D97169" w:rsidP="005C6AEC">
      <w:pPr>
        <w:jc w:val="both"/>
      </w:pPr>
      <w:r w:rsidRPr="00D97169">
        <w:t>By implementing these practical, cost-efficient measures, ITU and its Member States can jointly support the broader goal of increasing regional participation in ITU activities while aligning with its strategic and financial objectives. These steps will also contribute to the Union’s commitment to sustainability, digital transformation, and inclusive international cooperation.</w:t>
      </w:r>
    </w:p>
    <w:p w14:paraId="59BF50FF" w14:textId="77777777" w:rsidR="007A3FCD" w:rsidRPr="007A3FCD" w:rsidRDefault="007A3FCD" w:rsidP="00D52E9B">
      <w:pPr>
        <w:pStyle w:val="Reasons"/>
        <w:spacing w:before="120" w:after="120"/>
        <w:rPr>
          <w:rFonts w:asciiTheme="minorHAnsi" w:hAnsiTheme="minorHAnsi" w:cstheme="minorHAnsi"/>
        </w:rPr>
      </w:pPr>
    </w:p>
    <w:p w14:paraId="1B9322F3" w14:textId="77777777" w:rsidR="007A3FCD" w:rsidRPr="00C0458D" w:rsidRDefault="007A3FCD" w:rsidP="00D52E9B">
      <w:pPr>
        <w:tabs>
          <w:tab w:val="clear" w:pos="567"/>
          <w:tab w:val="clear" w:pos="1134"/>
          <w:tab w:val="clear" w:pos="1701"/>
          <w:tab w:val="clear" w:pos="2268"/>
          <w:tab w:val="clear" w:pos="2835"/>
        </w:tabs>
        <w:spacing w:after="120"/>
        <w:jc w:val="center"/>
      </w:pPr>
      <w:r>
        <w:t>______________</w:t>
      </w:r>
    </w:p>
    <w:sectPr w:rsidR="007A3FCD" w:rsidRPr="00C0458D"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5152" w14:textId="77777777" w:rsidR="00EC0BE6" w:rsidRDefault="00EC0BE6">
      <w:r>
        <w:separator/>
      </w:r>
    </w:p>
  </w:endnote>
  <w:endnote w:type="continuationSeparator" w:id="0">
    <w:p w14:paraId="759A58FA" w14:textId="77777777" w:rsidR="00EC0BE6" w:rsidRDefault="00EC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306735C" w14:textId="77777777" w:rsidTr="0042469C">
      <w:trPr>
        <w:jc w:val="center"/>
      </w:trPr>
      <w:tc>
        <w:tcPr>
          <w:tcW w:w="1803" w:type="dxa"/>
          <w:vAlign w:val="center"/>
        </w:tcPr>
        <w:p w14:paraId="7E53ACD0" w14:textId="77777777" w:rsidR="00EE49E8" w:rsidRDefault="00C6520B" w:rsidP="00EE49E8">
          <w:pPr>
            <w:pStyle w:val="Header"/>
            <w:jc w:val="left"/>
            <w:rPr>
              <w:noProof/>
            </w:rPr>
          </w:pPr>
          <w:r>
            <w:rPr>
              <w:noProof/>
            </w:rPr>
            <w:t>gDoc #</w:t>
          </w:r>
        </w:p>
      </w:tc>
      <w:tc>
        <w:tcPr>
          <w:tcW w:w="8261" w:type="dxa"/>
        </w:tcPr>
        <w:p w14:paraId="6B19ACC8" w14:textId="61682883"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proofErr w:type="spellStart"/>
          <w:r w:rsidRPr="00623AE3">
            <w:rPr>
              <w:bCs/>
            </w:rPr>
            <w:t>C</w:t>
          </w:r>
          <w:r>
            <w:rPr>
              <w:bCs/>
            </w:rPr>
            <w:t>2</w:t>
          </w:r>
          <w:r w:rsidR="00C6520B">
            <w:rPr>
              <w:bCs/>
            </w:rPr>
            <w:t>5</w:t>
          </w:r>
          <w:proofErr w:type="spellEnd"/>
          <w:r w:rsidRPr="00623AE3">
            <w:rPr>
              <w:bCs/>
            </w:rPr>
            <w:t>/</w:t>
          </w:r>
          <w:r w:rsidR="00C17D52">
            <w:rPr>
              <w:bCs/>
            </w:rPr>
            <w:t>95</w:t>
          </w:r>
          <w:r w:rsidRPr="00623AE3">
            <w:rPr>
              <w:bCs/>
            </w:rPr>
            <w:t>-E</w:t>
          </w:r>
          <w:r>
            <w:rPr>
              <w:bCs/>
            </w:rPr>
            <w:tab/>
          </w:r>
          <w:r>
            <w:fldChar w:fldCharType="begin"/>
          </w:r>
          <w:r>
            <w:instrText>PAGE</w:instrText>
          </w:r>
          <w:r>
            <w:fldChar w:fldCharType="separate"/>
          </w:r>
          <w:r>
            <w:t>1</w:t>
          </w:r>
          <w:r>
            <w:rPr>
              <w:noProof/>
            </w:rPr>
            <w:fldChar w:fldCharType="end"/>
          </w:r>
        </w:p>
      </w:tc>
    </w:tr>
  </w:tbl>
  <w:p w14:paraId="39847042"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76B62127" w14:textId="77777777" w:rsidTr="006B77F1">
      <w:trPr>
        <w:jc w:val="center"/>
      </w:trPr>
      <w:tc>
        <w:tcPr>
          <w:tcW w:w="1803" w:type="dxa"/>
          <w:vAlign w:val="center"/>
        </w:tcPr>
        <w:p w14:paraId="45AEE56C" w14:textId="77777777" w:rsidR="00EE49E8" w:rsidRPr="006B77F1" w:rsidRDefault="00BF1FDE" w:rsidP="00EE49E8">
          <w:pPr>
            <w:pStyle w:val="Header"/>
            <w:jc w:val="left"/>
            <w:rPr>
              <w:noProof/>
            </w:rPr>
          </w:pPr>
          <w:hyperlink r:id="rId1" w:history="1">
            <w:proofErr w:type="spellStart"/>
            <w:r w:rsidRPr="006B77F1">
              <w:rPr>
                <w:rStyle w:val="Hyperlink"/>
                <w:u w:val="none"/>
              </w:rPr>
              <w:t>council.itu.int</w:t>
            </w:r>
            <w:proofErr w:type="spellEnd"/>
            <w:r w:rsidRPr="006B77F1">
              <w:rPr>
                <w:rStyle w:val="Hyperlink"/>
                <w:u w:val="none"/>
              </w:rPr>
              <w:t>/2025</w:t>
            </w:r>
          </w:hyperlink>
        </w:p>
      </w:tc>
      <w:tc>
        <w:tcPr>
          <w:tcW w:w="8261" w:type="dxa"/>
        </w:tcPr>
        <w:p w14:paraId="61A449F5" w14:textId="551B4B34"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F1FDE">
            <w:rPr>
              <w:bCs/>
            </w:rPr>
            <w:t>5</w:t>
          </w:r>
          <w:proofErr w:type="spellEnd"/>
          <w:r w:rsidRPr="00623AE3">
            <w:rPr>
              <w:bCs/>
            </w:rPr>
            <w:t>/</w:t>
          </w:r>
          <w:r w:rsidR="00C17D52">
            <w:rPr>
              <w:bCs/>
            </w:rPr>
            <w:t>95</w:t>
          </w:r>
          <w:r w:rsidRPr="00623AE3">
            <w:rPr>
              <w:bCs/>
            </w:rPr>
            <w:t>-E</w:t>
          </w:r>
          <w:r>
            <w:rPr>
              <w:bCs/>
            </w:rPr>
            <w:tab/>
          </w:r>
          <w:r>
            <w:fldChar w:fldCharType="begin"/>
          </w:r>
          <w:r>
            <w:instrText>PAGE</w:instrText>
          </w:r>
          <w:r>
            <w:fldChar w:fldCharType="separate"/>
          </w:r>
          <w:r>
            <w:t>1</w:t>
          </w:r>
          <w:r>
            <w:rPr>
              <w:noProof/>
            </w:rPr>
            <w:fldChar w:fldCharType="end"/>
          </w:r>
        </w:p>
      </w:tc>
    </w:tr>
  </w:tbl>
  <w:p w14:paraId="4422DD9D"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7808" w14:textId="77777777" w:rsidR="00EC0BE6" w:rsidRDefault="00EC0BE6">
      <w:r>
        <w:t>____________________</w:t>
      </w:r>
    </w:p>
  </w:footnote>
  <w:footnote w:type="continuationSeparator" w:id="0">
    <w:p w14:paraId="3338D443" w14:textId="77777777" w:rsidR="00EC0BE6" w:rsidRDefault="00EC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6F62E524" w14:textId="77777777" w:rsidTr="00C91CFC">
      <w:trPr>
        <w:trHeight w:val="1104"/>
        <w:jc w:val="center"/>
      </w:trPr>
      <w:tc>
        <w:tcPr>
          <w:tcW w:w="4390" w:type="dxa"/>
          <w:vAlign w:val="center"/>
        </w:tcPr>
        <w:p w14:paraId="4E3D89BB" w14:textId="77777777" w:rsidR="00AD3606" w:rsidRPr="009621F8" w:rsidRDefault="003936D3" w:rsidP="00CF4A2B">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0BEB7EA7" wp14:editId="6466951F">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9D9B722" w14:textId="77777777" w:rsidR="00AD3606" w:rsidRDefault="00AD3606" w:rsidP="00AD3606">
          <w:pPr>
            <w:pStyle w:val="Header"/>
            <w:jc w:val="right"/>
            <w:rPr>
              <w:rFonts w:ascii="Arial" w:hAnsi="Arial" w:cs="Arial"/>
              <w:b/>
              <w:bCs/>
              <w:color w:val="009CD6"/>
              <w:szCs w:val="18"/>
            </w:rPr>
          </w:pPr>
        </w:p>
        <w:p w14:paraId="205351EB" w14:textId="77777777" w:rsidR="00AD3606" w:rsidRDefault="00AD3606" w:rsidP="00AD3606">
          <w:pPr>
            <w:pStyle w:val="Header"/>
            <w:jc w:val="right"/>
            <w:rPr>
              <w:rFonts w:ascii="Arial" w:hAnsi="Arial" w:cs="Arial"/>
              <w:b/>
              <w:bCs/>
              <w:color w:val="009CD6"/>
              <w:szCs w:val="18"/>
            </w:rPr>
          </w:pPr>
        </w:p>
        <w:p w14:paraId="377A718C"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FFD9BC0"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E73B8E7" wp14:editId="48894C4F">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E659C" id="Rectangle 5" o:spid="_x0000_s1026" style="position:absolute;margin-left:.3pt;margin-top:47.3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5D4B38"/>
    <w:multiLevelType w:val="hybridMultilevel"/>
    <w:tmpl w:val="389ADBFE"/>
    <w:lvl w:ilvl="0" w:tplc="A43AC160">
      <w:numFmt w:val="bullet"/>
      <w:lvlText w:val=""/>
      <w:lvlJc w:val="left"/>
      <w:pPr>
        <w:ind w:left="720" w:hanging="360"/>
      </w:pPr>
      <w:rPr>
        <w:rFonts w:ascii="Symbol" w:eastAsia="Times New Roman"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51D9C"/>
    <w:multiLevelType w:val="hybridMultilevel"/>
    <w:tmpl w:val="55BE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1490B"/>
    <w:multiLevelType w:val="multilevel"/>
    <w:tmpl w:val="DB3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F946E3"/>
    <w:multiLevelType w:val="hybridMultilevel"/>
    <w:tmpl w:val="553A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837816">
    <w:abstractNumId w:val="0"/>
  </w:num>
  <w:num w:numId="2" w16cid:durableId="1559975599">
    <w:abstractNumId w:val="4"/>
  </w:num>
  <w:num w:numId="3" w16cid:durableId="740835758">
    <w:abstractNumId w:val="1"/>
  </w:num>
  <w:num w:numId="4" w16cid:durableId="445080046">
    <w:abstractNumId w:val="3"/>
  </w:num>
  <w:num w:numId="5" w16cid:durableId="85199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210D4"/>
    <w:rsid w:val="0006007D"/>
    <w:rsid w:val="00063016"/>
    <w:rsid w:val="0006343B"/>
    <w:rsid w:val="00066795"/>
    <w:rsid w:val="000745AB"/>
    <w:rsid w:val="00076AF6"/>
    <w:rsid w:val="00085CF2"/>
    <w:rsid w:val="000B1705"/>
    <w:rsid w:val="000C0AD6"/>
    <w:rsid w:val="000D75B2"/>
    <w:rsid w:val="000F5DDB"/>
    <w:rsid w:val="000F7289"/>
    <w:rsid w:val="001121F5"/>
    <w:rsid w:val="001400DC"/>
    <w:rsid w:val="00140CE1"/>
    <w:rsid w:val="0017539C"/>
    <w:rsid w:val="00175AC2"/>
    <w:rsid w:val="0017609F"/>
    <w:rsid w:val="001A3154"/>
    <w:rsid w:val="001A7D1D"/>
    <w:rsid w:val="001B51DD"/>
    <w:rsid w:val="001C628E"/>
    <w:rsid w:val="001E0F7B"/>
    <w:rsid w:val="001F5569"/>
    <w:rsid w:val="00203694"/>
    <w:rsid w:val="002119FD"/>
    <w:rsid w:val="002130E0"/>
    <w:rsid w:val="00221F46"/>
    <w:rsid w:val="00240B32"/>
    <w:rsid w:val="00264425"/>
    <w:rsid w:val="00265875"/>
    <w:rsid w:val="0027303B"/>
    <w:rsid w:val="0028109B"/>
    <w:rsid w:val="002A2188"/>
    <w:rsid w:val="002B1F58"/>
    <w:rsid w:val="002C1C7A"/>
    <w:rsid w:val="002C54E2"/>
    <w:rsid w:val="002F1D2E"/>
    <w:rsid w:val="0030160F"/>
    <w:rsid w:val="00320223"/>
    <w:rsid w:val="00322D0D"/>
    <w:rsid w:val="00361465"/>
    <w:rsid w:val="003877F5"/>
    <w:rsid w:val="003936D3"/>
    <w:rsid w:val="003942D4"/>
    <w:rsid w:val="003958A8"/>
    <w:rsid w:val="003B29C2"/>
    <w:rsid w:val="003C2533"/>
    <w:rsid w:val="003D5A7F"/>
    <w:rsid w:val="0040435A"/>
    <w:rsid w:val="00416A24"/>
    <w:rsid w:val="00427BFF"/>
    <w:rsid w:val="00431D9E"/>
    <w:rsid w:val="00433CE8"/>
    <w:rsid w:val="00434A5C"/>
    <w:rsid w:val="00453079"/>
    <w:rsid w:val="004544D9"/>
    <w:rsid w:val="00472BAD"/>
    <w:rsid w:val="004811F8"/>
    <w:rsid w:val="00484009"/>
    <w:rsid w:val="00490E72"/>
    <w:rsid w:val="00491157"/>
    <w:rsid w:val="00491BA9"/>
    <w:rsid w:val="004921C8"/>
    <w:rsid w:val="00495B0B"/>
    <w:rsid w:val="004A1B8B"/>
    <w:rsid w:val="004A2AEA"/>
    <w:rsid w:val="004B25A1"/>
    <w:rsid w:val="004D1851"/>
    <w:rsid w:val="004D599D"/>
    <w:rsid w:val="004E2EA5"/>
    <w:rsid w:val="004E3AEB"/>
    <w:rsid w:val="0050223C"/>
    <w:rsid w:val="005243FF"/>
    <w:rsid w:val="005545EB"/>
    <w:rsid w:val="00564FBC"/>
    <w:rsid w:val="005800BC"/>
    <w:rsid w:val="00582442"/>
    <w:rsid w:val="005C6AEC"/>
    <w:rsid w:val="005F3269"/>
    <w:rsid w:val="00623AE3"/>
    <w:rsid w:val="0062422A"/>
    <w:rsid w:val="00630C4D"/>
    <w:rsid w:val="00644EC6"/>
    <w:rsid w:val="0064737F"/>
    <w:rsid w:val="006535F1"/>
    <w:rsid w:val="0065557D"/>
    <w:rsid w:val="00660D50"/>
    <w:rsid w:val="00662984"/>
    <w:rsid w:val="006716BB"/>
    <w:rsid w:val="006B1859"/>
    <w:rsid w:val="006B6680"/>
    <w:rsid w:val="006B6DCC"/>
    <w:rsid w:val="006B77F1"/>
    <w:rsid w:val="006C5ECF"/>
    <w:rsid w:val="006E345D"/>
    <w:rsid w:val="00702DEF"/>
    <w:rsid w:val="00706861"/>
    <w:rsid w:val="00722551"/>
    <w:rsid w:val="007249F0"/>
    <w:rsid w:val="0075051B"/>
    <w:rsid w:val="0077110E"/>
    <w:rsid w:val="00793188"/>
    <w:rsid w:val="00794D34"/>
    <w:rsid w:val="007A3FCD"/>
    <w:rsid w:val="007B19CF"/>
    <w:rsid w:val="007D01AF"/>
    <w:rsid w:val="007D2D94"/>
    <w:rsid w:val="00800BC7"/>
    <w:rsid w:val="00813E5E"/>
    <w:rsid w:val="0083581B"/>
    <w:rsid w:val="00863874"/>
    <w:rsid w:val="00864AFF"/>
    <w:rsid w:val="00865925"/>
    <w:rsid w:val="008B4A6A"/>
    <w:rsid w:val="008C7E27"/>
    <w:rsid w:val="008F7448"/>
    <w:rsid w:val="0090147A"/>
    <w:rsid w:val="009173EF"/>
    <w:rsid w:val="00932906"/>
    <w:rsid w:val="00945CC6"/>
    <w:rsid w:val="00946283"/>
    <w:rsid w:val="00961B0B"/>
    <w:rsid w:val="00962D33"/>
    <w:rsid w:val="009B38C3"/>
    <w:rsid w:val="009D64DB"/>
    <w:rsid w:val="009E17BD"/>
    <w:rsid w:val="009E485A"/>
    <w:rsid w:val="00A04CEC"/>
    <w:rsid w:val="00A27F92"/>
    <w:rsid w:val="00A32257"/>
    <w:rsid w:val="00A36D20"/>
    <w:rsid w:val="00A36E34"/>
    <w:rsid w:val="00A514A4"/>
    <w:rsid w:val="00A55622"/>
    <w:rsid w:val="00A83502"/>
    <w:rsid w:val="00A94BAB"/>
    <w:rsid w:val="00AD15B3"/>
    <w:rsid w:val="00AD3606"/>
    <w:rsid w:val="00AD4A3D"/>
    <w:rsid w:val="00AD677D"/>
    <w:rsid w:val="00AF6E49"/>
    <w:rsid w:val="00B04A67"/>
    <w:rsid w:val="00B0583C"/>
    <w:rsid w:val="00B40A81"/>
    <w:rsid w:val="00B44910"/>
    <w:rsid w:val="00B518E3"/>
    <w:rsid w:val="00B72267"/>
    <w:rsid w:val="00B72672"/>
    <w:rsid w:val="00B76EB6"/>
    <w:rsid w:val="00B7737B"/>
    <w:rsid w:val="00B824C8"/>
    <w:rsid w:val="00B84B9D"/>
    <w:rsid w:val="00B9131F"/>
    <w:rsid w:val="00BA2099"/>
    <w:rsid w:val="00BB0646"/>
    <w:rsid w:val="00BC251A"/>
    <w:rsid w:val="00BD032B"/>
    <w:rsid w:val="00BE01C6"/>
    <w:rsid w:val="00BE2640"/>
    <w:rsid w:val="00BF1FDE"/>
    <w:rsid w:val="00C01189"/>
    <w:rsid w:val="00C0458D"/>
    <w:rsid w:val="00C17D52"/>
    <w:rsid w:val="00C374DE"/>
    <w:rsid w:val="00C47AD4"/>
    <w:rsid w:val="00C52D81"/>
    <w:rsid w:val="00C55198"/>
    <w:rsid w:val="00C6520B"/>
    <w:rsid w:val="00CA6393"/>
    <w:rsid w:val="00CA7995"/>
    <w:rsid w:val="00CB18FF"/>
    <w:rsid w:val="00CB3A44"/>
    <w:rsid w:val="00CD0C08"/>
    <w:rsid w:val="00CE03FB"/>
    <w:rsid w:val="00CE433C"/>
    <w:rsid w:val="00CF0161"/>
    <w:rsid w:val="00CF33F3"/>
    <w:rsid w:val="00CF4A2B"/>
    <w:rsid w:val="00D024CA"/>
    <w:rsid w:val="00D06183"/>
    <w:rsid w:val="00D22C42"/>
    <w:rsid w:val="00D52E9B"/>
    <w:rsid w:val="00D65041"/>
    <w:rsid w:val="00D97169"/>
    <w:rsid w:val="00DB1936"/>
    <w:rsid w:val="00DB384B"/>
    <w:rsid w:val="00DD11ED"/>
    <w:rsid w:val="00DF0189"/>
    <w:rsid w:val="00DF26C9"/>
    <w:rsid w:val="00E06FD5"/>
    <w:rsid w:val="00E10E80"/>
    <w:rsid w:val="00E124F0"/>
    <w:rsid w:val="00E227F3"/>
    <w:rsid w:val="00E545C6"/>
    <w:rsid w:val="00E60F04"/>
    <w:rsid w:val="00E65B24"/>
    <w:rsid w:val="00E854E4"/>
    <w:rsid w:val="00E86DBF"/>
    <w:rsid w:val="00E969AF"/>
    <w:rsid w:val="00EB0D6F"/>
    <w:rsid w:val="00EB2232"/>
    <w:rsid w:val="00EC0BE6"/>
    <w:rsid w:val="00EC5337"/>
    <w:rsid w:val="00EE49E8"/>
    <w:rsid w:val="00F16BAB"/>
    <w:rsid w:val="00F2150A"/>
    <w:rsid w:val="00F231D8"/>
    <w:rsid w:val="00F41209"/>
    <w:rsid w:val="00F44C00"/>
    <w:rsid w:val="00F45D2C"/>
    <w:rsid w:val="00F46C5F"/>
    <w:rsid w:val="00F5055A"/>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D5F3A"/>
  <w15:docId w15:val="{095992CB-951E-46F8-828A-E2188A2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NormalWeb">
    <w:name w:val="Normal (Web)"/>
    <w:basedOn w:val="Normal"/>
    <w:uiPriority w:val="99"/>
    <w:unhideWhenUsed/>
    <w:rsid w:val="006E345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styleId="ListParagraph">
    <w:name w:val="List Paragraph"/>
    <w:basedOn w:val="Normal"/>
    <w:uiPriority w:val="34"/>
    <w:qFormat/>
    <w:rsid w:val="006E345D"/>
    <w:pPr>
      <w:ind w:left="720"/>
      <w:contextualSpacing/>
    </w:pPr>
  </w:style>
  <w:style w:type="character" w:styleId="Strong">
    <w:name w:val="Strong"/>
    <w:basedOn w:val="DefaultParagraphFont"/>
    <w:uiPriority w:val="22"/>
    <w:qFormat/>
    <w:rsid w:val="006E3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6185">
      <w:bodyDiv w:val="1"/>
      <w:marLeft w:val="0"/>
      <w:marRight w:val="0"/>
      <w:marTop w:val="0"/>
      <w:marBottom w:val="0"/>
      <w:divBdr>
        <w:top w:val="none" w:sz="0" w:space="0" w:color="auto"/>
        <w:left w:val="none" w:sz="0" w:space="0" w:color="auto"/>
        <w:bottom w:val="none" w:sz="0" w:space="0" w:color="auto"/>
        <w:right w:val="none" w:sz="0" w:space="0" w:color="auto"/>
      </w:divBdr>
    </w:div>
    <w:div w:id="190074026">
      <w:bodyDiv w:val="1"/>
      <w:marLeft w:val="0"/>
      <w:marRight w:val="0"/>
      <w:marTop w:val="0"/>
      <w:marBottom w:val="0"/>
      <w:divBdr>
        <w:top w:val="none" w:sz="0" w:space="0" w:color="auto"/>
        <w:left w:val="none" w:sz="0" w:space="0" w:color="auto"/>
        <w:bottom w:val="none" w:sz="0" w:space="0" w:color="auto"/>
        <w:right w:val="none" w:sz="0" w:space="0" w:color="auto"/>
      </w:divBdr>
    </w:div>
    <w:div w:id="1069618640">
      <w:bodyDiv w:val="1"/>
      <w:marLeft w:val="0"/>
      <w:marRight w:val="0"/>
      <w:marTop w:val="0"/>
      <w:marBottom w:val="0"/>
      <w:divBdr>
        <w:top w:val="none" w:sz="0" w:space="0" w:color="auto"/>
        <w:left w:val="none" w:sz="0" w:space="0" w:color="auto"/>
        <w:bottom w:val="none" w:sz="0" w:space="0" w:color="auto"/>
        <w:right w:val="none" w:sz="0" w:space="0" w:color="auto"/>
      </w:divBdr>
    </w:div>
    <w:div w:id="1312834163">
      <w:bodyDiv w:val="1"/>
      <w:marLeft w:val="0"/>
      <w:marRight w:val="0"/>
      <w:marTop w:val="0"/>
      <w:marBottom w:val="0"/>
      <w:divBdr>
        <w:top w:val="none" w:sz="0" w:space="0" w:color="auto"/>
        <w:left w:val="none" w:sz="0" w:space="0" w:color="auto"/>
        <w:bottom w:val="none" w:sz="0" w:space="0" w:color="auto"/>
        <w:right w:val="none" w:sz="0" w:space="0" w:color="auto"/>
      </w:divBdr>
    </w:div>
    <w:div w:id="1400593810">
      <w:bodyDiv w:val="1"/>
      <w:marLeft w:val="0"/>
      <w:marRight w:val="0"/>
      <w:marTop w:val="0"/>
      <w:marBottom w:val="0"/>
      <w:divBdr>
        <w:top w:val="none" w:sz="0" w:space="0" w:color="auto"/>
        <w:left w:val="none" w:sz="0" w:space="0" w:color="auto"/>
        <w:bottom w:val="none" w:sz="0" w:space="0" w:color="auto"/>
        <w:right w:val="none" w:sz="0" w:space="0" w:color="auto"/>
      </w:divBdr>
    </w:div>
    <w:div w:id="1502544582">
      <w:bodyDiv w:val="1"/>
      <w:marLeft w:val="0"/>
      <w:marRight w:val="0"/>
      <w:marTop w:val="0"/>
      <w:marBottom w:val="0"/>
      <w:divBdr>
        <w:top w:val="none" w:sz="0" w:space="0" w:color="auto"/>
        <w:left w:val="none" w:sz="0" w:space="0" w:color="auto"/>
        <w:bottom w:val="none" w:sz="0" w:space="0" w:color="auto"/>
        <w:right w:val="none" w:sz="0" w:space="0" w:color="auto"/>
      </w:divBdr>
    </w:div>
    <w:div w:id="19938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DEC-005-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en/council/Documents/basic-texts-2023/RES-167-E.pdf" TargetMode="External"/><Relationship Id="rId4" Type="http://schemas.openxmlformats.org/officeDocument/2006/relationships/settings" Target="settings.xml"/><Relationship Id="rId9" Type="http://schemas.openxmlformats.org/officeDocument/2006/relationships/hyperlink" Target="https://www.itu.int/en/council/Documents/basic-texts-2023/RES-066-E.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BFF29-C2E8-4C4F-8BEE-895215BE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740</Words>
  <Characters>4689</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Multicountry contribution - Reducing Financial Burdens on Host Countries of ITU Conferences, Meetings and Activities</vt:lpstr>
    </vt:vector>
  </TitlesOfParts>
  <Manager>General Secretariat</Manager>
  <Company>International Telecommunication Union (ITU)</Company>
  <LinksUpToDate>false</LinksUpToDate>
  <CharactersWithSpaces>5397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Reducing Financial Burdens on Host Countries of ITU Conferences, Meetings and Activities</dc:title>
  <dc:subject>Council 2025</dc:subject>
  <cp:keywords>C25; C2025; Council 2025; ITU160</cp:keywords>
  <dc:description/>
  <cp:lastPrinted>2025-06-02T08:24:00Z</cp:lastPrinted>
  <dcterms:created xsi:type="dcterms:W3CDTF">2025-06-04T09:17:00Z</dcterms:created>
  <dcterms:modified xsi:type="dcterms:W3CDTF">2025-06-04T16:11:00Z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