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2BDE3D0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CC76D7" w:rsidRPr="004F7C12">
              <w:rPr>
                <w:rFonts w:cstheme="minorHAnsi"/>
                <w:b/>
                <w:bCs/>
              </w:rPr>
              <w:t>ADM 1</w:t>
            </w:r>
          </w:p>
        </w:tc>
        <w:tc>
          <w:tcPr>
            <w:tcW w:w="5245" w:type="dxa"/>
          </w:tcPr>
          <w:p w14:paraId="64410F78" w14:textId="601DB30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r w:rsidRPr="00E24D59">
              <w:rPr>
                <w:b/>
                <w:lang w:val="fr-CH"/>
              </w:rPr>
              <w:t>/</w:t>
            </w:r>
            <w:r w:rsidR="00CC76D7">
              <w:rPr>
                <w:rFonts w:hint="eastAsia"/>
                <w:b/>
                <w:lang w:val="fr-CH" w:eastAsia="zh-CN"/>
              </w:rPr>
              <w:t>95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3EB692E2" w:rsidR="00E24D59" w:rsidRPr="00E85629" w:rsidRDefault="00CC76D7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2193F253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CC76D7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3180D173" w:rsidR="00E24D59" w:rsidRPr="00E24D59" w:rsidRDefault="00CC76D7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705B4D">
              <w:rPr>
                <w:rFonts w:cstheme="minorHAnsi" w:hint="eastAsia"/>
                <w:sz w:val="34"/>
                <w:szCs w:val="34"/>
                <w:lang w:eastAsia="zh-CN"/>
              </w:rPr>
              <w:t>（阿拉伯）埃及（共和国）、肯尼亚（共和国）、乌干达（共和国）、卢旺达（共和国）、南非（共和国）、塞内加尔（共和国）、坦桑尼亚（联合共和国）和突尼斯的文稿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30F72CEF" w:rsidR="00E24D59" w:rsidRPr="00477D57" w:rsidRDefault="00CC76D7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36766C">
              <w:rPr>
                <w:rFonts w:eastAsia="SimSun" w:hint="eastAsia"/>
                <w:lang w:eastAsia="zh-CN"/>
              </w:rPr>
              <w:t>减轻国际电联大会</w:t>
            </w:r>
            <w:r>
              <w:rPr>
                <w:rFonts w:eastAsia="SimSun" w:hint="eastAsia"/>
                <w:lang w:eastAsia="zh-CN"/>
              </w:rPr>
              <w:t>、</w:t>
            </w:r>
            <w:r w:rsidRPr="0036766C">
              <w:rPr>
                <w:rFonts w:eastAsia="SimSun" w:hint="eastAsia"/>
                <w:lang w:eastAsia="zh-CN"/>
              </w:rPr>
              <w:t>会议和活动</w:t>
            </w:r>
            <w:r>
              <w:rPr>
                <w:rFonts w:eastAsia="SimSun" w:hint="eastAsia"/>
                <w:lang w:eastAsia="zh-CN"/>
              </w:rPr>
              <w:t>主办</w:t>
            </w:r>
            <w:r w:rsidRPr="0036766C">
              <w:rPr>
                <w:rFonts w:eastAsia="SimSun" w:hint="eastAsia"/>
                <w:lang w:eastAsia="zh-CN"/>
              </w:rPr>
              <w:t>国的财务负担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23706F36" w:rsidR="003F086E" w:rsidRPr="00477D57" w:rsidRDefault="00CC76D7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本提案概述了在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确保</w:t>
            </w: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国际电联活动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的</w:t>
            </w: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质量和包容性的同时降低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主办国</w:t>
            </w: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费用的切实措施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0A3AE2CB" w:rsidR="003F086E" w:rsidRPr="00477D57" w:rsidRDefault="00CC76D7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请理事会</w:t>
            </w:r>
            <w:r w:rsidRPr="004B341D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t>审议</w:t>
            </w: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并</w:t>
            </w:r>
            <w:r w:rsidRPr="004B341D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t>采取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适当</w:t>
            </w:r>
            <w:r w:rsidRPr="0036766C">
              <w:rPr>
                <w:rFonts w:asciiTheme="majorEastAsia" w:eastAsiaTheme="majorEastAsia" w:hAnsiTheme="majorEastAsia" w:hint="eastAsia"/>
                <w:lang w:eastAsia="zh-CN"/>
              </w:rPr>
              <w:t>行动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57D4EC1F" w:rsidR="00E24D59" w:rsidRPr="00CC76D7" w:rsidRDefault="00CC76D7" w:rsidP="00D62844">
            <w:pPr>
              <w:spacing w:after="120"/>
              <w:ind w:firstLineChars="200" w:firstLine="440"/>
              <w:rPr>
                <w:rFonts w:asciiTheme="minorHAnsi" w:eastAsiaTheme="majorEastAsia" w:hAnsiTheme="minorHAnsi" w:cstheme="minorHAnsi"/>
                <w:sz w:val="22"/>
                <w:szCs w:val="22"/>
                <w:lang w:eastAsia="zh-CN"/>
              </w:rPr>
            </w:pPr>
            <w:r w:rsidRPr="00CC76D7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全权代表大会</w:t>
            </w:r>
            <w:hyperlink r:id="rId8" w:history="1"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第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5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号决定（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2022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年，布加勒斯特，修订版）</w:t>
              </w:r>
            </w:hyperlink>
            <w:r w:rsidRPr="00CC76D7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；全权代表大会</w:t>
            </w:r>
            <w:hyperlink r:id="rId9" w:history="1"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第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66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号决议（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2022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年，布加勒斯特，修订版）</w:t>
              </w:r>
            </w:hyperlink>
            <w:r w:rsidRPr="00CC76D7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：国际电联的文件和出版物，以及</w:t>
            </w:r>
            <w:hyperlink r:id="rId10" w:history="1"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第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167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号决议（</w:t>
              </w:r>
              <w:r w:rsidRPr="00CC76D7">
                <w:rPr>
                  <w:rStyle w:val="Hyperlink"/>
                  <w:rFonts w:asciiTheme="minorHAnsi" w:eastAsiaTheme="majorEastAsia" w:hAnsiTheme="minorHAnsi" w:cstheme="minorHAnsi"/>
                  <w:noProof w:val="0"/>
                  <w:sz w:val="22"/>
                  <w:szCs w:val="22"/>
                  <w:lang w:eastAsia="zh-CN"/>
                </w:rPr>
                <w:t>2022</w:t>
              </w:r>
              <w:r w:rsidRPr="00CC76D7">
                <w:rPr>
                  <w:rStyle w:val="Hyperlink"/>
                  <w:rFonts w:asciiTheme="minorHAnsi" w:eastAsia="STKaiti" w:hAnsiTheme="minorHAnsi" w:cstheme="minorHAnsi"/>
                  <w:noProof w:val="0"/>
                  <w:sz w:val="22"/>
                  <w:szCs w:val="22"/>
                  <w:lang w:eastAsia="zh-CN"/>
                </w:rPr>
                <w:t>年，布加勒斯特，修订版）</w:t>
              </w:r>
            </w:hyperlink>
            <w:r w:rsidRPr="00CC76D7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：虚拟会议和混合会议以及电子手段的使用。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AD44A99" w14:textId="77777777" w:rsidR="00CC76D7" w:rsidRPr="004F7C12" w:rsidRDefault="00CC76D7" w:rsidP="00062A9C">
      <w:pPr>
        <w:pStyle w:val="Headingb"/>
        <w:rPr>
          <w:lang w:val="en-US" w:eastAsia="zh-CN"/>
        </w:rPr>
      </w:pPr>
      <w:r w:rsidRPr="0036766C">
        <w:rPr>
          <w:rFonts w:hint="eastAsia"/>
          <w:lang w:val="en-US" w:eastAsia="zh-CN"/>
        </w:rPr>
        <w:lastRenderedPageBreak/>
        <w:t>背景</w:t>
      </w:r>
    </w:p>
    <w:p w14:paraId="2D3E92DE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国际电信联盟</w:t>
      </w:r>
      <w:r>
        <w:rPr>
          <w:rFonts w:hint="eastAsia"/>
          <w:lang w:val="en-US" w:eastAsia="zh-CN"/>
        </w:rPr>
        <w:t>（国际电联）</w:t>
      </w:r>
      <w:r w:rsidRPr="0036766C">
        <w:rPr>
          <w:rFonts w:hint="eastAsia"/>
          <w:lang w:val="en-US" w:eastAsia="zh-CN"/>
        </w:rPr>
        <w:t>通过</w:t>
      </w:r>
      <w:r>
        <w:rPr>
          <w:rFonts w:hint="eastAsia"/>
          <w:lang w:val="en-US" w:eastAsia="zh-CN"/>
        </w:rPr>
        <w:t>在</w:t>
      </w:r>
      <w:r w:rsidRPr="0036766C">
        <w:rPr>
          <w:rFonts w:hint="eastAsia"/>
          <w:lang w:val="en-US" w:eastAsia="zh-CN"/>
        </w:rPr>
        <w:t>日内瓦</w:t>
      </w:r>
      <w:r>
        <w:rPr>
          <w:rFonts w:hint="eastAsia"/>
          <w:lang w:val="en-US" w:eastAsia="zh-CN"/>
        </w:rPr>
        <w:t>举办以及由</w:t>
      </w:r>
      <w:r w:rsidRPr="0036766C">
        <w:rPr>
          <w:rFonts w:hint="eastAsia"/>
          <w:lang w:val="en-US" w:eastAsia="zh-CN"/>
        </w:rPr>
        <w:t>各区域的成员国</w:t>
      </w:r>
      <w:r>
        <w:rPr>
          <w:rFonts w:hint="eastAsia"/>
          <w:lang w:val="en-US" w:eastAsia="zh-CN"/>
        </w:rPr>
        <w:t>主办的</w:t>
      </w:r>
      <w:r w:rsidRPr="0036766C">
        <w:rPr>
          <w:rFonts w:hint="eastAsia"/>
          <w:lang w:val="en-US" w:eastAsia="zh-CN"/>
        </w:rPr>
        <w:t>大会</w:t>
      </w:r>
      <w:r>
        <w:rPr>
          <w:rFonts w:hint="eastAsia"/>
          <w:lang w:val="en-US" w:eastAsia="zh-CN"/>
        </w:rPr>
        <w:t>、</w:t>
      </w:r>
      <w:r w:rsidRPr="0036766C">
        <w:rPr>
          <w:rFonts w:hint="eastAsia"/>
          <w:lang w:val="en-US" w:eastAsia="zh-CN"/>
        </w:rPr>
        <w:t>会议</w:t>
      </w:r>
      <w:r>
        <w:rPr>
          <w:rFonts w:hint="eastAsia"/>
          <w:lang w:val="en-US" w:eastAsia="zh-CN"/>
        </w:rPr>
        <w:t>、</w:t>
      </w:r>
      <w:r w:rsidRPr="0036766C">
        <w:rPr>
          <w:rFonts w:hint="eastAsia"/>
          <w:lang w:val="en-US" w:eastAsia="zh-CN"/>
        </w:rPr>
        <w:t>论坛和活动在全球数字</w:t>
      </w:r>
      <w:r>
        <w:rPr>
          <w:rFonts w:hint="eastAsia"/>
          <w:lang w:val="en-US" w:eastAsia="zh-CN"/>
        </w:rPr>
        <w:t>化</w:t>
      </w:r>
      <w:r w:rsidRPr="0036766C">
        <w:rPr>
          <w:rFonts w:hint="eastAsia"/>
          <w:lang w:val="en-US" w:eastAsia="zh-CN"/>
        </w:rPr>
        <w:t>发展</w:t>
      </w:r>
      <w:r>
        <w:rPr>
          <w:rFonts w:hint="eastAsia"/>
          <w:lang w:val="en-US" w:eastAsia="zh-CN"/>
        </w:rPr>
        <w:t>中</w:t>
      </w:r>
      <w:r w:rsidRPr="0036766C">
        <w:rPr>
          <w:rFonts w:hint="eastAsia"/>
          <w:lang w:val="en-US" w:eastAsia="zh-CN"/>
        </w:rPr>
        <w:t>发挥着关键作用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这些活动</w:t>
      </w:r>
      <w:r>
        <w:rPr>
          <w:rFonts w:hint="eastAsia"/>
          <w:lang w:val="en-US" w:eastAsia="zh-CN"/>
        </w:rPr>
        <w:t>促进</w:t>
      </w:r>
      <w:r w:rsidRPr="0036766C">
        <w:rPr>
          <w:rFonts w:hint="eastAsia"/>
          <w:lang w:val="en-US" w:eastAsia="zh-CN"/>
        </w:rPr>
        <w:t>了包容性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参与</w:t>
      </w:r>
      <w:r>
        <w:rPr>
          <w:rFonts w:hint="eastAsia"/>
          <w:lang w:val="en-US" w:eastAsia="zh-CN"/>
        </w:rPr>
        <w:t>，推动</w:t>
      </w:r>
      <w:r w:rsidRPr="0036766C">
        <w:rPr>
          <w:rFonts w:hint="eastAsia"/>
          <w:lang w:val="en-US" w:eastAsia="zh-CN"/>
        </w:rPr>
        <w:t>了能力建设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并</w:t>
      </w:r>
      <w:r>
        <w:rPr>
          <w:rFonts w:hint="eastAsia"/>
          <w:lang w:val="en-US" w:eastAsia="zh-CN"/>
        </w:rPr>
        <w:t>增强</w:t>
      </w:r>
      <w:r w:rsidRPr="0036766C">
        <w:rPr>
          <w:rFonts w:hint="eastAsia"/>
          <w:lang w:val="en-US" w:eastAsia="zh-CN"/>
        </w:rPr>
        <w:t>了国际电联的</w:t>
      </w:r>
      <w:r>
        <w:rPr>
          <w:rFonts w:hint="eastAsia"/>
          <w:lang w:val="en-US" w:eastAsia="zh-CN"/>
        </w:rPr>
        <w:t>实地影响力，从而</w:t>
      </w:r>
      <w:r w:rsidRPr="0036766C">
        <w:rPr>
          <w:rFonts w:hint="eastAsia"/>
          <w:lang w:val="en-US" w:eastAsia="zh-CN"/>
        </w:rPr>
        <w:t>支持其履行</w:t>
      </w:r>
      <w:r>
        <w:rPr>
          <w:rFonts w:hint="eastAsia"/>
          <w:lang w:val="en-US" w:eastAsia="zh-CN"/>
        </w:rPr>
        <w:t>促进</w:t>
      </w:r>
      <w:r w:rsidRPr="0036766C">
        <w:rPr>
          <w:rFonts w:hint="eastAsia"/>
          <w:lang w:val="en-US" w:eastAsia="zh-CN"/>
        </w:rPr>
        <w:t>全球数字包容</w:t>
      </w:r>
      <w:r>
        <w:rPr>
          <w:rFonts w:hint="eastAsia"/>
          <w:lang w:val="en-US" w:eastAsia="zh-CN"/>
        </w:rPr>
        <w:t>性</w:t>
      </w:r>
      <w:r w:rsidRPr="0036766C"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行业</w:t>
      </w:r>
      <w:r w:rsidRPr="0036766C">
        <w:rPr>
          <w:rFonts w:hint="eastAsia"/>
          <w:lang w:val="en-US" w:eastAsia="zh-CN"/>
        </w:rPr>
        <w:t>发展的职责</w:t>
      </w:r>
      <w:r>
        <w:rPr>
          <w:rFonts w:hint="eastAsia"/>
          <w:lang w:val="en-US" w:eastAsia="zh-CN"/>
        </w:rPr>
        <w:t>。</w:t>
      </w:r>
    </w:p>
    <w:p w14:paraId="54952CD5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主办</w:t>
      </w:r>
      <w:r w:rsidRPr="0036766C">
        <w:rPr>
          <w:rFonts w:hint="eastAsia"/>
          <w:lang w:val="en-US" w:eastAsia="zh-CN"/>
        </w:rPr>
        <w:t>此类活动</w:t>
      </w:r>
      <w:r>
        <w:rPr>
          <w:rFonts w:hint="eastAsia"/>
          <w:lang w:val="en-US" w:eastAsia="zh-CN"/>
        </w:rPr>
        <w:t>虽然</w:t>
      </w:r>
      <w:r w:rsidRPr="0036766C">
        <w:rPr>
          <w:rFonts w:hint="eastAsia"/>
          <w:lang w:val="en-US" w:eastAsia="zh-CN"/>
        </w:rPr>
        <w:t>有利于区域参与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但往往</w:t>
      </w:r>
      <w:proofErr w:type="gramStart"/>
      <w:r>
        <w:rPr>
          <w:rFonts w:hint="eastAsia"/>
          <w:lang w:val="en-US" w:eastAsia="zh-CN"/>
        </w:rPr>
        <w:t>需要主办</w:t>
      </w:r>
      <w:proofErr w:type="gramEnd"/>
      <w:r>
        <w:rPr>
          <w:rFonts w:hint="eastAsia"/>
          <w:lang w:val="en-US" w:eastAsia="zh-CN"/>
        </w:rPr>
        <w:t>国承担</w:t>
      </w:r>
      <w:r w:rsidRPr="0036766C">
        <w:rPr>
          <w:rFonts w:hint="eastAsia"/>
          <w:lang w:val="en-US" w:eastAsia="zh-CN"/>
        </w:rPr>
        <w:t>大量后勤</w:t>
      </w:r>
      <w:r>
        <w:rPr>
          <w:rFonts w:hint="eastAsia"/>
          <w:lang w:val="en-US" w:eastAsia="zh-CN"/>
        </w:rPr>
        <w:t>方面的义务，</w:t>
      </w:r>
      <w:r w:rsidRPr="0033038B">
        <w:rPr>
          <w:rFonts w:hint="eastAsia"/>
          <w:lang w:val="en-US" w:eastAsia="zh-CN"/>
        </w:rPr>
        <w:t>特别是在口译服务、</w:t>
      </w:r>
      <w:r w:rsidRPr="0033038B">
        <w:rPr>
          <w:lang w:val="en-US" w:eastAsia="zh-CN"/>
        </w:rPr>
        <w:t>IT</w:t>
      </w:r>
      <w:r w:rsidRPr="0033038B">
        <w:rPr>
          <w:rFonts w:hint="eastAsia"/>
          <w:lang w:val="en-US" w:eastAsia="zh-CN"/>
        </w:rPr>
        <w:t>基础设施供给</w:t>
      </w:r>
      <w:r>
        <w:rPr>
          <w:rFonts w:hint="eastAsia"/>
          <w:lang w:val="en-US" w:eastAsia="zh-CN"/>
        </w:rPr>
        <w:t>以及</w:t>
      </w:r>
      <w:r w:rsidRPr="0036766C">
        <w:rPr>
          <w:rFonts w:hint="eastAsia"/>
          <w:lang w:val="en-US" w:eastAsia="zh-CN"/>
        </w:rPr>
        <w:t>印刷材料制作方面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这些费用可能</w:t>
      </w:r>
      <w:r>
        <w:rPr>
          <w:rFonts w:hint="eastAsia"/>
          <w:lang w:val="en-US" w:eastAsia="zh-CN"/>
        </w:rPr>
        <w:t>会让</w:t>
      </w:r>
      <w:r w:rsidRPr="0036766C">
        <w:rPr>
          <w:rFonts w:hint="eastAsia"/>
          <w:lang w:val="en-US" w:eastAsia="zh-CN"/>
        </w:rPr>
        <w:t>潜在的</w:t>
      </w:r>
      <w:r>
        <w:rPr>
          <w:rFonts w:hint="eastAsia"/>
          <w:lang w:val="en-US" w:eastAsia="zh-CN"/>
        </w:rPr>
        <w:t>主办国，</w:t>
      </w:r>
      <w:r w:rsidRPr="0036766C">
        <w:rPr>
          <w:rFonts w:hint="eastAsia"/>
          <w:lang w:val="en-US" w:eastAsia="zh-CN"/>
        </w:rPr>
        <w:t>特别是发展中国家</w:t>
      </w:r>
      <w:r>
        <w:rPr>
          <w:rFonts w:hint="eastAsia"/>
          <w:lang w:val="en-US" w:eastAsia="zh-CN"/>
        </w:rPr>
        <w:t>望而却步，不愿</w:t>
      </w:r>
      <w:r w:rsidRPr="0036766C">
        <w:rPr>
          <w:rFonts w:hint="eastAsia"/>
          <w:lang w:val="en-US" w:eastAsia="zh-CN"/>
        </w:rPr>
        <w:t>主动</w:t>
      </w:r>
      <w:r>
        <w:rPr>
          <w:rFonts w:hint="eastAsia"/>
          <w:lang w:val="en-US" w:eastAsia="zh-CN"/>
        </w:rPr>
        <w:t>提出承办</w:t>
      </w:r>
      <w:r w:rsidRPr="0036766C">
        <w:rPr>
          <w:rFonts w:hint="eastAsia"/>
          <w:lang w:val="en-US" w:eastAsia="zh-CN"/>
        </w:rPr>
        <w:t>这类活动</w:t>
      </w:r>
      <w:r>
        <w:rPr>
          <w:rFonts w:hint="eastAsia"/>
          <w:lang w:val="en-US" w:eastAsia="zh-CN"/>
        </w:rPr>
        <w:t>。</w:t>
      </w:r>
    </w:p>
    <w:p w14:paraId="79E5CD94" w14:textId="77777777" w:rsidR="00CC76D7" w:rsidRPr="004F7C12" w:rsidRDefault="00CC76D7" w:rsidP="00062A9C">
      <w:pPr>
        <w:ind w:firstLineChars="200" w:firstLine="482"/>
        <w:rPr>
          <w:lang w:val="en-US" w:eastAsia="zh-CN"/>
        </w:rPr>
      </w:pPr>
      <w:r w:rsidRPr="001D16C1">
        <w:rPr>
          <w:rFonts w:hint="eastAsia"/>
          <w:b/>
          <w:bCs/>
          <w:lang w:val="en-US" w:eastAsia="zh-CN"/>
        </w:rPr>
        <w:t>第</w:t>
      </w:r>
      <w:r w:rsidRPr="004F7C12">
        <w:rPr>
          <w:b/>
          <w:bCs/>
          <w:lang w:val="en-US" w:eastAsia="zh-CN"/>
        </w:rPr>
        <w:t>5</w:t>
      </w:r>
      <w:r w:rsidRPr="001D16C1">
        <w:rPr>
          <w:rFonts w:hint="eastAsia"/>
          <w:b/>
          <w:bCs/>
          <w:lang w:val="en-US" w:eastAsia="zh-CN"/>
        </w:rPr>
        <w:t>号决定</w:t>
      </w:r>
      <w:r>
        <w:rPr>
          <w:rFonts w:hint="eastAsia"/>
          <w:b/>
          <w:bCs/>
          <w:lang w:val="en-US" w:eastAsia="zh-CN"/>
        </w:rPr>
        <w:t>（</w:t>
      </w:r>
      <w:r w:rsidRPr="004F7C12">
        <w:rPr>
          <w:b/>
          <w:bCs/>
          <w:lang w:val="en-US" w:eastAsia="zh-CN"/>
        </w:rPr>
        <w:t>2022</w:t>
      </w:r>
      <w:r w:rsidRPr="001D16C1">
        <w:rPr>
          <w:rFonts w:hint="eastAsia"/>
          <w:b/>
          <w:bCs/>
          <w:lang w:val="en-US" w:eastAsia="zh-CN"/>
        </w:rPr>
        <w:t>年</w:t>
      </w:r>
      <w:r>
        <w:rPr>
          <w:rFonts w:hint="eastAsia"/>
          <w:b/>
          <w:bCs/>
          <w:lang w:val="en-US" w:eastAsia="zh-CN"/>
        </w:rPr>
        <w:t>，</w:t>
      </w:r>
      <w:r w:rsidRPr="001D16C1">
        <w:rPr>
          <w:rFonts w:hint="eastAsia"/>
          <w:b/>
          <w:bCs/>
          <w:lang w:val="en-US" w:eastAsia="zh-CN"/>
        </w:rPr>
        <w:t>布加勒斯特</w:t>
      </w:r>
      <w:r>
        <w:rPr>
          <w:rFonts w:hint="eastAsia"/>
          <w:b/>
          <w:bCs/>
          <w:lang w:val="en-US" w:eastAsia="zh-CN"/>
        </w:rPr>
        <w:t>，</w:t>
      </w:r>
      <w:r w:rsidRPr="001D16C1">
        <w:rPr>
          <w:rFonts w:hint="eastAsia"/>
          <w:b/>
          <w:bCs/>
          <w:lang w:val="en-US" w:eastAsia="zh-CN"/>
        </w:rPr>
        <w:t>修订版</w:t>
      </w:r>
      <w:r>
        <w:rPr>
          <w:rFonts w:hint="eastAsia"/>
          <w:b/>
          <w:bCs/>
          <w:lang w:val="en-US" w:eastAsia="zh-CN"/>
        </w:rPr>
        <w:t>）</w:t>
      </w:r>
      <w:r w:rsidRPr="007A637E">
        <w:rPr>
          <w:rFonts w:hint="eastAsia"/>
          <w:lang w:val="en-US" w:eastAsia="zh-CN"/>
        </w:rPr>
        <w:t>及其</w:t>
      </w:r>
      <w:r w:rsidRPr="001D16C1">
        <w:rPr>
          <w:rFonts w:hint="eastAsia"/>
          <w:b/>
          <w:bCs/>
          <w:lang w:val="en-US" w:eastAsia="zh-CN"/>
        </w:rPr>
        <w:t>附件</w:t>
      </w:r>
      <w:r w:rsidRPr="004F7C12">
        <w:rPr>
          <w:b/>
          <w:bCs/>
          <w:lang w:val="en-US" w:eastAsia="zh-CN"/>
        </w:rPr>
        <w:t>2</w:t>
      </w:r>
      <w:r w:rsidRPr="0036766C">
        <w:rPr>
          <w:rFonts w:hint="eastAsia"/>
          <w:lang w:val="en-US" w:eastAsia="zh-CN"/>
        </w:rPr>
        <w:t>为提高国际电联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效率</w:t>
      </w:r>
      <w:r>
        <w:rPr>
          <w:rFonts w:hint="eastAsia"/>
          <w:lang w:val="en-US" w:eastAsia="zh-CN"/>
        </w:rPr>
        <w:t>并</w:t>
      </w:r>
      <w:r w:rsidRPr="0036766C">
        <w:rPr>
          <w:rFonts w:hint="eastAsia"/>
          <w:lang w:val="en-US" w:eastAsia="zh-CN"/>
        </w:rPr>
        <w:t>减少</w:t>
      </w:r>
      <w:r w:rsidRPr="007A637E">
        <w:rPr>
          <w:rFonts w:hint="eastAsia"/>
          <w:lang w:val="en-US" w:eastAsia="zh-CN"/>
        </w:rPr>
        <w:t>运作支出</w:t>
      </w:r>
      <w:r w:rsidRPr="0036766C">
        <w:rPr>
          <w:rFonts w:hint="eastAsia"/>
          <w:lang w:val="en-US" w:eastAsia="zh-CN"/>
        </w:rPr>
        <w:t>提供了</w:t>
      </w:r>
      <w:r>
        <w:rPr>
          <w:rFonts w:hint="eastAsia"/>
          <w:lang w:val="en-US" w:eastAsia="zh-CN"/>
        </w:rPr>
        <w:t>一个</w:t>
      </w:r>
      <w:r w:rsidRPr="0036766C">
        <w:rPr>
          <w:rFonts w:hint="eastAsia"/>
          <w:lang w:val="en-US" w:eastAsia="zh-CN"/>
        </w:rPr>
        <w:t>全面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框架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鼓励采取</w:t>
      </w:r>
      <w:r>
        <w:rPr>
          <w:rFonts w:hint="eastAsia"/>
          <w:lang w:val="en-US" w:eastAsia="zh-CN"/>
        </w:rPr>
        <w:t>诸如</w:t>
      </w:r>
      <w:r w:rsidRPr="0036766C">
        <w:rPr>
          <w:rFonts w:hint="eastAsia"/>
          <w:lang w:val="en-US" w:eastAsia="zh-CN"/>
        </w:rPr>
        <w:t>利用当地资源</w:t>
      </w:r>
      <w:r>
        <w:rPr>
          <w:rFonts w:hint="eastAsia"/>
          <w:lang w:val="en-US" w:eastAsia="zh-CN"/>
        </w:rPr>
        <w:t>、</w:t>
      </w:r>
      <w:r w:rsidRPr="0036766C">
        <w:rPr>
          <w:rFonts w:hint="eastAsia"/>
          <w:lang w:val="en-US" w:eastAsia="zh-CN"/>
        </w:rPr>
        <w:t>工作流程数字化以及</w:t>
      </w:r>
      <w:r>
        <w:rPr>
          <w:rFonts w:hint="eastAsia"/>
          <w:lang w:val="en-US" w:eastAsia="zh-CN"/>
        </w:rPr>
        <w:t>最大限度地</w:t>
      </w:r>
      <w:r w:rsidRPr="0036766C">
        <w:rPr>
          <w:rFonts w:hint="eastAsia"/>
          <w:lang w:val="en-US" w:eastAsia="zh-CN"/>
        </w:rPr>
        <w:t>减少差旅和运输</w:t>
      </w:r>
      <w:r>
        <w:rPr>
          <w:rFonts w:hint="eastAsia"/>
          <w:lang w:val="en-US" w:eastAsia="zh-CN"/>
        </w:rPr>
        <w:t>等</w:t>
      </w:r>
      <w:r w:rsidRPr="0036766C">
        <w:rPr>
          <w:rFonts w:hint="eastAsia"/>
          <w:lang w:val="en-US" w:eastAsia="zh-CN"/>
        </w:rPr>
        <w:t>措施</w:t>
      </w:r>
      <w:r>
        <w:rPr>
          <w:rFonts w:hint="eastAsia"/>
          <w:lang w:val="en-US" w:eastAsia="zh-CN"/>
        </w:rPr>
        <w:t>。</w:t>
      </w:r>
    </w:p>
    <w:p w14:paraId="000C9DAE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本文稿旨在支持第</w:t>
      </w:r>
      <w:r w:rsidRPr="004F7C12">
        <w:rPr>
          <w:lang w:val="en-US" w:eastAsia="zh-CN"/>
        </w:rPr>
        <w:t>5</w:t>
      </w:r>
      <w:r w:rsidRPr="0036766C">
        <w:rPr>
          <w:rFonts w:hint="eastAsia"/>
          <w:lang w:val="en-US" w:eastAsia="zh-CN"/>
        </w:rPr>
        <w:t>号决定</w:t>
      </w:r>
      <w:r>
        <w:rPr>
          <w:rFonts w:hint="eastAsia"/>
          <w:lang w:val="en-US" w:eastAsia="zh-CN"/>
        </w:rPr>
        <w:t>的实施，</w:t>
      </w:r>
      <w:r w:rsidRPr="0036766C">
        <w:rPr>
          <w:rFonts w:hint="eastAsia"/>
          <w:lang w:val="en-US" w:eastAsia="zh-CN"/>
        </w:rPr>
        <w:t>并通过提出具体</w:t>
      </w:r>
      <w:r>
        <w:rPr>
          <w:rFonts w:hint="eastAsia"/>
          <w:lang w:val="en-US" w:eastAsia="zh-CN"/>
        </w:rPr>
        <w:t>且可行</w:t>
      </w:r>
      <w:r w:rsidRPr="0036766C">
        <w:rPr>
          <w:rFonts w:hint="eastAsia"/>
          <w:lang w:val="en-US" w:eastAsia="zh-CN"/>
        </w:rPr>
        <w:t>的成本削减措施</w:t>
      </w:r>
      <w:r>
        <w:rPr>
          <w:rFonts w:hint="eastAsia"/>
          <w:lang w:val="en-US" w:eastAsia="zh-CN"/>
        </w:rPr>
        <w:t>，</w:t>
      </w:r>
      <w:r w:rsidRPr="0033038B">
        <w:rPr>
          <w:rFonts w:hint="eastAsia"/>
          <w:lang w:val="en-US" w:eastAsia="zh-CN"/>
        </w:rPr>
        <w:t>进一步促进在世界各地举办国际电联的活动。</w:t>
      </w:r>
    </w:p>
    <w:p w14:paraId="7F09D9E0" w14:textId="77777777" w:rsidR="00CC76D7" w:rsidRPr="004F7C12" w:rsidRDefault="00CC76D7" w:rsidP="00062A9C">
      <w:pPr>
        <w:pStyle w:val="Headingb"/>
        <w:rPr>
          <w:lang w:val="en-US" w:eastAsia="zh-CN"/>
        </w:rPr>
      </w:pPr>
      <w:r w:rsidRPr="0036766C">
        <w:rPr>
          <w:rFonts w:hint="eastAsia"/>
          <w:lang w:val="en-US" w:eastAsia="zh-CN"/>
        </w:rPr>
        <w:t>提案</w:t>
      </w:r>
    </w:p>
    <w:p w14:paraId="37F85306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了</w:t>
      </w:r>
      <w:r w:rsidRPr="0036766C">
        <w:rPr>
          <w:rFonts w:hint="eastAsia"/>
          <w:lang w:val="en-US" w:eastAsia="zh-CN"/>
        </w:rPr>
        <w:t>促进各国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特别是发展中国家</w:t>
      </w:r>
      <w:r>
        <w:rPr>
          <w:rFonts w:hint="eastAsia"/>
          <w:lang w:val="en-US" w:eastAsia="zh-CN"/>
        </w:rPr>
        <w:t>，</w:t>
      </w:r>
      <w:r w:rsidRPr="0033038B">
        <w:rPr>
          <w:rFonts w:hint="eastAsia"/>
          <w:lang w:val="en-US" w:eastAsia="zh-CN"/>
        </w:rPr>
        <w:t>作为国际电联活动的主办国更广泛地参与国际电联的工作，</w:t>
      </w:r>
      <w:r>
        <w:rPr>
          <w:rFonts w:hint="eastAsia"/>
          <w:lang w:val="en-US" w:eastAsia="zh-CN"/>
        </w:rPr>
        <w:t>现</w:t>
      </w:r>
      <w:r w:rsidRPr="0036766C">
        <w:rPr>
          <w:rFonts w:hint="eastAsia"/>
          <w:lang w:val="en-US" w:eastAsia="zh-CN"/>
        </w:rPr>
        <w:t>提出以下</w:t>
      </w:r>
      <w:r>
        <w:rPr>
          <w:rFonts w:hint="eastAsia"/>
          <w:lang w:val="en-US" w:eastAsia="zh-CN"/>
        </w:rPr>
        <w:t>提案</w:t>
      </w:r>
      <w:r w:rsidRPr="0036766C">
        <w:rPr>
          <w:rFonts w:hint="eastAsia"/>
          <w:lang w:val="en-US" w:eastAsia="zh-CN"/>
        </w:rPr>
        <w:t>供审议</w:t>
      </w:r>
      <w:r>
        <w:rPr>
          <w:rFonts w:hint="eastAsia"/>
          <w:lang w:val="en-US" w:eastAsia="zh-CN"/>
        </w:rPr>
        <w:t>：</w:t>
      </w:r>
    </w:p>
    <w:p w14:paraId="4C95DCFA" w14:textId="06E92122" w:rsidR="00CC76D7" w:rsidRPr="004F7C12" w:rsidRDefault="00062A9C" w:rsidP="00062A9C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ab/>
      </w:r>
      <w:r w:rsidR="00CC76D7">
        <w:rPr>
          <w:rFonts w:hint="eastAsia"/>
          <w:lang w:val="en-US" w:eastAsia="zh-CN"/>
        </w:rPr>
        <w:t>利用本地</w:t>
      </w:r>
      <w:r w:rsidR="00CC76D7" w:rsidRPr="004F7C12">
        <w:rPr>
          <w:lang w:val="en-US" w:eastAsia="zh-CN"/>
        </w:rPr>
        <w:t>/</w:t>
      </w:r>
      <w:r w:rsidR="00CC76D7">
        <w:rPr>
          <w:rFonts w:hint="eastAsia"/>
          <w:lang w:val="en-US" w:eastAsia="zh-CN"/>
        </w:rPr>
        <w:t>本国口译资源：</w:t>
      </w:r>
    </w:p>
    <w:p w14:paraId="2C4B4DD2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5</w:t>
      </w:r>
      <w:r w:rsidRPr="0036766C">
        <w:rPr>
          <w:rFonts w:hint="eastAsia"/>
          <w:lang w:val="en-US" w:eastAsia="zh-CN"/>
        </w:rPr>
        <w:t>号决定附件</w:t>
      </w:r>
      <w:r w:rsidRPr="004F7C12">
        <w:rPr>
          <w:lang w:val="en-US" w:eastAsia="zh-CN"/>
        </w:rPr>
        <w:t>2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12</w:t>
      </w:r>
      <w:r w:rsidRPr="0036766C">
        <w:rPr>
          <w:rFonts w:hint="eastAsia"/>
          <w:lang w:val="en-US" w:eastAsia="zh-CN"/>
        </w:rPr>
        <w:t>条建议</w:t>
      </w:r>
      <w:r>
        <w:rPr>
          <w:rFonts w:hint="eastAsia"/>
          <w:lang w:val="en-US" w:eastAsia="zh-CN"/>
        </w:rPr>
        <w:t>，</w:t>
      </w:r>
      <w:r w:rsidRPr="0033038B">
        <w:rPr>
          <w:rFonts w:hint="eastAsia"/>
          <w:lang w:val="en-US" w:eastAsia="zh-CN"/>
        </w:rPr>
        <w:t>通过优化措施和采用备选翻译程序来降低口译服务成本。因此，鼓励国际电联与主办国合作</w:t>
      </w:r>
      <w:r>
        <w:rPr>
          <w:rFonts w:hint="eastAsia"/>
          <w:lang w:val="en-US" w:eastAsia="zh-CN"/>
        </w:rPr>
        <w:t>，招募</w:t>
      </w:r>
      <w:r w:rsidRPr="002F1FD2">
        <w:rPr>
          <w:rFonts w:hint="eastAsia"/>
          <w:b/>
          <w:bCs/>
          <w:lang w:val="en-US" w:eastAsia="zh-CN"/>
        </w:rPr>
        <w:t>合格</w:t>
      </w:r>
      <w:r>
        <w:rPr>
          <w:rFonts w:hint="eastAsia"/>
          <w:b/>
          <w:bCs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联合国</w:t>
      </w:r>
      <w:r w:rsidRPr="004F7C12">
        <w:rPr>
          <w:lang w:val="en-US" w:eastAsia="zh-CN"/>
        </w:rPr>
        <w:t>/</w:t>
      </w:r>
      <w:r w:rsidRPr="0036766C">
        <w:rPr>
          <w:rFonts w:hint="eastAsia"/>
          <w:lang w:val="en-US" w:eastAsia="zh-CN"/>
        </w:rPr>
        <w:t>国际电联正式语文的</w:t>
      </w:r>
      <w:r w:rsidRPr="002F1FD2">
        <w:rPr>
          <w:rFonts w:hint="eastAsia"/>
          <w:b/>
          <w:bCs/>
          <w:lang w:val="en-US" w:eastAsia="zh-CN"/>
        </w:rPr>
        <w:t>本地口译员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这将减少国际电联或</w:t>
      </w:r>
      <w:r>
        <w:rPr>
          <w:rFonts w:hint="eastAsia"/>
          <w:lang w:val="en-US" w:eastAsia="zh-CN"/>
        </w:rPr>
        <w:t>主办</w:t>
      </w:r>
      <w:r w:rsidRPr="0036766C">
        <w:rPr>
          <w:rFonts w:hint="eastAsia"/>
          <w:lang w:val="en-US" w:eastAsia="zh-CN"/>
        </w:rPr>
        <w:t>国</w:t>
      </w:r>
      <w:r>
        <w:rPr>
          <w:rFonts w:hint="eastAsia"/>
          <w:lang w:val="en-US" w:eastAsia="zh-CN"/>
        </w:rPr>
        <w:t>原本要</w:t>
      </w:r>
      <w:r w:rsidRPr="0036766C">
        <w:rPr>
          <w:rFonts w:hint="eastAsia"/>
          <w:lang w:val="en-US" w:eastAsia="zh-CN"/>
        </w:rPr>
        <w:t>承担</w:t>
      </w:r>
      <w:r>
        <w:rPr>
          <w:rFonts w:hint="eastAsia"/>
          <w:lang w:val="en-US" w:eastAsia="zh-CN"/>
        </w:rPr>
        <w:t>的</w:t>
      </w:r>
      <w:r w:rsidRPr="003E7E48">
        <w:rPr>
          <w:rFonts w:hint="eastAsia"/>
          <w:b/>
          <w:bCs/>
          <w:lang w:val="en-US" w:eastAsia="zh-CN"/>
        </w:rPr>
        <w:t>差旅、住宿和</w:t>
      </w:r>
      <w:r>
        <w:rPr>
          <w:rFonts w:hint="eastAsia"/>
          <w:b/>
          <w:bCs/>
          <w:lang w:val="en-US" w:eastAsia="zh-CN"/>
        </w:rPr>
        <w:t>每</w:t>
      </w:r>
      <w:r w:rsidRPr="003E7E48">
        <w:rPr>
          <w:rFonts w:hint="eastAsia"/>
          <w:b/>
          <w:bCs/>
          <w:lang w:val="en-US" w:eastAsia="zh-CN"/>
        </w:rPr>
        <w:t>日津贴费用</w:t>
      </w:r>
      <w:r w:rsidRPr="003E7E48"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可与国际电联</w:t>
      </w:r>
      <w:r>
        <w:rPr>
          <w:rFonts w:hint="eastAsia"/>
          <w:lang w:val="en-US" w:eastAsia="zh-CN"/>
        </w:rPr>
        <w:t>各语文</w:t>
      </w:r>
      <w:r w:rsidRPr="0036766C">
        <w:rPr>
          <w:rFonts w:hint="eastAsia"/>
          <w:lang w:val="en-US" w:eastAsia="zh-CN"/>
        </w:rPr>
        <w:t>服务</w:t>
      </w:r>
      <w:r>
        <w:rPr>
          <w:rFonts w:hint="eastAsia"/>
          <w:lang w:val="en-US" w:eastAsia="zh-CN"/>
        </w:rPr>
        <w:t>科</w:t>
      </w:r>
      <w:r w:rsidRPr="0036766C">
        <w:rPr>
          <w:rFonts w:hint="eastAsia"/>
          <w:lang w:val="en-US" w:eastAsia="zh-CN"/>
        </w:rPr>
        <w:t>联合制定导则和质量保证</w:t>
      </w:r>
      <w:r>
        <w:rPr>
          <w:rFonts w:hint="eastAsia"/>
          <w:lang w:val="en-US" w:eastAsia="zh-CN"/>
        </w:rPr>
        <w:t>流程，</w:t>
      </w:r>
      <w:r w:rsidRPr="0036766C">
        <w:rPr>
          <w:rFonts w:hint="eastAsia"/>
          <w:lang w:val="en-US" w:eastAsia="zh-CN"/>
        </w:rPr>
        <w:t>以确保</w:t>
      </w:r>
      <w:r>
        <w:rPr>
          <w:rFonts w:hint="eastAsia"/>
          <w:lang w:val="en-US" w:eastAsia="zh-CN"/>
        </w:rPr>
        <w:t>符合</w:t>
      </w:r>
      <w:r w:rsidRPr="0036766C">
        <w:rPr>
          <w:rFonts w:hint="eastAsia"/>
          <w:lang w:val="en-US" w:eastAsia="zh-CN"/>
        </w:rPr>
        <w:t>标准</w:t>
      </w:r>
      <w:r>
        <w:rPr>
          <w:rFonts w:hint="eastAsia"/>
          <w:lang w:val="en-US" w:eastAsia="zh-CN"/>
        </w:rPr>
        <w:t>要求。</w:t>
      </w:r>
    </w:p>
    <w:p w14:paraId="5FF53373" w14:textId="14AD1E38" w:rsidR="00CC76D7" w:rsidRPr="004F7C12" w:rsidRDefault="00062A9C" w:rsidP="00062A9C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 w:rsidR="00CC76D7" w:rsidRPr="0036766C">
        <w:rPr>
          <w:rFonts w:hint="eastAsia"/>
          <w:lang w:val="en-US" w:eastAsia="zh-CN"/>
        </w:rPr>
        <w:t>本地</w:t>
      </w:r>
      <w:r w:rsidR="00CC76D7">
        <w:rPr>
          <w:rFonts w:hint="eastAsia"/>
          <w:lang w:val="en-US" w:eastAsia="zh-CN"/>
        </w:rPr>
        <w:t>供给</w:t>
      </w:r>
      <w:r w:rsidR="00CC76D7" w:rsidRPr="004F7C12">
        <w:rPr>
          <w:lang w:val="en-US" w:eastAsia="zh-CN"/>
        </w:rPr>
        <w:t>IT</w:t>
      </w:r>
      <w:r w:rsidR="00CC76D7" w:rsidRPr="0036766C">
        <w:rPr>
          <w:rFonts w:hint="eastAsia"/>
          <w:lang w:val="en-US" w:eastAsia="zh-CN"/>
        </w:rPr>
        <w:t>设备和装置</w:t>
      </w:r>
      <w:r w:rsidR="00CC76D7">
        <w:rPr>
          <w:rFonts w:hint="eastAsia"/>
          <w:lang w:val="en-US" w:eastAsia="zh-CN"/>
        </w:rPr>
        <w:t>：</w:t>
      </w:r>
    </w:p>
    <w:p w14:paraId="5CC3AB87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可授权</w:t>
      </w:r>
      <w:r>
        <w:rPr>
          <w:rFonts w:hint="eastAsia"/>
          <w:lang w:val="en-US" w:eastAsia="zh-CN"/>
        </w:rPr>
        <w:t>主办国（</w:t>
      </w:r>
      <w:r w:rsidRPr="0036766C">
        <w:rPr>
          <w:rFonts w:hint="eastAsia"/>
          <w:lang w:val="en-US" w:eastAsia="zh-CN"/>
        </w:rPr>
        <w:t>在国际电联的技术指导下</w:t>
      </w:r>
      <w:r>
        <w:rPr>
          <w:rFonts w:hint="eastAsia"/>
          <w:lang w:val="en-US" w:eastAsia="zh-CN"/>
        </w:rPr>
        <w:t>）</w:t>
      </w:r>
      <w:r w:rsidRPr="0036766C">
        <w:rPr>
          <w:rFonts w:hint="eastAsia"/>
          <w:lang w:val="en-US" w:eastAsia="zh-CN"/>
        </w:rPr>
        <w:t>租用或提供当地</w:t>
      </w:r>
      <w:r>
        <w:rPr>
          <w:rFonts w:hint="eastAsia"/>
          <w:lang w:val="en-US" w:eastAsia="zh-CN"/>
        </w:rPr>
        <w:t>现有</w:t>
      </w:r>
      <w:r w:rsidRPr="0036766C">
        <w:rPr>
          <w:rFonts w:hint="eastAsia"/>
          <w:lang w:val="en-US" w:eastAsia="zh-CN"/>
        </w:rPr>
        <w:t>的</w:t>
      </w:r>
      <w:r w:rsidRPr="004F7C12">
        <w:rPr>
          <w:lang w:val="en-US" w:eastAsia="zh-CN"/>
        </w:rPr>
        <w:t>IT</w:t>
      </w:r>
      <w:r w:rsidRPr="0036766C">
        <w:rPr>
          <w:rFonts w:hint="eastAsia"/>
          <w:lang w:val="en-US" w:eastAsia="zh-CN"/>
        </w:rPr>
        <w:t>设备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如</w:t>
      </w:r>
      <w:r>
        <w:rPr>
          <w:rFonts w:hint="eastAsia"/>
          <w:lang w:val="en-US" w:eastAsia="zh-CN"/>
        </w:rPr>
        <w:t>笔记本</w:t>
      </w:r>
      <w:r w:rsidRPr="0036766C">
        <w:rPr>
          <w:rFonts w:hint="eastAsia"/>
          <w:lang w:val="en-US" w:eastAsia="zh-CN"/>
        </w:rPr>
        <w:t>电脑</w:t>
      </w:r>
      <w:r>
        <w:rPr>
          <w:rFonts w:hint="eastAsia"/>
          <w:lang w:val="en-US" w:eastAsia="zh-CN"/>
        </w:rPr>
        <w:t>、</w:t>
      </w:r>
      <w:r w:rsidRPr="0036766C">
        <w:rPr>
          <w:rFonts w:hint="eastAsia"/>
          <w:lang w:val="en-US" w:eastAsia="zh-CN"/>
        </w:rPr>
        <w:t>打印机</w:t>
      </w:r>
      <w:r>
        <w:rPr>
          <w:rFonts w:hint="eastAsia"/>
          <w:lang w:val="en-US" w:eastAsia="zh-CN"/>
        </w:rPr>
        <w:t>、</w:t>
      </w:r>
      <w:r w:rsidRPr="00B66127">
        <w:rPr>
          <w:rFonts w:hint="eastAsia"/>
          <w:lang w:val="en-US" w:eastAsia="zh-CN"/>
        </w:rPr>
        <w:t>访问控制系统</w:t>
      </w:r>
      <w:r w:rsidRPr="0036766C">
        <w:rPr>
          <w:rFonts w:hint="eastAsia"/>
          <w:lang w:val="en-US" w:eastAsia="zh-CN"/>
        </w:rPr>
        <w:t>等</w:t>
      </w:r>
      <w:r>
        <w:rPr>
          <w:rFonts w:hint="eastAsia"/>
          <w:lang w:val="en-US" w:eastAsia="zh-CN"/>
        </w:rPr>
        <w:t>，</w:t>
      </w:r>
      <w:r w:rsidRPr="0033038B">
        <w:rPr>
          <w:rFonts w:hint="eastAsia"/>
          <w:lang w:val="en-US" w:eastAsia="zh-CN"/>
        </w:rPr>
        <w:t>而非运送国际电联自有设备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这将</w:t>
      </w:r>
      <w:r>
        <w:rPr>
          <w:rFonts w:hint="eastAsia"/>
          <w:lang w:val="en-US" w:eastAsia="zh-CN"/>
        </w:rPr>
        <w:t>大幅降低</w:t>
      </w:r>
      <w:r w:rsidRPr="0036766C">
        <w:rPr>
          <w:rFonts w:hint="eastAsia"/>
          <w:lang w:val="en-US" w:eastAsia="zh-CN"/>
        </w:rPr>
        <w:t>运费</w:t>
      </w:r>
      <w:r>
        <w:rPr>
          <w:rFonts w:hint="eastAsia"/>
          <w:lang w:val="en-US" w:eastAsia="zh-CN"/>
        </w:rPr>
        <w:t>、</w:t>
      </w:r>
      <w:r w:rsidRPr="0036766C">
        <w:rPr>
          <w:rFonts w:hint="eastAsia"/>
          <w:lang w:val="en-US" w:eastAsia="zh-CN"/>
        </w:rPr>
        <w:t>关税和潜在的延误</w:t>
      </w:r>
      <w:r>
        <w:rPr>
          <w:rFonts w:hint="eastAsia"/>
          <w:lang w:val="en-US" w:eastAsia="zh-CN"/>
        </w:rPr>
        <w:t>，从而</w:t>
      </w:r>
      <w:r w:rsidRPr="000269E8">
        <w:rPr>
          <w:rFonts w:hint="eastAsia"/>
          <w:lang w:val="en-US" w:eastAsia="zh-CN"/>
        </w:rPr>
        <w:t>提高成本效</w:t>
      </w:r>
      <w:r w:rsidRPr="0036766C">
        <w:rPr>
          <w:rFonts w:hint="eastAsia"/>
          <w:lang w:val="en-US" w:eastAsia="zh-CN"/>
        </w:rPr>
        <w:t>率和时间效率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在适用的情况下</w:t>
      </w:r>
      <w:r>
        <w:rPr>
          <w:rFonts w:hint="eastAsia"/>
          <w:lang w:val="en-US" w:eastAsia="zh-CN"/>
        </w:rPr>
        <w:t>，</w:t>
      </w:r>
      <w:r w:rsidRPr="0033038B">
        <w:rPr>
          <w:rFonts w:hint="eastAsia"/>
          <w:lang w:val="en-US" w:eastAsia="zh-CN"/>
        </w:rPr>
        <w:t>国际</w:t>
      </w:r>
      <w:proofErr w:type="gramStart"/>
      <w:r w:rsidRPr="0033038B">
        <w:rPr>
          <w:rFonts w:hint="eastAsia"/>
          <w:lang w:val="en-US" w:eastAsia="zh-CN"/>
        </w:rPr>
        <w:t>电联可制定</w:t>
      </w:r>
      <w:proofErr w:type="gramEnd"/>
      <w:r w:rsidRPr="0033038B">
        <w:rPr>
          <w:rFonts w:hint="eastAsia"/>
          <w:lang w:val="en-US" w:eastAsia="zh-CN"/>
        </w:rPr>
        <w:t>一份活动所需标准设备的技术规范推荐清单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5</w:t>
      </w:r>
      <w:r w:rsidRPr="0036766C">
        <w:rPr>
          <w:rFonts w:hint="eastAsia"/>
          <w:lang w:val="en-US" w:eastAsia="zh-CN"/>
        </w:rPr>
        <w:t>号决定附件</w:t>
      </w:r>
      <w:r w:rsidRPr="004F7C12">
        <w:rPr>
          <w:lang w:val="en-US" w:eastAsia="zh-CN"/>
        </w:rPr>
        <w:t>2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5</w:t>
      </w:r>
      <w:r w:rsidRPr="0036766C">
        <w:rPr>
          <w:rFonts w:hint="eastAsia"/>
          <w:lang w:val="en-US" w:eastAsia="zh-CN"/>
        </w:rPr>
        <w:t>条鼓励利用当地专家和资源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以节省差旅</w:t>
      </w:r>
      <w:r w:rsidRPr="00857E14">
        <w:rPr>
          <w:rFonts w:hint="eastAsia"/>
          <w:lang w:eastAsia="zh-CN"/>
        </w:rPr>
        <w:t>费用</w:t>
      </w:r>
      <w:r w:rsidRPr="0036766C">
        <w:rPr>
          <w:rFonts w:hint="eastAsia"/>
          <w:lang w:val="en-US" w:eastAsia="zh-CN"/>
        </w:rPr>
        <w:t>和后勤费用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特别是在规划和组织</w:t>
      </w:r>
      <w:r>
        <w:rPr>
          <w:rFonts w:hint="eastAsia"/>
          <w:lang w:val="en-US" w:eastAsia="zh-CN"/>
        </w:rPr>
        <w:t>在</w:t>
      </w:r>
      <w:r w:rsidRPr="0036766C">
        <w:rPr>
          <w:rFonts w:hint="eastAsia"/>
          <w:lang w:val="en-US" w:eastAsia="zh-CN"/>
        </w:rPr>
        <w:t>日内瓦以外</w:t>
      </w:r>
      <w:r>
        <w:rPr>
          <w:rFonts w:hint="eastAsia"/>
          <w:lang w:val="en-US" w:eastAsia="zh-CN"/>
        </w:rPr>
        <w:t>举办的</w:t>
      </w:r>
      <w:r w:rsidRPr="0036766C">
        <w:rPr>
          <w:rFonts w:hint="eastAsia"/>
          <w:lang w:val="en-US" w:eastAsia="zh-CN"/>
        </w:rPr>
        <w:t>活动方面</w:t>
      </w:r>
      <w:r>
        <w:rPr>
          <w:rFonts w:hint="eastAsia"/>
          <w:lang w:val="en-US" w:eastAsia="zh-CN"/>
        </w:rPr>
        <w:t>。</w:t>
      </w:r>
      <w:r w:rsidRPr="0036766C">
        <w:rPr>
          <w:rFonts w:hint="eastAsia"/>
          <w:lang w:val="en-US" w:eastAsia="zh-CN"/>
        </w:rPr>
        <w:t>此外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第</w:t>
      </w:r>
      <w:r w:rsidRPr="0036766C">
        <w:rPr>
          <w:rFonts w:hint="eastAsia"/>
          <w:lang w:val="en-US" w:eastAsia="zh-CN"/>
        </w:rPr>
        <w:t>17</w:t>
      </w:r>
      <w:r w:rsidRPr="0036766C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还推动</w:t>
      </w:r>
      <w:r w:rsidRPr="0036766C">
        <w:rPr>
          <w:rFonts w:hint="eastAsia"/>
          <w:lang w:val="en-US" w:eastAsia="zh-CN"/>
        </w:rPr>
        <w:t>制定减少差旅相关费用的标准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间接支持</w:t>
      </w:r>
      <w:r w:rsidRPr="004E799D">
        <w:rPr>
          <w:rFonts w:hint="eastAsia"/>
          <w:lang w:val="en-US" w:eastAsia="zh-CN"/>
        </w:rPr>
        <w:t>由主办国</w:t>
      </w:r>
      <w:r>
        <w:rPr>
          <w:rFonts w:hint="eastAsia"/>
          <w:lang w:val="en-US" w:eastAsia="zh-CN"/>
        </w:rPr>
        <w:t>提供</w:t>
      </w:r>
      <w:r w:rsidRPr="0036766C">
        <w:rPr>
          <w:rFonts w:hint="eastAsia"/>
          <w:lang w:val="en-US" w:eastAsia="zh-CN"/>
        </w:rPr>
        <w:t>所需设备</w:t>
      </w:r>
      <w:r>
        <w:rPr>
          <w:rFonts w:hint="eastAsia"/>
          <w:lang w:val="en-US" w:eastAsia="zh-CN"/>
        </w:rPr>
        <w:t>。</w:t>
      </w:r>
    </w:p>
    <w:p w14:paraId="59983155" w14:textId="00944FFE" w:rsidR="00CC76D7" w:rsidRPr="004F7C12" w:rsidRDefault="00062A9C" w:rsidP="00062A9C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ab/>
      </w:r>
      <w:r w:rsidR="00CC76D7" w:rsidRPr="0036766C">
        <w:rPr>
          <w:rFonts w:hint="eastAsia"/>
          <w:lang w:val="en-US" w:eastAsia="zh-CN"/>
        </w:rPr>
        <w:t>向数字</w:t>
      </w:r>
      <w:r w:rsidR="00CC76D7">
        <w:rPr>
          <w:rFonts w:hint="eastAsia"/>
          <w:lang w:val="en-US" w:eastAsia="zh-CN"/>
        </w:rPr>
        <w:t>化大会</w:t>
      </w:r>
      <w:r w:rsidR="00CC76D7" w:rsidRPr="003C25A4">
        <w:rPr>
          <w:rFonts w:hint="eastAsia"/>
          <w:lang w:val="en-US" w:eastAsia="zh-CN"/>
        </w:rPr>
        <w:t>胸牌</w:t>
      </w:r>
      <w:r w:rsidR="00CC76D7" w:rsidRPr="0036766C">
        <w:rPr>
          <w:rFonts w:hint="eastAsia"/>
          <w:lang w:val="en-US" w:eastAsia="zh-CN"/>
        </w:rPr>
        <w:t>过渡</w:t>
      </w:r>
    </w:p>
    <w:p w14:paraId="3EA97B2C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5</w:t>
      </w:r>
      <w:r w:rsidRPr="0036766C">
        <w:rPr>
          <w:rFonts w:hint="eastAsia"/>
          <w:lang w:val="en-US" w:eastAsia="zh-CN"/>
        </w:rPr>
        <w:t>号决定</w:t>
      </w:r>
      <w:r>
        <w:rPr>
          <w:rFonts w:hint="eastAsia"/>
          <w:lang w:val="en-US" w:eastAsia="zh-CN"/>
        </w:rPr>
        <w:t>（</w:t>
      </w:r>
      <w:r w:rsidRPr="004F7C12">
        <w:rPr>
          <w:lang w:val="en-US" w:eastAsia="zh-CN"/>
        </w:rPr>
        <w:t>2022</w:t>
      </w:r>
      <w:r w:rsidRPr="0036766C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布加勒斯特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修订版</w:t>
      </w:r>
      <w:r>
        <w:rPr>
          <w:rFonts w:hint="eastAsia"/>
          <w:lang w:val="en-US" w:eastAsia="zh-CN"/>
        </w:rPr>
        <w:t>）</w:t>
      </w:r>
      <w:r w:rsidRPr="0036766C">
        <w:rPr>
          <w:rFonts w:hint="eastAsia"/>
          <w:lang w:val="en-US" w:eastAsia="zh-CN"/>
        </w:rPr>
        <w:t>附件</w:t>
      </w:r>
      <w:r w:rsidRPr="004F7C12">
        <w:rPr>
          <w:lang w:val="en-US" w:eastAsia="zh-CN"/>
        </w:rPr>
        <w:t>2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第</w:t>
      </w:r>
      <w:r w:rsidRPr="004F7C12">
        <w:rPr>
          <w:lang w:val="en-US" w:eastAsia="zh-CN"/>
        </w:rPr>
        <w:t>10</w:t>
      </w:r>
      <w:r w:rsidRPr="0036766C">
        <w:rPr>
          <w:rFonts w:hint="eastAsia"/>
          <w:lang w:val="en-US" w:eastAsia="zh-CN"/>
        </w:rPr>
        <w:t>和第</w:t>
      </w:r>
      <w:r w:rsidRPr="004F7C12">
        <w:rPr>
          <w:lang w:val="en-US" w:eastAsia="zh-CN"/>
        </w:rPr>
        <w:t>11</w:t>
      </w:r>
      <w:r w:rsidRPr="0036766C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大力</w:t>
      </w:r>
      <w:r w:rsidRPr="0036766C">
        <w:rPr>
          <w:rFonts w:hint="eastAsia"/>
          <w:lang w:val="en-US" w:eastAsia="zh-CN"/>
        </w:rPr>
        <w:t>鼓励国际电联</w:t>
      </w:r>
      <w:r>
        <w:rPr>
          <w:rFonts w:hint="eastAsia"/>
          <w:lang w:val="en-US" w:eastAsia="zh-CN"/>
        </w:rPr>
        <w:t>“</w:t>
      </w:r>
      <w:r w:rsidRPr="003C25A4">
        <w:rPr>
          <w:rFonts w:hint="eastAsia"/>
          <w:lang w:val="en-US" w:eastAsia="zh-CN"/>
        </w:rPr>
        <w:t>在各个层面举办各类无纸化大会和会议</w:t>
      </w:r>
      <w:r>
        <w:rPr>
          <w:rFonts w:hint="eastAsia"/>
          <w:lang w:val="en-US" w:eastAsia="zh-CN"/>
        </w:rPr>
        <w:t>”，</w:t>
      </w:r>
      <w:r w:rsidRPr="0036766C">
        <w:rPr>
          <w:rFonts w:hint="eastAsia"/>
          <w:lang w:val="en-US" w:eastAsia="zh-CN"/>
        </w:rPr>
        <w:t>减少</w:t>
      </w:r>
      <w:r w:rsidRPr="00AD0C08">
        <w:rPr>
          <w:rFonts w:hint="eastAsia"/>
          <w:lang w:val="en-US" w:eastAsia="zh-CN"/>
        </w:rPr>
        <w:t>不产生收入的</w:t>
      </w:r>
      <w:r>
        <w:rPr>
          <w:rFonts w:hint="eastAsia"/>
          <w:lang w:val="en-US" w:eastAsia="zh-CN"/>
        </w:rPr>
        <w:t>材料</w:t>
      </w:r>
      <w:r w:rsidRPr="00AD0C08">
        <w:rPr>
          <w:rFonts w:hint="eastAsia"/>
          <w:lang w:val="en-US" w:eastAsia="zh-CN"/>
        </w:rPr>
        <w:t>的印刷和分发</w:t>
      </w:r>
      <w:r>
        <w:rPr>
          <w:rFonts w:hint="eastAsia"/>
          <w:lang w:val="en-US" w:eastAsia="zh-CN"/>
        </w:rPr>
        <w:t>，</w:t>
      </w:r>
      <w:r w:rsidRPr="004E799D">
        <w:rPr>
          <w:rFonts w:hint="eastAsia"/>
          <w:lang w:val="en-US" w:eastAsia="zh-CN"/>
        </w:rPr>
        <w:t>最大限度地利用数字平台和通信方式</w:t>
      </w:r>
      <w:r>
        <w:rPr>
          <w:rFonts w:hint="eastAsia"/>
          <w:lang w:val="en-US" w:eastAsia="zh-CN"/>
        </w:rPr>
        <w:t>。</w:t>
      </w:r>
      <w:r w:rsidRPr="004E799D">
        <w:rPr>
          <w:rFonts w:hint="eastAsia"/>
          <w:lang w:val="en-US" w:eastAsia="zh-CN"/>
        </w:rPr>
        <w:t>从印刷的身份证明材料（如纸质或塑料胸牌）</w:t>
      </w:r>
      <w:r w:rsidRPr="0036766C">
        <w:rPr>
          <w:rFonts w:hint="eastAsia"/>
          <w:lang w:val="en-US" w:eastAsia="zh-CN"/>
        </w:rPr>
        <w:t>过渡到数字</w:t>
      </w:r>
      <w:r>
        <w:rPr>
          <w:rFonts w:hint="eastAsia"/>
          <w:lang w:val="en-US" w:eastAsia="zh-CN"/>
        </w:rPr>
        <w:t>化</w:t>
      </w:r>
      <w:r w:rsidRPr="0036766C">
        <w:rPr>
          <w:rFonts w:hint="eastAsia"/>
          <w:lang w:val="en-US" w:eastAsia="zh-CN"/>
        </w:rPr>
        <w:t>会议</w:t>
      </w:r>
      <w:r>
        <w:rPr>
          <w:rFonts w:hint="eastAsia"/>
          <w:lang w:val="en-US" w:eastAsia="zh-CN"/>
        </w:rPr>
        <w:t>证件，</w:t>
      </w:r>
      <w:r w:rsidRPr="0036766C">
        <w:rPr>
          <w:rFonts w:hint="eastAsia"/>
          <w:lang w:val="en-US" w:eastAsia="zh-CN"/>
        </w:rPr>
        <w:t>如</w:t>
      </w:r>
      <w:proofErr w:type="gramStart"/>
      <w:r w:rsidRPr="0036766C">
        <w:rPr>
          <w:rFonts w:hint="eastAsia"/>
          <w:lang w:val="en-US" w:eastAsia="zh-CN"/>
        </w:rPr>
        <w:t>二维码移动</w:t>
      </w:r>
      <w:proofErr w:type="gramEnd"/>
      <w:r w:rsidRPr="0036766C">
        <w:rPr>
          <w:rFonts w:hint="eastAsia"/>
          <w:lang w:val="en-US" w:eastAsia="zh-CN"/>
        </w:rPr>
        <w:t>胸</w:t>
      </w:r>
      <w:r>
        <w:rPr>
          <w:rFonts w:hint="eastAsia"/>
          <w:lang w:val="en-US" w:eastAsia="zh-CN"/>
        </w:rPr>
        <w:t>牌，有助于实现这些目标，因为无需再制作</w:t>
      </w:r>
      <w:r w:rsidRPr="0036766C">
        <w:rPr>
          <w:rFonts w:hint="eastAsia"/>
          <w:lang w:val="en-US" w:eastAsia="zh-CN"/>
        </w:rPr>
        <w:t>实物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减少</w:t>
      </w:r>
      <w:r>
        <w:rPr>
          <w:rFonts w:hint="eastAsia"/>
          <w:lang w:val="en-US" w:eastAsia="zh-CN"/>
        </w:rPr>
        <w:t>了对</w:t>
      </w:r>
      <w:r w:rsidRPr="0036766C">
        <w:rPr>
          <w:rFonts w:hint="eastAsia"/>
          <w:lang w:val="en-US" w:eastAsia="zh-CN"/>
        </w:rPr>
        <w:t>环境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影响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简化</w:t>
      </w:r>
      <w:r>
        <w:rPr>
          <w:rFonts w:hint="eastAsia"/>
          <w:lang w:val="en-US" w:eastAsia="zh-CN"/>
        </w:rPr>
        <w:t>了</w:t>
      </w:r>
      <w:r w:rsidRPr="0036766C">
        <w:rPr>
          <w:rFonts w:hint="eastAsia"/>
          <w:lang w:val="en-US" w:eastAsia="zh-CN"/>
        </w:rPr>
        <w:t>后勤</w:t>
      </w:r>
      <w:r>
        <w:rPr>
          <w:rFonts w:hint="eastAsia"/>
          <w:lang w:val="en-US" w:eastAsia="zh-CN"/>
        </w:rPr>
        <w:t>安排。</w:t>
      </w:r>
    </w:p>
    <w:p w14:paraId="06E7130A" w14:textId="77777777" w:rsidR="00CC76D7" w:rsidRPr="004F7C12" w:rsidRDefault="00CC76D7" w:rsidP="00062A9C">
      <w:pPr>
        <w:keepLines/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lastRenderedPageBreak/>
        <w:t>这</w:t>
      </w:r>
      <w:r>
        <w:rPr>
          <w:rFonts w:hint="eastAsia"/>
          <w:lang w:val="en-US" w:eastAsia="zh-CN"/>
        </w:rPr>
        <w:t>种做法已在</w:t>
      </w:r>
      <w:r w:rsidRPr="0036766C">
        <w:rPr>
          <w:rFonts w:hint="eastAsia"/>
          <w:lang w:val="en-US" w:eastAsia="zh-CN"/>
        </w:rPr>
        <w:t>其他联合国机构</w:t>
      </w:r>
      <w:r>
        <w:rPr>
          <w:rFonts w:hint="eastAsia"/>
          <w:lang w:val="en-US" w:eastAsia="zh-CN"/>
        </w:rPr>
        <w:t>中得到</w:t>
      </w:r>
      <w:r w:rsidRPr="004E799D">
        <w:rPr>
          <w:rFonts w:hint="eastAsia"/>
          <w:lang w:val="en-US" w:eastAsia="zh-CN"/>
        </w:rPr>
        <w:t>采用</w:t>
      </w:r>
      <w:r>
        <w:rPr>
          <w:rFonts w:hint="eastAsia"/>
          <w:lang w:val="en-US" w:eastAsia="zh-CN"/>
        </w:rPr>
        <w:t>，</w:t>
      </w:r>
      <w:r w:rsidRPr="004E799D">
        <w:rPr>
          <w:rFonts w:hint="eastAsia"/>
          <w:lang w:val="en-US" w:eastAsia="zh-CN"/>
        </w:rPr>
        <w:t>包括联合国日内瓦办事处（</w:t>
      </w:r>
      <w:r w:rsidRPr="004E799D">
        <w:rPr>
          <w:lang w:val="en-US" w:eastAsia="zh-CN"/>
        </w:rPr>
        <w:t>UNOG</w:t>
      </w:r>
      <w:r w:rsidRPr="004E799D">
        <w:rPr>
          <w:rFonts w:hint="eastAsia"/>
          <w:lang w:val="en-US" w:eastAsia="zh-CN"/>
        </w:rPr>
        <w:t>）和《联合国气候变化框架公约》（</w:t>
      </w:r>
      <w:r w:rsidRPr="004E799D">
        <w:rPr>
          <w:lang w:val="en-US" w:eastAsia="zh-CN"/>
        </w:rPr>
        <w:t>UNFCCC</w:t>
      </w:r>
      <w:r w:rsidRPr="004E799D">
        <w:rPr>
          <w:rFonts w:hint="eastAsia"/>
          <w:lang w:val="en-US" w:eastAsia="zh-CN"/>
        </w:rPr>
        <w:t>），这两个机构都在高级别活动中采用了数字胸牌系统。这些系统可提供安全访问、实时验证，还降低了成</w:t>
      </w:r>
      <w:r w:rsidRPr="0036766C">
        <w:rPr>
          <w:rFonts w:hint="eastAsia"/>
          <w:lang w:val="en-US" w:eastAsia="zh-CN"/>
        </w:rPr>
        <w:t>本</w:t>
      </w:r>
      <w:r>
        <w:rPr>
          <w:rFonts w:hint="eastAsia"/>
          <w:lang w:val="en-US" w:eastAsia="zh-CN"/>
        </w:rPr>
        <w:t>，同时又</w:t>
      </w:r>
      <w:r w:rsidRPr="0036766C">
        <w:rPr>
          <w:rFonts w:hint="eastAsia"/>
          <w:lang w:val="en-US" w:eastAsia="zh-CN"/>
        </w:rPr>
        <w:t>不影响身份</w:t>
      </w:r>
      <w:r>
        <w:rPr>
          <w:rFonts w:hint="eastAsia"/>
          <w:lang w:val="en-US" w:eastAsia="zh-CN"/>
        </w:rPr>
        <w:t>认证</w:t>
      </w:r>
      <w:r w:rsidRPr="0036766C">
        <w:rPr>
          <w:rFonts w:hint="eastAsia"/>
          <w:lang w:val="en-US" w:eastAsia="zh-CN"/>
        </w:rPr>
        <w:t>或</w:t>
      </w:r>
      <w:r>
        <w:rPr>
          <w:rFonts w:hint="eastAsia"/>
          <w:lang w:val="en-US" w:eastAsia="zh-CN"/>
        </w:rPr>
        <w:t>与会者</w:t>
      </w:r>
      <w:r w:rsidRPr="0036766C">
        <w:rPr>
          <w:rFonts w:hint="eastAsia"/>
          <w:lang w:val="en-US" w:eastAsia="zh-CN"/>
        </w:rPr>
        <w:t>体验</w:t>
      </w:r>
      <w:r>
        <w:rPr>
          <w:rFonts w:hint="eastAsia"/>
          <w:lang w:val="en-US" w:eastAsia="zh-CN"/>
        </w:rPr>
        <w:t>。采用</w:t>
      </w:r>
      <w:r w:rsidRPr="0036766C">
        <w:rPr>
          <w:rFonts w:hint="eastAsia"/>
          <w:lang w:val="en-US" w:eastAsia="zh-CN"/>
        </w:rPr>
        <w:t>这一最佳做法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国际电联和</w:t>
      </w:r>
      <w:r>
        <w:rPr>
          <w:rFonts w:hint="eastAsia"/>
          <w:lang w:val="en-US" w:eastAsia="zh-CN"/>
        </w:rPr>
        <w:t>主办国</w:t>
      </w:r>
      <w:r w:rsidRPr="0036766C">
        <w:rPr>
          <w:rFonts w:hint="eastAsia"/>
          <w:lang w:val="en-US" w:eastAsia="zh-CN"/>
        </w:rPr>
        <w:t>既</w:t>
      </w:r>
      <w:r>
        <w:rPr>
          <w:rFonts w:hint="eastAsia"/>
          <w:lang w:val="en-US" w:eastAsia="zh-CN"/>
        </w:rPr>
        <w:t>能</w:t>
      </w:r>
      <w:r w:rsidRPr="0036766C">
        <w:rPr>
          <w:rFonts w:hint="eastAsia"/>
          <w:lang w:val="en-US" w:eastAsia="zh-CN"/>
        </w:rPr>
        <w:t>增强可持续性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又</w:t>
      </w:r>
      <w:r w:rsidRPr="004E799D">
        <w:rPr>
          <w:rFonts w:hint="eastAsia"/>
          <w:lang w:val="en-US" w:eastAsia="zh-CN"/>
        </w:rPr>
        <w:t>能降低胸牌制作、分发和重印的行</w:t>
      </w:r>
      <w:r w:rsidRPr="0036766C">
        <w:rPr>
          <w:rFonts w:hint="eastAsia"/>
          <w:lang w:val="en-US" w:eastAsia="zh-CN"/>
        </w:rPr>
        <w:t>政</w:t>
      </w:r>
      <w:r>
        <w:rPr>
          <w:rFonts w:hint="eastAsia"/>
          <w:lang w:val="en-US" w:eastAsia="zh-CN"/>
        </w:rPr>
        <w:t>及</w:t>
      </w:r>
      <w:r w:rsidRPr="0036766C">
        <w:rPr>
          <w:rFonts w:hint="eastAsia"/>
          <w:lang w:val="en-US" w:eastAsia="zh-CN"/>
        </w:rPr>
        <w:t>材料成本</w:t>
      </w:r>
      <w:r>
        <w:rPr>
          <w:rFonts w:hint="eastAsia"/>
          <w:lang w:val="en-US" w:eastAsia="zh-CN"/>
        </w:rPr>
        <w:t>。</w:t>
      </w:r>
    </w:p>
    <w:p w14:paraId="69D2281E" w14:textId="77777777" w:rsidR="00CC76D7" w:rsidRPr="004F7C12" w:rsidRDefault="00CC76D7" w:rsidP="00062A9C">
      <w:pPr>
        <w:pStyle w:val="Headingb"/>
        <w:rPr>
          <w:lang w:val="en-US" w:eastAsia="zh-CN"/>
        </w:rPr>
      </w:pPr>
      <w:r w:rsidRPr="0036766C">
        <w:rPr>
          <w:rFonts w:hint="eastAsia"/>
          <w:lang w:val="en-US" w:eastAsia="zh-CN"/>
        </w:rPr>
        <w:t>结论</w:t>
      </w:r>
    </w:p>
    <w:p w14:paraId="3E59FDA9" w14:textId="77777777" w:rsidR="00CC76D7" w:rsidRPr="004F7C12" w:rsidRDefault="00CC76D7" w:rsidP="00062A9C">
      <w:pPr>
        <w:ind w:firstLineChars="200" w:firstLine="480"/>
        <w:rPr>
          <w:lang w:val="en-US" w:eastAsia="zh-CN"/>
        </w:rPr>
      </w:pPr>
      <w:r w:rsidRPr="0036766C">
        <w:rPr>
          <w:rFonts w:hint="eastAsia"/>
          <w:lang w:val="en-US" w:eastAsia="zh-CN"/>
        </w:rPr>
        <w:t>通过实施这些切实可行</w:t>
      </w:r>
      <w:r>
        <w:rPr>
          <w:rFonts w:hint="eastAsia"/>
          <w:lang w:val="en-US" w:eastAsia="zh-CN"/>
        </w:rPr>
        <w:t>且成本高效</w:t>
      </w:r>
      <w:r w:rsidRPr="0036766C">
        <w:rPr>
          <w:rFonts w:hint="eastAsia"/>
          <w:lang w:val="en-US" w:eastAsia="zh-CN"/>
        </w:rPr>
        <w:t>的措施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国际电联及其成员国可共同支持</w:t>
      </w:r>
      <w:r>
        <w:rPr>
          <w:rFonts w:hint="eastAsia"/>
          <w:lang w:val="en-US" w:eastAsia="zh-CN"/>
        </w:rPr>
        <w:t>提高</w:t>
      </w:r>
      <w:r w:rsidRPr="0036766C">
        <w:rPr>
          <w:rFonts w:hint="eastAsia"/>
          <w:lang w:val="en-US" w:eastAsia="zh-CN"/>
        </w:rPr>
        <w:t>区域</w:t>
      </w:r>
      <w:r>
        <w:rPr>
          <w:rFonts w:hint="eastAsia"/>
          <w:lang w:val="en-US" w:eastAsia="zh-CN"/>
        </w:rPr>
        <w:t>对</w:t>
      </w:r>
      <w:r w:rsidRPr="0036766C">
        <w:rPr>
          <w:rFonts w:hint="eastAsia"/>
          <w:lang w:val="en-US" w:eastAsia="zh-CN"/>
        </w:rPr>
        <w:t>国际电联活动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参与</w:t>
      </w:r>
      <w:r>
        <w:rPr>
          <w:rFonts w:hint="eastAsia"/>
          <w:lang w:val="en-US" w:eastAsia="zh-CN"/>
        </w:rPr>
        <w:t>度这一</w:t>
      </w:r>
      <w:r w:rsidRPr="0036766C">
        <w:rPr>
          <w:rFonts w:hint="eastAsia"/>
          <w:lang w:val="en-US" w:eastAsia="zh-CN"/>
        </w:rPr>
        <w:t>更广泛</w:t>
      </w:r>
      <w:r>
        <w:rPr>
          <w:rFonts w:hint="eastAsia"/>
          <w:lang w:val="en-US" w:eastAsia="zh-CN"/>
        </w:rPr>
        <w:t>的</w:t>
      </w:r>
      <w:r w:rsidRPr="0036766C">
        <w:rPr>
          <w:rFonts w:hint="eastAsia"/>
          <w:lang w:val="en-US" w:eastAsia="zh-CN"/>
        </w:rPr>
        <w:t>目标</w:t>
      </w:r>
      <w:r>
        <w:rPr>
          <w:rFonts w:hint="eastAsia"/>
          <w:lang w:val="en-US" w:eastAsia="zh-CN"/>
        </w:rPr>
        <w:t>，</w:t>
      </w:r>
      <w:r w:rsidRPr="0036766C">
        <w:rPr>
          <w:rFonts w:hint="eastAsia"/>
          <w:lang w:val="en-US" w:eastAsia="zh-CN"/>
        </w:rPr>
        <w:t>同时与</w:t>
      </w:r>
      <w:r>
        <w:rPr>
          <w:rFonts w:hint="eastAsia"/>
          <w:lang w:val="en-US" w:eastAsia="zh-CN"/>
        </w:rPr>
        <w:t>国际电联的</w:t>
      </w:r>
      <w:r w:rsidRPr="0036766C">
        <w:rPr>
          <w:rFonts w:hint="eastAsia"/>
          <w:lang w:val="en-US" w:eastAsia="zh-CN"/>
        </w:rPr>
        <w:t>战略</w:t>
      </w:r>
      <w:r>
        <w:rPr>
          <w:rFonts w:hint="eastAsia"/>
          <w:lang w:val="en-US" w:eastAsia="zh-CN"/>
        </w:rPr>
        <w:t>目标</w:t>
      </w:r>
      <w:r w:rsidRPr="0036766C">
        <w:rPr>
          <w:rFonts w:hint="eastAsia"/>
          <w:lang w:val="en-US" w:eastAsia="zh-CN"/>
        </w:rPr>
        <w:t>和财务目标保持一致</w:t>
      </w:r>
      <w:r>
        <w:rPr>
          <w:rFonts w:hint="eastAsia"/>
          <w:lang w:val="en-US" w:eastAsia="zh-CN"/>
        </w:rPr>
        <w:t>。</w:t>
      </w:r>
      <w:r w:rsidRPr="005361DA">
        <w:rPr>
          <w:rFonts w:hint="eastAsia"/>
          <w:lang w:val="en-US" w:eastAsia="zh-CN"/>
        </w:rPr>
        <w:t>这些措施还有助于国际电</w:t>
      </w:r>
      <w:proofErr w:type="gramStart"/>
      <w:r w:rsidRPr="005361DA">
        <w:rPr>
          <w:rFonts w:hint="eastAsia"/>
          <w:lang w:val="en-US" w:eastAsia="zh-CN"/>
        </w:rPr>
        <w:t>联履行</w:t>
      </w:r>
      <w:proofErr w:type="gramEnd"/>
      <w:r w:rsidRPr="005361DA">
        <w:rPr>
          <w:rFonts w:hint="eastAsia"/>
          <w:lang w:val="en-US" w:eastAsia="zh-CN"/>
        </w:rPr>
        <w:t>对可持续发展、数字化转型和包容性国际合作的承诺。</w:t>
      </w:r>
    </w:p>
    <w:p w14:paraId="0CFDB7C4" w14:textId="77777777" w:rsidR="00E323D0" w:rsidRPr="00AF069B" w:rsidRDefault="00E323D0" w:rsidP="0032202E">
      <w:pPr>
        <w:pStyle w:val="Reasons"/>
        <w:rPr>
          <w:lang w:val="en-US" w:eastAsia="zh-CN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315D" w14:textId="77777777" w:rsidR="00BF2D04" w:rsidRDefault="00BF2D04">
      <w:r>
        <w:separator/>
      </w:r>
    </w:p>
  </w:endnote>
  <w:endnote w:type="continuationSeparator" w:id="0">
    <w:p w14:paraId="1544CFAE" w14:textId="77777777" w:rsidR="00BF2D04" w:rsidRDefault="00BF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1E6EE967" w:rsidR="00E24D59" w:rsidRPr="00CC76D7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CC76D7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 xml:space="preserve"> 2501371</w:t>
          </w:r>
        </w:p>
      </w:tc>
      <w:tc>
        <w:tcPr>
          <w:tcW w:w="8261" w:type="dxa"/>
        </w:tcPr>
        <w:p w14:paraId="4BD8989B" w14:textId="46519D33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4308BE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95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2616C34D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CC76D7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95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4814" w14:textId="77777777" w:rsidR="00BF2D04" w:rsidRDefault="00BF2D04">
      <w:r>
        <w:t>____________________</w:t>
      </w:r>
    </w:p>
  </w:footnote>
  <w:footnote w:type="continuationSeparator" w:id="0">
    <w:p w14:paraId="6AA5BE0B" w14:textId="77777777" w:rsidR="00BF2D04" w:rsidRDefault="00BF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51D9C"/>
    <w:multiLevelType w:val="hybridMultilevel"/>
    <w:tmpl w:val="55BE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2"/>
  </w:num>
  <w:num w:numId="8" w16cid:durableId="134285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2A9C"/>
    <w:rsid w:val="000646BD"/>
    <w:rsid w:val="000853C0"/>
    <w:rsid w:val="00093DD9"/>
    <w:rsid w:val="0009409E"/>
    <w:rsid w:val="000A1C21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C3F32"/>
    <w:rsid w:val="00303502"/>
    <w:rsid w:val="00325C25"/>
    <w:rsid w:val="00326DEF"/>
    <w:rsid w:val="003556D7"/>
    <w:rsid w:val="00365074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079FE"/>
    <w:rsid w:val="004178E6"/>
    <w:rsid w:val="004308BE"/>
    <w:rsid w:val="00430BF0"/>
    <w:rsid w:val="00457BC3"/>
    <w:rsid w:val="004672E6"/>
    <w:rsid w:val="00474ED1"/>
    <w:rsid w:val="00477D57"/>
    <w:rsid w:val="00491BA9"/>
    <w:rsid w:val="00493085"/>
    <w:rsid w:val="004A36EC"/>
    <w:rsid w:val="004A7316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761AF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0645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45909"/>
    <w:rsid w:val="00953160"/>
    <w:rsid w:val="00956144"/>
    <w:rsid w:val="009625D8"/>
    <w:rsid w:val="00983878"/>
    <w:rsid w:val="0098459B"/>
    <w:rsid w:val="0099408D"/>
    <w:rsid w:val="00997185"/>
    <w:rsid w:val="009C2458"/>
    <w:rsid w:val="009C4A7B"/>
    <w:rsid w:val="009C6123"/>
    <w:rsid w:val="009F1E3E"/>
    <w:rsid w:val="00A10700"/>
    <w:rsid w:val="00A1213C"/>
    <w:rsid w:val="00A13406"/>
    <w:rsid w:val="00A272FF"/>
    <w:rsid w:val="00A5354B"/>
    <w:rsid w:val="00A71B57"/>
    <w:rsid w:val="00AB42C1"/>
    <w:rsid w:val="00AC516F"/>
    <w:rsid w:val="00AE195F"/>
    <w:rsid w:val="00AE2926"/>
    <w:rsid w:val="00AF069B"/>
    <w:rsid w:val="00B0184B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2D04"/>
    <w:rsid w:val="00BF416B"/>
    <w:rsid w:val="00C45EB2"/>
    <w:rsid w:val="00C64E4E"/>
    <w:rsid w:val="00C66E64"/>
    <w:rsid w:val="00C6771F"/>
    <w:rsid w:val="00C761A0"/>
    <w:rsid w:val="00C85F7E"/>
    <w:rsid w:val="00C90D53"/>
    <w:rsid w:val="00CA0B2E"/>
    <w:rsid w:val="00CA6EF7"/>
    <w:rsid w:val="00CC76D7"/>
    <w:rsid w:val="00CD47F0"/>
    <w:rsid w:val="00CD5566"/>
    <w:rsid w:val="00CD64D7"/>
    <w:rsid w:val="00CE299D"/>
    <w:rsid w:val="00CE6F2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0982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7125C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C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RES-167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66-C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1584</Words>
  <Characters>386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Multicountry contribution - Reducing financial burdens on host countries of ITU conferences, meetings and activities</dc:title>
  <dc:subject>ITU Council 2025</dc:subject>
  <dc:creator>LING-C(JL)</dc:creator>
  <cp:keywords>C2025, C25, Council-25</cp:keywords>
  <dc:description/>
  <cp:lastModifiedBy>GBS</cp:lastModifiedBy>
  <cp:revision>2</cp:revision>
  <cp:lastPrinted>2015-02-24T13:23:00Z</cp:lastPrinted>
  <dcterms:created xsi:type="dcterms:W3CDTF">2025-06-12T11:16:00Z</dcterms:created>
  <dcterms:modified xsi:type="dcterms:W3CDTF">2025-06-12T11:16:00Z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