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421372E8" w14:textId="77777777" w:rsidTr="00F363FE">
        <w:tc>
          <w:tcPr>
            <w:tcW w:w="6512" w:type="dxa"/>
          </w:tcPr>
          <w:p w14:paraId="6DB82B1F" w14:textId="6C21B690" w:rsidR="007B0AA0" w:rsidRPr="007B0AA0" w:rsidRDefault="007B0AA0" w:rsidP="00FB6FF8">
            <w:pPr>
              <w:spacing w:before="60" w:after="60" w:line="260" w:lineRule="exact"/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B6FF8">
              <w:rPr>
                <w:rFonts w:hint="cs"/>
                <w:b/>
                <w:bCs/>
                <w:rtl/>
              </w:rPr>
              <w:t xml:space="preserve"> </w:t>
            </w:r>
            <w:r w:rsidR="00FB6FF8" w:rsidRPr="00FB6FF8">
              <w:rPr>
                <w:b/>
                <w:bCs/>
                <w:lang w:val="en-GB"/>
              </w:rPr>
              <w:t>ADM 1</w:t>
            </w:r>
          </w:p>
        </w:tc>
        <w:tc>
          <w:tcPr>
            <w:tcW w:w="3117" w:type="dxa"/>
          </w:tcPr>
          <w:p w14:paraId="4D5B492F" w14:textId="4883766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5A31CA">
              <w:rPr>
                <w:b/>
                <w:bCs/>
                <w:lang w:bidi="ar-EG"/>
              </w:rPr>
              <w:t>95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AF0B594" w14:textId="77777777" w:rsidTr="00F363FE">
        <w:tc>
          <w:tcPr>
            <w:tcW w:w="6512" w:type="dxa"/>
          </w:tcPr>
          <w:p w14:paraId="7F2BF82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4DC1A7B" w14:textId="796A4C10" w:rsidR="007B0AA0" w:rsidRPr="007B0AA0" w:rsidRDefault="005A31C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A31CA">
              <w:rPr>
                <w:b/>
                <w:bCs/>
                <w:rtl/>
                <w:lang w:bidi="ar-EG"/>
              </w:rPr>
              <w:t>‏3 يونيو 2025‏</w:t>
            </w:r>
          </w:p>
        </w:tc>
      </w:tr>
      <w:tr w:rsidR="007B0AA0" w14:paraId="195EE2D6" w14:textId="77777777" w:rsidTr="00F363FE">
        <w:tc>
          <w:tcPr>
            <w:tcW w:w="6512" w:type="dxa"/>
          </w:tcPr>
          <w:p w14:paraId="1F72C0E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05EA14E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9269523" w14:textId="77777777" w:rsidTr="00F363FE">
        <w:tc>
          <w:tcPr>
            <w:tcW w:w="6512" w:type="dxa"/>
          </w:tcPr>
          <w:p w14:paraId="6830F9B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9E9CB3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773E40A" w14:textId="77777777" w:rsidTr="00EE7446">
        <w:tc>
          <w:tcPr>
            <w:tcW w:w="9629" w:type="dxa"/>
            <w:gridSpan w:val="2"/>
          </w:tcPr>
          <w:p w14:paraId="38343F79" w14:textId="40CB7712" w:rsidR="007B0AA0" w:rsidRDefault="005A31CA" w:rsidP="00250386">
            <w:pPr>
              <w:pStyle w:val="Source"/>
              <w:jc w:val="both"/>
              <w:rPr>
                <w:lang w:bidi="ar-EG"/>
              </w:rPr>
            </w:pPr>
            <w:r w:rsidRPr="005A31CA">
              <w:rPr>
                <w:rtl/>
              </w:rPr>
              <w:t>مساهمة مقدَّمة من جمهورية</w:t>
            </w:r>
            <w:r w:rsidRPr="005A31CA">
              <w:rPr>
                <w:rFonts w:hint="cs"/>
                <w:rtl/>
              </w:rPr>
              <w:t xml:space="preserve"> مصر العربية</w:t>
            </w:r>
            <w:r w:rsidRPr="005A31CA">
              <w:rPr>
                <w:rtl/>
              </w:rPr>
              <w:t xml:space="preserve"> وجمهورية </w:t>
            </w:r>
            <w:r w:rsidRPr="006E4D28">
              <w:rPr>
                <w:rtl/>
              </w:rPr>
              <w:t xml:space="preserve">كينيا وجمهورية أوغندا وجمهورية رواندا وجمهورية </w:t>
            </w:r>
            <w:r w:rsidR="00FB6FF8" w:rsidRPr="006E4D28">
              <w:rPr>
                <w:rtl/>
              </w:rPr>
              <w:t>جنوب إفريقيا</w:t>
            </w:r>
            <w:r w:rsidR="00FB6FF8" w:rsidRPr="006E4D28">
              <w:rPr>
                <w:rFonts w:hint="cs"/>
                <w:rtl/>
              </w:rPr>
              <w:t xml:space="preserve"> </w:t>
            </w:r>
            <w:r w:rsidRPr="006E4D28">
              <w:rPr>
                <w:rtl/>
              </w:rPr>
              <w:t>وجمهورية السنغال وجمهورية تنزانيا المتحدة وتون</w:t>
            </w:r>
            <w:r w:rsidRPr="005A31CA">
              <w:rPr>
                <w:rtl/>
              </w:rPr>
              <w:t>س</w:t>
            </w:r>
          </w:p>
        </w:tc>
      </w:tr>
      <w:tr w:rsidR="007B0AA0" w14:paraId="58C00B64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40040BA" w14:textId="6023E88F" w:rsidR="007B0AA0" w:rsidRPr="005546CF" w:rsidRDefault="005A31CA" w:rsidP="005A31CA">
            <w:pPr>
              <w:pStyle w:val="Subtitle0"/>
              <w:rPr>
                <w:sz w:val="32"/>
                <w:szCs w:val="32"/>
              </w:rPr>
            </w:pPr>
            <w:r w:rsidRPr="005A31CA">
              <w:rPr>
                <w:sz w:val="32"/>
                <w:szCs w:val="32"/>
                <w:rtl/>
                <w:lang w:bidi="ar-SA"/>
              </w:rPr>
              <w:t>تخفيف الأعباء المالية على البلدان الم</w:t>
            </w:r>
            <w:r w:rsidRPr="005A31CA">
              <w:rPr>
                <w:rFonts w:hint="cs"/>
                <w:sz w:val="32"/>
                <w:szCs w:val="32"/>
                <w:rtl/>
                <w:lang w:bidi="ar-SA"/>
              </w:rPr>
              <w:t>ست</w:t>
            </w:r>
            <w:r w:rsidRPr="005A31CA">
              <w:rPr>
                <w:sz w:val="32"/>
                <w:szCs w:val="32"/>
                <w:rtl/>
                <w:lang w:bidi="ar-SA"/>
              </w:rPr>
              <w:t>ضيفة لمؤتمرات الاتحاد واجتماعاته وأنشطته</w:t>
            </w:r>
          </w:p>
        </w:tc>
      </w:tr>
      <w:tr w:rsidR="007B0AA0" w14:paraId="0CF6A83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1E3C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494119">
              <w:rPr>
                <w:rFonts w:hint="cs"/>
                <w:b/>
                <w:bCs/>
                <w:rtl/>
              </w:rPr>
              <w:t>الغرض</w:t>
            </w:r>
          </w:p>
          <w:p w14:paraId="440C2B13" w14:textId="29C76CA1" w:rsidR="007B0AA0" w:rsidRDefault="005A31CA" w:rsidP="005A31CA">
            <w:pPr>
              <w:rPr>
                <w:rtl/>
              </w:rPr>
            </w:pPr>
            <w:r w:rsidRPr="005A31CA">
              <w:rPr>
                <w:rtl/>
              </w:rPr>
              <w:t>يحدد هذا المقتر</w:t>
            </w:r>
            <w:r w:rsidRPr="005A31CA">
              <w:rPr>
                <w:rFonts w:hint="cs"/>
                <w:rtl/>
              </w:rPr>
              <w:t>َ</w:t>
            </w:r>
            <w:r w:rsidRPr="005A31CA">
              <w:rPr>
                <w:rtl/>
              </w:rPr>
              <w:t>ح تدابير عملية لخفض تكاليف البلد الم</w:t>
            </w:r>
            <w:r w:rsidRPr="005A31CA">
              <w:rPr>
                <w:rFonts w:hint="cs"/>
                <w:rtl/>
              </w:rPr>
              <w:t>ست</w:t>
            </w:r>
            <w:r w:rsidRPr="005A31CA">
              <w:rPr>
                <w:rtl/>
              </w:rPr>
              <w:t>ضيف مع الحفاظ على جودة أحداث الاتحاد وشموليتها.</w:t>
            </w:r>
          </w:p>
          <w:p w14:paraId="21DD535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2D214FB" w14:textId="674D1D92" w:rsidR="007B0AA0" w:rsidRDefault="00FB6FF8" w:rsidP="00C87F4A">
            <w:pPr>
              <w:rPr>
                <w:rtl/>
              </w:rPr>
            </w:pPr>
            <w:r w:rsidRPr="00FB6FF8">
              <w:rPr>
                <w:rtl/>
              </w:rPr>
              <w:t xml:space="preserve">يُدعى المجلس إلى </w:t>
            </w:r>
            <w:r w:rsidR="00C87F4A" w:rsidRPr="00C87F4A">
              <w:rPr>
                <w:b/>
                <w:bCs/>
                <w:rtl/>
              </w:rPr>
              <w:t>النظر</w:t>
            </w:r>
            <w:r w:rsidR="00C87F4A" w:rsidRPr="00C87F4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FB6FF8">
              <w:rPr>
                <w:rtl/>
              </w:rPr>
              <w:t>هذه الوثيقة</w:t>
            </w:r>
            <w:r>
              <w:rPr>
                <w:rFonts w:hint="cs"/>
                <w:rtl/>
              </w:rPr>
              <w:t xml:space="preserve"> و</w:t>
            </w:r>
            <w:r w:rsidRPr="00C87F4A">
              <w:rPr>
                <w:rFonts w:hint="cs"/>
                <w:b/>
                <w:bCs/>
                <w:rtl/>
              </w:rPr>
              <w:t xml:space="preserve">اتخاذ </w:t>
            </w:r>
            <w:r>
              <w:rPr>
                <w:rFonts w:hint="cs"/>
                <w:rtl/>
              </w:rPr>
              <w:t xml:space="preserve">الإجراء </w:t>
            </w:r>
            <w:r w:rsidR="00C87F4A">
              <w:rPr>
                <w:rFonts w:hint="cs"/>
                <w:rtl/>
              </w:rPr>
              <w:t>المناسب</w:t>
            </w:r>
            <w:r w:rsidRPr="00FB6FF8">
              <w:t>.</w:t>
            </w:r>
          </w:p>
          <w:p w14:paraId="4544270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29AB38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3E61669" w14:textId="3324BE8E" w:rsidR="007B0AA0" w:rsidRPr="005546CF" w:rsidRDefault="005A31CA" w:rsidP="005A31CA">
            <w:pPr>
              <w:rPr>
                <w:i/>
                <w:iCs/>
                <w:rtl/>
              </w:rPr>
            </w:pPr>
            <w:hyperlink r:id="rId7" w:history="1">
              <w:r w:rsidRPr="005A31C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المقرر 5 (المراج</w:t>
              </w:r>
              <w:r w:rsidR="006E4D28">
                <w:rPr>
                  <w:rStyle w:val="Hyperlink"/>
                  <w:rFonts w:ascii="Dubai" w:hAnsi="Dubai" w:cs="Dubai" w:hint="cs"/>
                  <w:i/>
                  <w:iCs/>
                  <w:noProof w:val="0"/>
                  <w:sz w:val="22"/>
                  <w:rtl/>
                  <w:lang w:val="en-US" w:eastAsia="zh-CN"/>
                </w:rPr>
                <w:t>َ</w:t>
              </w:r>
              <w:r w:rsidRPr="005A31C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ع في بوخارست، 2022)</w:t>
              </w:r>
            </w:hyperlink>
            <w:r w:rsidRPr="005A31CA">
              <w:rPr>
                <w:i/>
                <w:iCs/>
                <w:rtl/>
              </w:rPr>
              <w:t xml:space="preserve"> </w:t>
            </w:r>
            <w:r w:rsidRPr="005A31CA">
              <w:rPr>
                <w:rFonts w:hint="cs"/>
                <w:i/>
                <w:iCs/>
                <w:rtl/>
              </w:rPr>
              <w:t>ل</w:t>
            </w:r>
            <w:r w:rsidRPr="005A31CA">
              <w:rPr>
                <w:i/>
                <w:iCs/>
                <w:rtl/>
              </w:rPr>
              <w:t xml:space="preserve">مؤتمر المندوبين المفوضين؛ </w:t>
            </w:r>
            <w:r w:rsidRPr="005A31CA">
              <w:rPr>
                <w:rFonts w:hint="cs"/>
                <w:i/>
                <w:iCs/>
                <w:rtl/>
              </w:rPr>
              <w:t>و</w:t>
            </w:r>
            <w:r w:rsidRPr="005A31CA">
              <w:rPr>
                <w:i/>
                <w:iCs/>
                <w:rtl/>
              </w:rPr>
              <w:t xml:space="preserve">القرار </w:t>
            </w:r>
            <w:hyperlink r:id="rId8" w:history="1">
              <w:r w:rsidRPr="005A31C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66 (المراج</w:t>
              </w:r>
              <w:r w:rsidR="006E4D28">
                <w:rPr>
                  <w:rStyle w:val="Hyperlink"/>
                  <w:rFonts w:ascii="Dubai" w:hAnsi="Dubai" w:cs="Dubai" w:hint="cs"/>
                  <w:i/>
                  <w:iCs/>
                  <w:noProof w:val="0"/>
                  <w:sz w:val="22"/>
                  <w:rtl/>
                  <w:lang w:val="en-US" w:eastAsia="zh-CN"/>
                </w:rPr>
                <w:t>َ</w:t>
              </w:r>
              <w:r w:rsidRPr="005A31C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ع في بوخارست، 2022)</w:t>
              </w:r>
            </w:hyperlink>
            <w:r w:rsidR="006E4D28">
              <w:rPr>
                <w:rFonts w:hint="cs"/>
                <w:i/>
                <w:iCs/>
                <w:rtl/>
              </w:rPr>
              <w:t xml:space="preserve">: </w:t>
            </w:r>
            <w:r w:rsidRPr="005A31CA">
              <w:rPr>
                <w:i/>
                <w:iCs/>
                <w:rtl/>
              </w:rPr>
              <w:t xml:space="preserve">وثائق الاتحاد ومنشوراته، </w:t>
            </w:r>
            <w:r w:rsidRPr="00C87F4A">
              <w:rPr>
                <w:i/>
                <w:iCs/>
                <w:u w:color="5B9BD5"/>
                <w:rtl/>
              </w:rPr>
              <w:t>و</w:t>
            </w:r>
            <w:hyperlink r:id="rId9" w:history="1">
              <w:r w:rsidRPr="00C87F4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القرار 167 (المراج</w:t>
              </w:r>
              <w:r w:rsidR="00A66472">
                <w:rPr>
                  <w:rStyle w:val="Hyperlink"/>
                  <w:rFonts w:ascii="Dubai" w:hAnsi="Dubai" w:cs="Dubai" w:hint="cs"/>
                  <w:i/>
                  <w:iCs/>
                  <w:noProof w:val="0"/>
                  <w:sz w:val="22"/>
                  <w:rtl/>
                  <w:lang w:val="en-US" w:eastAsia="zh-CN"/>
                </w:rPr>
                <w:t>َ</w:t>
              </w:r>
              <w:r w:rsidRPr="00C87F4A">
                <w:rPr>
                  <w:rStyle w:val="Hyperlink"/>
                  <w:rFonts w:ascii="Dubai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ع في بوخارست، 2022)</w:t>
              </w:r>
            </w:hyperlink>
            <w:r w:rsidRPr="005A31CA">
              <w:rPr>
                <w:i/>
                <w:iCs/>
                <w:rtl/>
              </w:rPr>
              <w:t xml:space="preserve"> </w:t>
            </w:r>
            <w:r w:rsidRPr="005A31CA">
              <w:rPr>
                <w:rFonts w:hint="cs"/>
                <w:i/>
                <w:iCs/>
                <w:rtl/>
              </w:rPr>
              <w:t>ل</w:t>
            </w:r>
            <w:r w:rsidRPr="005A31CA">
              <w:rPr>
                <w:i/>
                <w:iCs/>
                <w:rtl/>
              </w:rPr>
              <w:t>مؤتمر المندوبين المفوضين: الاجتماعات الافتراضية والمختلطة واستخدام الوسائل الإلكترونية.</w:t>
            </w:r>
          </w:p>
        </w:tc>
      </w:tr>
    </w:tbl>
    <w:p w14:paraId="6DA0194C" w14:textId="77777777" w:rsidR="00E61BE8" w:rsidRDefault="00E61BE8" w:rsidP="00E61BE8">
      <w:pPr>
        <w:rPr>
          <w:rtl/>
          <w:lang w:bidi="ar-EG"/>
        </w:rPr>
      </w:pPr>
    </w:p>
    <w:p w14:paraId="31F77837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442489A" w14:textId="30F75ECD" w:rsidR="005A31CA" w:rsidRPr="005A31CA" w:rsidRDefault="00C87F4A" w:rsidP="00C87F4A">
      <w:pPr>
        <w:pStyle w:val="Headingb"/>
        <w:rPr>
          <w:lang w:bidi="ar-EG"/>
        </w:rPr>
      </w:pPr>
      <w:r w:rsidRPr="00C87F4A">
        <w:rPr>
          <w:rtl/>
        </w:rPr>
        <w:lastRenderedPageBreak/>
        <w:t>معلومات أساسية</w:t>
      </w:r>
    </w:p>
    <w:p w14:paraId="4DE7FF28" w14:textId="1B16D704" w:rsidR="005A31CA" w:rsidRPr="005A31CA" w:rsidRDefault="005A31CA" w:rsidP="00514D8A">
      <w:pPr>
        <w:rPr>
          <w:lang w:bidi="ar-EG"/>
        </w:rPr>
      </w:pPr>
      <w:r w:rsidRPr="005A31CA">
        <w:rPr>
          <w:rtl/>
          <w:lang w:val="en-GB"/>
        </w:rPr>
        <w:t>يؤدي الاتحاد الدولي للاتصالات (</w:t>
      </w:r>
      <w:r w:rsidRPr="005A31CA">
        <w:rPr>
          <w:lang w:val="en-GB" w:bidi="ar-EG"/>
        </w:rPr>
        <w:t>ITU</w:t>
      </w:r>
      <w:r w:rsidRPr="005A31CA">
        <w:rPr>
          <w:rtl/>
          <w:lang w:val="en-GB"/>
        </w:rPr>
        <w:t>) دورا</w:t>
      </w:r>
      <w:r w:rsidR="00A66472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رئيسيا</w:t>
      </w:r>
      <w:r w:rsidR="00C87F4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في التنمية الرقمية العالمية من خلال المؤتمرات والاجتماعات والمنتديات والأنشطة التي لا تستضيفها جنيف فحسب، بل تستضيفها أيضا</w:t>
      </w:r>
      <w:r w:rsidR="00A66472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الدول الأعضاء في جميع المناطق. </w:t>
      </w:r>
      <w:r w:rsidRPr="005A31CA">
        <w:rPr>
          <w:rFonts w:hint="cs"/>
          <w:rtl/>
          <w:lang w:val="en-GB"/>
        </w:rPr>
        <w:t>وتحسِّن</w:t>
      </w:r>
      <w:r w:rsidRPr="005A31CA">
        <w:rPr>
          <w:rtl/>
          <w:lang w:val="en-GB"/>
        </w:rPr>
        <w:t xml:space="preserve"> هذه الأحداث المشاركة الشاملة، وتعز</w:t>
      </w:r>
      <w:r w:rsidR="00A66472">
        <w:rPr>
          <w:rFonts w:hint="cs"/>
          <w:rtl/>
          <w:lang w:val="en-GB"/>
        </w:rPr>
        <w:t>ّ</w:t>
      </w:r>
      <w:r w:rsidRPr="005A31CA">
        <w:rPr>
          <w:rtl/>
          <w:lang w:val="en-GB"/>
        </w:rPr>
        <w:t xml:space="preserve">ز بناء القدرات، </w:t>
      </w:r>
      <w:r w:rsidRPr="005A31CA">
        <w:rPr>
          <w:rFonts w:hint="cs"/>
          <w:rtl/>
          <w:lang w:val="en-GB"/>
        </w:rPr>
        <w:t>وتقوي</w:t>
      </w:r>
      <w:r w:rsidRPr="005A31CA">
        <w:rPr>
          <w:rtl/>
          <w:lang w:val="en-GB"/>
        </w:rPr>
        <w:t xml:space="preserve"> الحضور الميداني للاتحاد، </w:t>
      </w:r>
      <w:r w:rsidRPr="005A31CA">
        <w:rPr>
          <w:rFonts w:hint="cs"/>
          <w:rtl/>
          <w:lang w:val="en-GB"/>
        </w:rPr>
        <w:t>داعمةً</w:t>
      </w:r>
      <w:r w:rsidRPr="005A31CA">
        <w:rPr>
          <w:rtl/>
          <w:lang w:val="en-GB"/>
        </w:rPr>
        <w:t xml:space="preserve"> ولايته المتمثلة في الشمول الرقمي والتنمية القطاعية</w:t>
      </w:r>
      <w:r w:rsidRPr="005A31CA">
        <w:rPr>
          <w:rFonts w:hint="cs"/>
          <w:rtl/>
          <w:lang w:val="en-GB"/>
        </w:rPr>
        <w:t xml:space="preserve"> </w:t>
      </w:r>
      <w:r w:rsidRPr="005A31CA">
        <w:rPr>
          <w:rtl/>
          <w:lang w:val="en-GB"/>
        </w:rPr>
        <w:t>على الصعيد العالمي.</w:t>
      </w:r>
    </w:p>
    <w:p w14:paraId="583478BF" w14:textId="72980B66" w:rsidR="005A31CA" w:rsidRPr="005A31CA" w:rsidRDefault="005A31CA" w:rsidP="005A31CA">
      <w:pPr>
        <w:rPr>
          <w:lang w:bidi="ar-EG"/>
        </w:rPr>
      </w:pPr>
      <w:r w:rsidRPr="005A31CA">
        <w:rPr>
          <w:rFonts w:hint="cs"/>
          <w:rtl/>
          <w:lang w:val="en-GB"/>
        </w:rPr>
        <w:t>و</w:t>
      </w:r>
      <w:r w:rsidRPr="005A31CA">
        <w:rPr>
          <w:rtl/>
          <w:lang w:val="en-GB"/>
        </w:rPr>
        <w:t>استضافة هذه الأحداث، رغم فائدتها للمشاركة الإقليمية، كثيرا</w:t>
      </w:r>
      <w:r w:rsidR="00514D8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ما تنطوي على التزامات لوجستية كبيرة من البلدان المستضيفة، ولا</w:t>
      </w:r>
      <w:r w:rsidR="00A66472">
        <w:rPr>
          <w:rFonts w:hint="cs"/>
          <w:rtl/>
          <w:lang w:val="en-GB"/>
        </w:rPr>
        <w:t> </w:t>
      </w:r>
      <w:r w:rsidRPr="005A31CA">
        <w:rPr>
          <w:rtl/>
          <w:lang w:val="en-GB"/>
        </w:rPr>
        <w:t xml:space="preserve">سيما في مجالات خدمات الترجمة الشفوية، </w:t>
      </w:r>
      <w:r w:rsidRPr="005A31CA">
        <w:rPr>
          <w:rFonts w:hint="cs"/>
          <w:rtl/>
          <w:lang w:val="en-GB"/>
        </w:rPr>
        <w:t>وتهيئة</w:t>
      </w:r>
      <w:r w:rsidRPr="005A31CA">
        <w:rPr>
          <w:rtl/>
          <w:lang w:val="en-GB"/>
        </w:rPr>
        <w:t xml:space="preserve"> البنية التحتية لتكنولوجيا المعلومات، وإنتاج المواد المطبوعة. ويمكن لهذه التكاليف أن تثني المستضيفين المحتملين - </w:t>
      </w:r>
      <w:r w:rsidRPr="005A31CA">
        <w:rPr>
          <w:rFonts w:hint="cs"/>
          <w:rtl/>
          <w:lang w:val="en-GB"/>
        </w:rPr>
        <w:t>خاصةً</w:t>
      </w:r>
      <w:r w:rsidRPr="005A31CA">
        <w:rPr>
          <w:rtl/>
          <w:lang w:val="en-GB"/>
        </w:rPr>
        <w:t xml:space="preserve"> البلدان النامية - عن التطوع لتنظيم مثل هذه الأحداث.</w:t>
      </w:r>
    </w:p>
    <w:p w14:paraId="700921B5" w14:textId="25D2C965" w:rsidR="005A31CA" w:rsidRPr="005A31CA" w:rsidRDefault="005A31CA" w:rsidP="005A31CA">
      <w:pPr>
        <w:rPr>
          <w:lang w:bidi="ar-EG"/>
        </w:rPr>
      </w:pPr>
      <w:r w:rsidRPr="005A31CA">
        <w:rPr>
          <w:rFonts w:hint="cs"/>
          <w:b/>
          <w:bCs/>
          <w:rtl/>
          <w:lang w:val="en-GB"/>
        </w:rPr>
        <w:t>ويقدم</w:t>
      </w:r>
      <w:r w:rsidRPr="005A31CA">
        <w:rPr>
          <w:b/>
          <w:bCs/>
          <w:rtl/>
          <w:lang w:val="en-GB"/>
        </w:rPr>
        <w:t xml:space="preserve"> المقرر 5 (المراج</w:t>
      </w:r>
      <w:r w:rsidR="00514D8A">
        <w:rPr>
          <w:rFonts w:hint="cs"/>
          <w:b/>
          <w:bCs/>
          <w:rtl/>
          <w:lang w:val="en-GB"/>
        </w:rPr>
        <w:t>َ</w:t>
      </w:r>
      <w:r w:rsidRPr="005A31CA">
        <w:rPr>
          <w:b/>
          <w:bCs/>
          <w:rtl/>
          <w:lang w:val="en-GB"/>
        </w:rPr>
        <w:t>ع في بوخارست، 2022)</w:t>
      </w:r>
      <w:r w:rsidRPr="005A31CA">
        <w:rPr>
          <w:rtl/>
          <w:lang w:val="en-GB"/>
        </w:rPr>
        <w:t xml:space="preserve"> و</w:t>
      </w:r>
      <w:r w:rsidRPr="005A31CA">
        <w:rPr>
          <w:b/>
          <w:bCs/>
          <w:rtl/>
          <w:lang w:val="en-GB"/>
        </w:rPr>
        <w:t>ملحقه</w:t>
      </w:r>
      <w:r w:rsidR="00A66472">
        <w:rPr>
          <w:rFonts w:hint="cs"/>
          <w:rtl/>
          <w:lang w:val="en-GB"/>
        </w:rPr>
        <w:t> </w:t>
      </w:r>
      <w:r w:rsidRPr="005A31CA">
        <w:rPr>
          <w:b/>
          <w:bCs/>
          <w:rtl/>
          <w:lang w:val="en-GB"/>
        </w:rPr>
        <w:t>2</w:t>
      </w:r>
      <w:r w:rsidRPr="005A31CA">
        <w:rPr>
          <w:rtl/>
          <w:lang w:val="en-GB"/>
        </w:rPr>
        <w:t xml:space="preserve"> إطارا</w:t>
      </w:r>
      <w:r w:rsidR="00514D8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شاملا</w:t>
      </w:r>
      <w:r w:rsidR="00514D8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لتحسين كفاءة الاتحاد وخفض النفقات التشغيلية، وتشجيع تدابير مثل الاستفادة من الموارد المحلية، </w:t>
      </w:r>
      <w:proofErr w:type="spellStart"/>
      <w:r w:rsidRPr="005A31CA">
        <w:rPr>
          <w:rtl/>
          <w:lang w:val="en-GB"/>
        </w:rPr>
        <w:t>ورقمنة</w:t>
      </w:r>
      <w:proofErr w:type="spellEnd"/>
      <w:r w:rsidRPr="005A31CA">
        <w:rPr>
          <w:rtl/>
          <w:lang w:val="en-GB"/>
        </w:rPr>
        <w:t xml:space="preserve"> سير العمل، وتقليل السفر والشحن إلى أدنى حد.</w:t>
      </w:r>
    </w:p>
    <w:p w14:paraId="295F134B" w14:textId="761B81C1" w:rsidR="005A31CA" w:rsidRPr="005A31CA" w:rsidRDefault="005A31CA" w:rsidP="005A31CA">
      <w:pPr>
        <w:rPr>
          <w:lang w:bidi="ar-EG"/>
        </w:rPr>
      </w:pPr>
      <w:r w:rsidRPr="005A31CA">
        <w:rPr>
          <w:rtl/>
          <w:lang w:val="en-GB"/>
        </w:rPr>
        <w:t>و</w:t>
      </w:r>
      <w:r w:rsidRPr="005A31CA">
        <w:rPr>
          <w:rFonts w:hint="cs"/>
          <w:rtl/>
          <w:lang w:val="en-GB"/>
        </w:rPr>
        <w:t>ت</w:t>
      </w:r>
      <w:r w:rsidRPr="005A31CA">
        <w:rPr>
          <w:rtl/>
          <w:lang w:val="en-GB"/>
        </w:rPr>
        <w:t xml:space="preserve">سعى </w:t>
      </w:r>
      <w:r w:rsidR="00A66472">
        <w:rPr>
          <w:rFonts w:hint="cs"/>
          <w:rtl/>
          <w:lang w:val="en-GB"/>
        </w:rPr>
        <w:t>هذه المساهمة</w:t>
      </w:r>
      <w:r w:rsidRPr="005A31CA">
        <w:rPr>
          <w:rtl/>
          <w:lang w:val="en-GB"/>
        </w:rPr>
        <w:t xml:space="preserve"> إلى دعم تنفيذ المقرر</w:t>
      </w:r>
      <w:r w:rsidR="00A66472">
        <w:rPr>
          <w:rFonts w:hint="cs"/>
          <w:rtl/>
          <w:lang w:val="en-GB"/>
        </w:rPr>
        <w:t> </w:t>
      </w:r>
      <w:r w:rsidRPr="005A31CA">
        <w:rPr>
          <w:rtl/>
          <w:lang w:val="en-GB"/>
        </w:rPr>
        <w:t xml:space="preserve">5 </w:t>
      </w:r>
      <w:r w:rsidRPr="005A31CA">
        <w:rPr>
          <w:rFonts w:hint="cs"/>
          <w:rtl/>
          <w:lang w:val="en-GB"/>
        </w:rPr>
        <w:t>ومواصلة</w:t>
      </w:r>
      <w:r w:rsidRPr="005A31CA">
        <w:rPr>
          <w:rtl/>
          <w:lang w:val="en-GB"/>
        </w:rPr>
        <w:t xml:space="preserve"> تيسير استضافة أحداث الاتحاد في جميع أنحاء العالم من خلال اقتراح تدابير محددة وقابلة للتنفيذ لخفض التكاليف.</w:t>
      </w:r>
    </w:p>
    <w:p w14:paraId="3F73E582" w14:textId="77777777" w:rsidR="005A31CA" w:rsidRPr="005A31CA" w:rsidRDefault="005A31CA" w:rsidP="00514D8A">
      <w:pPr>
        <w:pStyle w:val="Headingb"/>
        <w:rPr>
          <w:lang w:bidi="ar-EG"/>
        </w:rPr>
      </w:pPr>
      <w:r w:rsidRPr="005A31CA">
        <w:rPr>
          <w:rFonts w:hint="cs"/>
          <w:rtl/>
        </w:rPr>
        <w:t>الم</w:t>
      </w:r>
      <w:r w:rsidRPr="005A31CA">
        <w:rPr>
          <w:rtl/>
        </w:rPr>
        <w:t>قترح</w:t>
      </w:r>
    </w:p>
    <w:p w14:paraId="5C388E15" w14:textId="6B6C4AE4" w:rsidR="005A31CA" w:rsidRPr="005A31CA" w:rsidRDefault="005A31CA" w:rsidP="005A31CA">
      <w:pPr>
        <w:rPr>
          <w:lang w:bidi="ar-EG"/>
        </w:rPr>
      </w:pPr>
      <w:r w:rsidRPr="005A31CA">
        <w:rPr>
          <w:rtl/>
          <w:lang w:val="en-GB"/>
        </w:rPr>
        <w:t>تيسيرا</w:t>
      </w:r>
      <w:r w:rsidR="00514D8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لمشاركة أوسع </w:t>
      </w:r>
      <w:r w:rsidRPr="005A31CA">
        <w:rPr>
          <w:rFonts w:hint="cs"/>
          <w:rtl/>
          <w:lang w:val="en-GB"/>
        </w:rPr>
        <w:t>من ا</w:t>
      </w:r>
      <w:r w:rsidRPr="005A31CA">
        <w:rPr>
          <w:rtl/>
          <w:lang w:val="en-GB"/>
        </w:rPr>
        <w:t xml:space="preserve">لبلدان </w:t>
      </w:r>
      <w:r w:rsidRPr="005A31CA">
        <w:rPr>
          <w:rFonts w:hint="cs"/>
          <w:rtl/>
          <w:lang w:val="en-GB"/>
        </w:rPr>
        <w:t>خاصة</w:t>
      </w:r>
      <w:r w:rsidR="00514D8A">
        <w:rPr>
          <w:rFonts w:hint="cs"/>
          <w:rtl/>
          <w:lang w:val="en-GB"/>
        </w:rPr>
        <w:t>ً</w:t>
      </w:r>
      <w:r w:rsidRPr="005A31CA">
        <w:rPr>
          <w:rFonts w:hint="cs"/>
          <w:rtl/>
          <w:lang w:val="en-GB"/>
        </w:rPr>
        <w:t xml:space="preserve"> من</w:t>
      </w:r>
      <w:r w:rsidRPr="005A31CA">
        <w:rPr>
          <w:rtl/>
          <w:lang w:val="en-GB"/>
        </w:rPr>
        <w:t xml:space="preserve"> البلدان النامية - بوصفها مستضيفة</w:t>
      </w:r>
      <w:r w:rsidRPr="005A31CA">
        <w:rPr>
          <w:rFonts w:hint="cs"/>
          <w:rtl/>
          <w:lang w:val="en-GB"/>
        </w:rPr>
        <w:t xml:space="preserve"> </w:t>
      </w:r>
      <w:r w:rsidRPr="005A31CA">
        <w:rPr>
          <w:rtl/>
          <w:lang w:val="en-GB"/>
        </w:rPr>
        <w:t>لأنشطة الاتحاد، تقد</w:t>
      </w:r>
      <w:r w:rsidRPr="005A31CA">
        <w:rPr>
          <w:rFonts w:hint="cs"/>
          <w:rtl/>
          <w:lang w:val="en-GB"/>
        </w:rPr>
        <w:t>َّ</w:t>
      </w:r>
      <w:r w:rsidRPr="005A31CA">
        <w:rPr>
          <w:rtl/>
          <w:lang w:val="en-GB"/>
        </w:rPr>
        <w:t>م المقترحات التالية للنظر فيها:</w:t>
      </w:r>
    </w:p>
    <w:p w14:paraId="00AF9E04" w14:textId="7D6AE0E2" w:rsidR="005A31CA" w:rsidRPr="005A31CA" w:rsidRDefault="00514D8A" w:rsidP="00514D8A">
      <w:pPr>
        <w:pStyle w:val="Heading1"/>
        <w:rPr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5A31CA" w:rsidRPr="005A31CA">
        <w:rPr>
          <w:rtl/>
        </w:rPr>
        <w:t>الاستفادة من موارد الترجمة الفورية المحلية/الوطنية</w:t>
      </w:r>
    </w:p>
    <w:p w14:paraId="6C4D9F85" w14:textId="77777777" w:rsidR="005A31CA" w:rsidRPr="003B60A3" w:rsidRDefault="005A31CA" w:rsidP="005A31CA">
      <w:pPr>
        <w:rPr>
          <w:lang w:bidi="ar-EG"/>
        </w:rPr>
      </w:pPr>
      <w:r w:rsidRPr="003B60A3">
        <w:rPr>
          <w:rtl/>
          <w:lang w:val="en-GB"/>
        </w:rPr>
        <w:t xml:space="preserve">توصي المادة 12 من الملحق 2 </w:t>
      </w:r>
      <w:r w:rsidRPr="003B60A3">
        <w:rPr>
          <w:rFonts w:hint="cs"/>
          <w:rtl/>
          <w:lang w:val="en-GB"/>
        </w:rPr>
        <w:t>ب</w:t>
      </w:r>
      <w:r w:rsidRPr="003B60A3">
        <w:rPr>
          <w:rtl/>
          <w:lang w:val="en-GB"/>
        </w:rPr>
        <w:t>المقرر 5 بتخفيض تكلفة الترجمة الشفوية من خلال تدابير الاستخدام الأمثل واستخدام إجراءات الترجمة البديلة. ولذلك، يشج</w:t>
      </w:r>
      <w:r w:rsidRPr="003B60A3">
        <w:rPr>
          <w:rFonts w:hint="cs"/>
          <w:rtl/>
          <w:lang w:val="en-GB"/>
        </w:rPr>
        <w:t>َّ</w:t>
      </w:r>
      <w:r w:rsidRPr="003B60A3">
        <w:rPr>
          <w:rtl/>
          <w:lang w:val="en-GB"/>
        </w:rPr>
        <w:t xml:space="preserve">ع الاتحاد على العمل مع البلدان المستضيفة لتوظيف </w:t>
      </w:r>
      <w:r w:rsidRPr="003B60A3">
        <w:rPr>
          <w:b/>
          <w:bCs/>
          <w:rtl/>
          <w:lang w:val="en-GB"/>
        </w:rPr>
        <w:t xml:space="preserve">مترجمين </w:t>
      </w:r>
      <w:r w:rsidRPr="003B60A3">
        <w:rPr>
          <w:rFonts w:hint="cs"/>
          <w:b/>
          <w:bCs/>
          <w:rtl/>
          <w:lang w:val="en-GB"/>
        </w:rPr>
        <w:t>شفويين</w:t>
      </w:r>
      <w:r w:rsidRPr="003B60A3">
        <w:rPr>
          <w:b/>
          <w:bCs/>
          <w:rtl/>
          <w:lang w:val="en-GB"/>
        </w:rPr>
        <w:t xml:space="preserve"> مؤهلين محليين </w:t>
      </w:r>
      <w:r w:rsidRPr="003B60A3">
        <w:rPr>
          <w:rtl/>
          <w:lang w:val="en-GB"/>
        </w:rPr>
        <w:t>باللغات الرسمية للأمم المتحدة/الاتحاد</w:t>
      </w:r>
      <w:r w:rsidRPr="003B60A3">
        <w:rPr>
          <w:rFonts w:hint="cs"/>
          <w:rtl/>
          <w:lang w:val="en-GB"/>
        </w:rPr>
        <w:t xml:space="preserve"> الدولي للاتصالات</w:t>
      </w:r>
      <w:r w:rsidRPr="003B60A3">
        <w:rPr>
          <w:rtl/>
          <w:lang w:val="en-GB"/>
        </w:rPr>
        <w:t xml:space="preserve">. ومن شأن ذلك أن يقلل من </w:t>
      </w:r>
      <w:r w:rsidRPr="003B60A3">
        <w:rPr>
          <w:b/>
          <w:bCs/>
          <w:rtl/>
          <w:lang w:val="en-GB"/>
        </w:rPr>
        <w:t>نفقات السفر والإقامة والبدل اليومي</w:t>
      </w:r>
      <w:r w:rsidRPr="003B60A3">
        <w:rPr>
          <w:rtl/>
          <w:lang w:val="en-GB"/>
        </w:rPr>
        <w:t xml:space="preserve"> التي يتحملها الاتحاد أو البلد المستضيف. ويمكن وضع مبادئ توجيهية وعمليات ضمان الجودة بالاشتراك مع خدمات اللغات في الاتحاد لضمان الحفاظ على المعايير.</w:t>
      </w:r>
    </w:p>
    <w:p w14:paraId="78EDA7A0" w14:textId="084243B4" w:rsidR="005A31CA" w:rsidRPr="003B60A3" w:rsidRDefault="00514D8A" w:rsidP="00514D8A">
      <w:pPr>
        <w:pStyle w:val="Heading1"/>
        <w:rPr>
          <w:lang w:bidi="ar-EG"/>
        </w:rPr>
      </w:pPr>
      <w:r w:rsidRPr="003B60A3">
        <w:t>2</w:t>
      </w:r>
      <w:r w:rsidRPr="003B60A3">
        <w:tab/>
      </w:r>
      <w:r w:rsidR="005A31CA" w:rsidRPr="003B60A3">
        <w:rPr>
          <w:rFonts w:hint="cs"/>
          <w:rtl/>
          <w:lang w:val="en-GB"/>
        </w:rPr>
        <w:t>التقديم</w:t>
      </w:r>
      <w:r w:rsidR="005A31CA" w:rsidRPr="003B60A3">
        <w:rPr>
          <w:rtl/>
          <w:lang w:val="en-GB"/>
        </w:rPr>
        <w:t xml:space="preserve"> المحلي لمعدات وأجهزة تكنولوجيا المعلومات</w:t>
      </w:r>
    </w:p>
    <w:p w14:paraId="5044A9AC" w14:textId="28656BEF" w:rsidR="005A31CA" w:rsidRPr="005A31CA" w:rsidRDefault="005A31CA" w:rsidP="005A31CA">
      <w:pPr>
        <w:rPr>
          <w:lang w:bidi="ar-EG"/>
        </w:rPr>
      </w:pPr>
      <w:r w:rsidRPr="003B60A3">
        <w:rPr>
          <w:rtl/>
          <w:lang w:val="en-GB"/>
        </w:rPr>
        <w:t>بدلا</w:t>
      </w:r>
      <w:r w:rsidR="00514D8A" w:rsidRPr="003B60A3">
        <w:rPr>
          <w:rFonts w:hint="cs"/>
          <w:rtl/>
          <w:lang w:val="en-GB"/>
        </w:rPr>
        <w:t>ً</w:t>
      </w:r>
      <w:r w:rsidRPr="003B60A3">
        <w:rPr>
          <w:rtl/>
          <w:lang w:val="en-GB"/>
        </w:rPr>
        <w:t xml:space="preserve"> من شحن المعدات المملوكة للاتحاد، </w:t>
      </w:r>
      <w:r w:rsidRPr="003B60A3">
        <w:rPr>
          <w:rFonts w:hint="cs"/>
          <w:rtl/>
          <w:lang w:val="en-GB"/>
        </w:rPr>
        <w:t>يجوز أن</w:t>
      </w:r>
      <w:r w:rsidRPr="003B60A3">
        <w:rPr>
          <w:rtl/>
          <w:lang w:val="en-GB"/>
        </w:rPr>
        <w:t xml:space="preserve"> يؤذ</w:t>
      </w:r>
      <w:r w:rsidRPr="003B60A3">
        <w:rPr>
          <w:rFonts w:hint="cs"/>
          <w:rtl/>
          <w:lang w:val="en-GB"/>
        </w:rPr>
        <w:t>َ</w:t>
      </w:r>
      <w:r w:rsidRPr="003B60A3">
        <w:rPr>
          <w:rtl/>
          <w:lang w:val="en-GB"/>
        </w:rPr>
        <w:t>ن للبلد المستضيف (بإرشادات تقنية من الاتحاد) باستئجار أو</w:t>
      </w:r>
      <w:r w:rsidR="000D6237" w:rsidRPr="003B60A3">
        <w:rPr>
          <w:rFonts w:hint="cs"/>
          <w:rtl/>
          <w:lang w:val="en-GB"/>
        </w:rPr>
        <w:t> </w:t>
      </w:r>
      <w:r w:rsidRPr="003B60A3">
        <w:rPr>
          <w:rFonts w:hint="cs"/>
          <w:rtl/>
          <w:lang w:val="en-GB"/>
        </w:rPr>
        <w:t>تقديم</w:t>
      </w:r>
      <w:r w:rsidRPr="003B60A3">
        <w:rPr>
          <w:rtl/>
          <w:lang w:val="en-GB"/>
        </w:rPr>
        <w:t xml:space="preserve"> معدات تكنولوجيا المعلومات المتاحة محليا</w:t>
      </w:r>
      <w:r w:rsidR="00514D8A" w:rsidRPr="003B60A3">
        <w:rPr>
          <w:rFonts w:hint="cs"/>
          <w:rtl/>
          <w:lang w:val="en-GB"/>
        </w:rPr>
        <w:t>ً</w:t>
      </w:r>
      <w:r w:rsidRPr="003B60A3">
        <w:rPr>
          <w:rtl/>
          <w:lang w:val="en-GB"/>
        </w:rPr>
        <w:t xml:space="preserve">، مثل الحواسيب المحمولة والطابعات وأنظمة التحكم في النفاذ وما إلى ذلك. </w:t>
      </w:r>
      <w:r w:rsidRPr="003B60A3">
        <w:rPr>
          <w:rFonts w:hint="cs"/>
          <w:rtl/>
          <w:lang w:val="en-GB"/>
        </w:rPr>
        <w:t>و</w:t>
      </w:r>
      <w:r w:rsidRPr="003B60A3">
        <w:rPr>
          <w:rtl/>
          <w:lang w:val="en-GB"/>
        </w:rPr>
        <w:t xml:space="preserve">سيؤدي ذلك إلى </w:t>
      </w:r>
      <w:r w:rsidRPr="003B60A3">
        <w:rPr>
          <w:rFonts w:hint="cs"/>
          <w:rtl/>
          <w:lang w:val="en-GB"/>
        </w:rPr>
        <w:t>خفض كبير في</w:t>
      </w:r>
      <w:r w:rsidRPr="003B60A3">
        <w:rPr>
          <w:rtl/>
          <w:lang w:val="en-GB"/>
        </w:rPr>
        <w:t xml:space="preserve"> تكاليف الشحن والرسوم الجمركية والتأخيرات المحتملة، مما يساهم في</w:t>
      </w:r>
      <w:r w:rsidR="003B60A3">
        <w:rPr>
          <w:rFonts w:hint="cs"/>
          <w:rtl/>
          <w:lang w:val="en-GB"/>
        </w:rPr>
        <w:t> </w:t>
      </w:r>
      <w:r w:rsidRPr="003B60A3">
        <w:rPr>
          <w:rtl/>
          <w:lang w:val="en-GB"/>
        </w:rPr>
        <w:t xml:space="preserve">كفاءة التكلفة والوقت. ويجوز للاتحاد، </w:t>
      </w:r>
      <w:r w:rsidRPr="003B60A3">
        <w:rPr>
          <w:rFonts w:hint="cs"/>
          <w:rtl/>
          <w:lang w:val="en-GB"/>
        </w:rPr>
        <w:t>حسب الاقتضاء</w:t>
      </w:r>
      <w:r w:rsidRPr="003B60A3">
        <w:rPr>
          <w:rtl/>
          <w:lang w:val="en-GB"/>
        </w:rPr>
        <w:t xml:space="preserve">، أن يحتفظ بقائمة موصى بها بالمواصفات التقنية للمعدات </w:t>
      </w:r>
      <w:r w:rsidRPr="003B60A3">
        <w:rPr>
          <w:rFonts w:hint="cs"/>
          <w:rtl/>
          <w:lang w:val="en-GB"/>
        </w:rPr>
        <w:t>المعيارية</w:t>
      </w:r>
      <w:r w:rsidRPr="003B60A3">
        <w:rPr>
          <w:rtl/>
          <w:lang w:val="en-GB"/>
        </w:rPr>
        <w:t xml:space="preserve"> المطلوبة في أحداثه. وتشجع المادة 5 من الملحق 2 </w:t>
      </w:r>
      <w:r w:rsidRPr="003B60A3">
        <w:rPr>
          <w:rFonts w:hint="cs"/>
          <w:rtl/>
          <w:lang w:val="en-GB"/>
        </w:rPr>
        <w:t>ب</w:t>
      </w:r>
      <w:r w:rsidRPr="003B60A3">
        <w:rPr>
          <w:rtl/>
          <w:lang w:val="en-GB"/>
        </w:rPr>
        <w:t>المقرر 5 على استخدام الخبراء المحليين والموارد المحلية لتحقيق وفورات في تكاليف السفر والخدمات اللوجستية، لا سيما في تخطيط وتنظيم الأ</w:t>
      </w:r>
      <w:r w:rsidRPr="005A31CA">
        <w:rPr>
          <w:rtl/>
          <w:lang w:val="en-GB"/>
        </w:rPr>
        <w:t xml:space="preserve">حداث خارج جنيف. وبالإضافة إلى ذلك، تعزز المادة 17 معايير </w:t>
      </w:r>
      <w:r w:rsidRPr="005A31CA">
        <w:rPr>
          <w:rFonts w:hint="cs"/>
          <w:rtl/>
          <w:lang w:val="en-GB"/>
        </w:rPr>
        <w:t>خفض</w:t>
      </w:r>
      <w:r w:rsidRPr="005A31CA">
        <w:rPr>
          <w:rtl/>
          <w:lang w:val="en-GB"/>
        </w:rPr>
        <w:t xml:space="preserve"> النفقات المتعلقة بالسفر، وتدعم بشكل غير مباشر </w:t>
      </w:r>
      <w:r w:rsidRPr="005A31CA">
        <w:rPr>
          <w:rFonts w:hint="cs"/>
          <w:rtl/>
          <w:lang w:val="en-GB"/>
        </w:rPr>
        <w:t>تهيئة</w:t>
      </w:r>
      <w:r w:rsidRPr="005A31CA">
        <w:rPr>
          <w:rtl/>
          <w:lang w:val="en-GB"/>
        </w:rPr>
        <w:t xml:space="preserve"> المعدات اللازمة داخل</w:t>
      </w:r>
      <w:r w:rsidR="000D6237">
        <w:rPr>
          <w:rFonts w:hint="cs"/>
          <w:rtl/>
          <w:lang w:val="en-GB"/>
        </w:rPr>
        <w:t> </w:t>
      </w:r>
      <w:r w:rsidRPr="005A31CA">
        <w:rPr>
          <w:rtl/>
          <w:lang w:val="en-GB"/>
        </w:rPr>
        <w:t>البلد.</w:t>
      </w:r>
    </w:p>
    <w:p w14:paraId="752E11C2" w14:textId="636F2A6F" w:rsidR="005A31CA" w:rsidRPr="005A31CA" w:rsidRDefault="00514D8A" w:rsidP="00514D8A">
      <w:pPr>
        <w:pStyle w:val="Heading1"/>
        <w:rPr>
          <w:lang w:bidi="ar-EG"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5A31CA" w:rsidRPr="005A31CA">
        <w:rPr>
          <w:rtl/>
        </w:rPr>
        <w:t>الانتقال إلى شارات المؤتمر الرقمي</w:t>
      </w:r>
      <w:r w:rsidR="005A31CA" w:rsidRPr="005A31CA">
        <w:rPr>
          <w:rFonts w:hint="cs"/>
          <w:rtl/>
        </w:rPr>
        <w:t>ة</w:t>
      </w:r>
    </w:p>
    <w:p w14:paraId="036C3D5C" w14:textId="40456C4C" w:rsidR="005A31CA" w:rsidRPr="005A31CA" w:rsidRDefault="005A31CA" w:rsidP="005A31CA">
      <w:pPr>
        <w:rPr>
          <w:spacing w:val="-2"/>
          <w:lang w:bidi="ar-EG"/>
        </w:rPr>
      </w:pPr>
      <w:r w:rsidRPr="005A31CA">
        <w:rPr>
          <w:spacing w:val="-2"/>
          <w:rtl/>
          <w:lang w:val="en-GB"/>
        </w:rPr>
        <w:t>تشجع المادتان 10 و11 من الملحق 2 بالمقرر 5 (المراج</w:t>
      </w:r>
      <w:r w:rsidR="00514D8A" w:rsidRPr="00514D8A">
        <w:rPr>
          <w:rFonts w:hint="cs"/>
          <w:spacing w:val="-2"/>
          <w:rtl/>
          <w:lang w:val="en-GB"/>
        </w:rPr>
        <w:t>َ</w:t>
      </w:r>
      <w:r w:rsidRPr="005A31CA">
        <w:rPr>
          <w:spacing w:val="-2"/>
          <w:rtl/>
          <w:lang w:val="en-GB"/>
        </w:rPr>
        <w:t xml:space="preserve">ع في بوخارست، 2022) الاتحاد بقوة على عقد "المؤتمرات والاجتماعات من كل الأنواع وعلى كل المستويات بدون استخدام ورق"، والحد من طباعة وتوزيع المواد غير المدرة للدخل، </w:t>
      </w:r>
      <w:r w:rsidRPr="005A31CA">
        <w:rPr>
          <w:rFonts w:hint="cs"/>
          <w:spacing w:val="-2"/>
          <w:rtl/>
          <w:lang w:val="en-GB"/>
        </w:rPr>
        <w:t>و</w:t>
      </w:r>
      <w:r w:rsidRPr="005A31CA">
        <w:rPr>
          <w:spacing w:val="-2"/>
          <w:rtl/>
          <w:lang w:val="en-GB"/>
        </w:rPr>
        <w:t>استخدام المنصات وأساليب الاتصال الرقمية</w:t>
      </w:r>
      <w:r w:rsidRPr="005A31CA">
        <w:rPr>
          <w:rFonts w:hint="cs"/>
          <w:spacing w:val="-2"/>
          <w:rtl/>
          <w:lang w:val="en-GB"/>
        </w:rPr>
        <w:t xml:space="preserve"> إلى أقصى حد</w:t>
      </w:r>
      <w:r w:rsidRPr="005A31CA">
        <w:rPr>
          <w:spacing w:val="-2"/>
          <w:rtl/>
          <w:lang w:val="en-GB"/>
        </w:rPr>
        <w:t>. والانتقال من مواد التعريف المطبوعة (مثل الشارات الورقية أو البلاستيكية) إلى بيانات ا</w:t>
      </w:r>
      <w:r w:rsidRPr="005A31CA">
        <w:rPr>
          <w:rFonts w:hint="cs"/>
          <w:spacing w:val="-2"/>
          <w:rtl/>
          <w:lang w:val="en-GB"/>
        </w:rPr>
        <w:t>لا</w:t>
      </w:r>
      <w:r w:rsidRPr="005A31CA">
        <w:rPr>
          <w:spacing w:val="-2"/>
          <w:rtl/>
          <w:lang w:val="en-GB"/>
        </w:rPr>
        <w:t xml:space="preserve">عتماد الرقمية </w:t>
      </w:r>
      <w:r w:rsidRPr="005A31CA">
        <w:rPr>
          <w:rFonts w:hint="cs"/>
          <w:spacing w:val="-2"/>
          <w:rtl/>
          <w:lang w:val="en-GB"/>
        </w:rPr>
        <w:t xml:space="preserve">في </w:t>
      </w:r>
      <w:r w:rsidRPr="005A31CA">
        <w:rPr>
          <w:spacing w:val="-2"/>
          <w:rtl/>
          <w:lang w:val="en-GB"/>
        </w:rPr>
        <w:t xml:space="preserve">المؤتمرات، مثل </w:t>
      </w:r>
      <w:r w:rsidRPr="005A31CA">
        <w:rPr>
          <w:rFonts w:hint="cs"/>
          <w:spacing w:val="-2"/>
          <w:rtl/>
          <w:lang w:val="en-GB"/>
        </w:rPr>
        <w:t>إشارات الأجهزة</w:t>
      </w:r>
      <w:r w:rsidRPr="005A31CA">
        <w:rPr>
          <w:spacing w:val="-2"/>
          <w:rtl/>
          <w:lang w:val="en-GB"/>
        </w:rPr>
        <w:t xml:space="preserve"> </w:t>
      </w:r>
      <w:r w:rsidRPr="005A31CA">
        <w:rPr>
          <w:rFonts w:hint="cs"/>
          <w:spacing w:val="-2"/>
          <w:rtl/>
          <w:lang w:val="en-GB"/>
        </w:rPr>
        <w:t>المتنقلة</w:t>
      </w:r>
      <w:r w:rsidRPr="005A31CA">
        <w:rPr>
          <w:spacing w:val="-2"/>
          <w:rtl/>
          <w:lang w:val="en-GB"/>
        </w:rPr>
        <w:t xml:space="preserve"> </w:t>
      </w:r>
      <w:r w:rsidRPr="005A31CA">
        <w:rPr>
          <w:rFonts w:hint="cs"/>
          <w:spacing w:val="-2"/>
          <w:rtl/>
          <w:lang w:val="en-GB"/>
        </w:rPr>
        <w:t>المفعَّلة</w:t>
      </w:r>
      <w:r w:rsidRPr="005A31CA">
        <w:rPr>
          <w:spacing w:val="-2"/>
          <w:rtl/>
          <w:lang w:val="en-GB"/>
        </w:rPr>
        <w:t xml:space="preserve"> </w:t>
      </w:r>
      <w:r w:rsidRPr="005A31CA">
        <w:rPr>
          <w:rFonts w:hint="cs"/>
          <w:spacing w:val="-2"/>
          <w:rtl/>
          <w:lang w:val="en-GB"/>
        </w:rPr>
        <w:t>بشفرة</w:t>
      </w:r>
      <w:r w:rsidRPr="005A31CA">
        <w:rPr>
          <w:spacing w:val="-2"/>
          <w:rtl/>
          <w:lang w:val="en-GB"/>
        </w:rPr>
        <w:t xml:space="preserve"> الاستجابة السريعة</w:t>
      </w:r>
      <w:r w:rsidR="000D6237">
        <w:rPr>
          <w:rFonts w:hint="eastAsia"/>
          <w:spacing w:val="-2"/>
          <w:rtl/>
          <w:lang w:val="en-GB"/>
        </w:rPr>
        <w:t> </w:t>
      </w:r>
      <w:r w:rsidRPr="005A31CA">
        <w:rPr>
          <w:rFonts w:hint="cs"/>
          <w:spacing w:val="-2"/>
          <w:rtl/>
          <w:lang w:val="en-GB"/>
        </w:rPr>
        <w:t>(</w:t>
      </w:r>
      <w:r w:rsidRPr="005A31CA">
        <w:rPr>
          <w:spacing w:val="-2"/>
          <w:lang w:val="en-GB" w:bidi="ar-EG"/>
        </w:rPr>
        <w:t>QR</w:t>
      </w:r>
      <w:r w:rsidRPr="005A31CA">
        <w:rPr>
          <w:rFonts w:hint="cs"/>
          <w:spacing w:val="-2"/>
          <w:rtl/>
          <w:lang w:val="en-GB"/>
        </w:rPr>
        <w:t>)</w:t>
      </w:r>
      <w:r w:rsidRPr="005A31CA">
        <w:rPr>
          <w:spacing w:val="-2"/>
          <w:rtl/>
          <w:lang w:val="en-GB"/>
        </w:rPr>
        <w:t xml:space="preserve">، يدعم هذه الأهداف </w:t>
      </w:r>
      <w:r w:rsidRPr="005A31CA">
        <w:rPr>
          <w:rFonts w:hint="cs"/>
          <w:spacing w:val="-2"/>
          <w:rtl/>
          <w:lang w:val="en-GB"/>
        </w:rPr>
        <w:t>بالاستغناء عن</w:t>
      </w:r>
      <w:r w:rsidRPr="005A31CA">
        <w:rPr>
          <w:spacing w:val="-2"/>
          <w:rtl/>
          <w:lang w:val="en-GB"/>
        </w:rPr>
        <w:t xml:space="preserve"> الإنتاج المادي، والحد من الأثر البيئي، وتبسيط الخدمات اللوجستية.</w:t>
      </w:r>
    </w:p>
    <w:p w14:paraId="6A7AABE4" w14:textId="4FA7B9C2" w:rsidR="005A31CA" w:rsidRPr="005A31CA" w:rsidRDefault="005A31CA" w:rsidP="005A31CA">
      <w:pPr>
        <w:rPr>
          <w:lang w:bidi="ar-EG"/>
        </w:rPr>
      </w:pPr>
      <w:r w:rsidRPr="005A31CA">
        <w:rPr>
          <w:rtl/>
          <w:lang w:val="en-GB"/>
        </w:rPr>
        <w:lastRenderedPageBreak/>
        <w:t>ويجري بالفعل تنفيذ هذا الن</w:t>
      </w:r>
      <w:r w:rsidRPr="005A31CA">
        <w:rPr>
          <w:rFonts w:hint="cs"/>
          <w:rtl/>
          <w:lang w:val="en-GB"/>
        </w:rPr>
        <w:t>ُ</w:t>
      </w:r>
      <w:r w:rsidRPr="005A31CA">
        <w:rPr>
          <w:rtl/>
          <w:lang w:val="en-GB"/>
        </w:rPr>
        <w:t xml:space="preserve">هج </w:t>
      </w:r>
      <w:r w:rsidRPr="005A31CA">
        <w:rPr>
          <w:rFonts w:hint="cs"/>
          <w:rtl/>
          <w:lang w:val="en-GB"/>
        </w:rPr>
        <w:t>في</w:t>
      </w:r>
      <w:r w:rsidRPr="005A31CA">
        <w:rPr>
          <w:rtl/>
          <w:lang w:val="en-GB"/>
        </w:rPr>
        <w:t xml:space="preserve"> وكالات أخرى </w:t>
      </w:r>
      <w:r w:rsidRPr="005A31CA">
        <w:rPr>
          <w:rFonts w:hint="cs"/>
          <w:rtl/>
          <w:lang w:val="en-GB"/>
        </w:rPr>
        <w:t>ل</w:t>
      </w:r>
      <w:r w:rsidRPr="005A31CA">
        <w:rPr>
          <w:rtl/>
          <w:lang w:val="en-GB"/>
        </w:rPr>
        <w:t>لأمم المتحدة، بما في ذلك</w:t>
      </w:r>
      <w:r w:rsidRPr="005A31CA">
        <w:rPr>
          <w:rFonts w:hint="cs"/>
          <w:rtl/>
          <w:lang w:val="en-GB"/>
        </w:rPr>
        <w:t xml:space="preserve"> </w:t>
      </w:r>
      <w:r w:rsidRPr="005A31CA">
        <w:rPr>
          <w:rtl/>
          <w:lang w:val="en-GB"/>
        </w:rPr>
        <w:t xml:space="preserve">مكتب الأمم المتحدة في جنيف (UNOG) </w:t>
      </w:r>
      <w:r w:rsidRPr="005A31CA">
        <w:rPr>
          <w:rFonts w:hint="cs"/>
          <w:rtl/>
          <w:lang w:val="en-GB"/>
        </w:rPr>
        <w:t xml:space="preserve">ومجمَّع </w:t>
      </w:r>
      <w:r w:rsidRPr="005A31CA">
        <w:rPr>
          <w:rtl/>
          <w:lang w:val="en-GB"/>
        </w:rPr>
        <w:t xml:space="preserve">اتفاقية الأمم المتحدة الإطارية بشأن تغير المناخ (UNFCCC)، وكلاهما اعتمد أنظمة الشارات الرقمية للأحداث رفيعة المستوى. </w:t>
      </w:r>
      <w:r w:rsidRPr="005A31CA">
        <w:rPr>
          <w:rFonts w:hint="cs"/>
          <w:rtl/>
          <w:lang w:val="en-GB"/>
        </w:rPr>
        <w:t>وتتيح</w:t>
      </w:r>
      <w:r w:rsidRPr="005A31CA">
        <w:rPr>
          <w:rtl/>
          <w:lang w:val="en-GB"/>
        </w:rPr>
        <w:t xml:space="preserve"> هذه الأنظمة </w:t>
      </w:r>
      <w:r w:rsidRPr="005A31CA">
        <w:rPr>
          <w:rFonts w:hint="cs"/>
          <w:rtl/>
          <w:lang w:val="en-GB"/>
        </w:rPr>
        <w:t>نفاذاً</w:t>
      </w:r>
      <w:r w:rsidRPr="005A31CA">
        <w:rPr>
          <w:rtl/>
          <w:lang w:val="en-GB"/>
        </w:rPr>
        <w:t xml:space="preserve"> آمنا</w:t>
      </w:r>
      <w:r w:rsidRPr="005A31C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وتحققا</w:t>
      </w:r>
      <w:r w:rsidRPr="005A31C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</w:t>
      </w:r>
      <w:r w:rsidRPr="005A31CA">
        <w:rPr>
          <w:rFonts w:hint="cs"/>
          <w:rtl/>
          <w:lang w:val="en-GB"/>
        </w:rPr>
        <w:t>آنياً</w:t>
      </w:r>
      <w:r w:rsidRPr="005A31CA">
        <w:rPr>
          <w:rtl/>
          <w:lang w:val="en-GB"/>
        </w:rPr>
        <w:t xml:space="preserve"> </w:t>
      </w:r>
      <w:r w:rsidRPr="005A31CA">
        <w:rPr>
          <w:rFonts w:hint="cs"/>
          <w:rtl/>
          <w:lang w:val="en-GB"/>
        </w:rPr>
        <w:t>وتخفيضات</w:t>
      </w:r>
      <w:r w:rsidRPr="005A31CA">
        <w:rPr>
          <w:rtl/>
          <w:lang w:val="en-GB"/>
        </w:rPr>
        <w:t xml:space="preserve"> في التكاليف دون المساس بضمان الهوية أو تجربة المشاركين. وباتباع هذه الممارسة الفضلى، يمكن للاتحاد والبلدان المستضيفة تعزيز الاستدامة وخفض التكاليف الإدارية والمادية لإنتاج الشارات وتوزيعها وإعادة طباعتها.</w:t>
      </w:r>
    </w:p>
    <w:p w14:paraId="7F212FE0" w14:textId="77777777" w:rsidR="005A31CA" w:rsidRPr="005A31CA" w:rsidRDefault="005A31CA" w:rsidP="00514D8A">
      <w:pPr>
        <w:pStyle w:val="Headingb"/>
        <w:rPr>
          <w:lang w:bidi="ar-EG"/>
        </w:rPr>
      </w:pPr>
      <w:r w:rsidRPr="005A31CA">
        <w:rPr>
          <w:rFonts w:hint="cs"/>
          <w:rtl/>
        </w:rPr>
        <w:t>خلاصة</w:t>
      </w:r>
    </w:p>
    <w:p w14:paraId="3736B3B7" w14:textId="476EEC2A" w:rsidR="005A31CA" w:rsidRPr="005A31CA" w:rsidRDefault="005A31CA" w:rsidP="005A31CA">
      <w:pPr>
        <w:rPr>
          <w:lang w:bidi="ar-EG"/>
        </w:rPr>
      </w:pPr>
      <w:r w:rsidRPr="005A31CA">
        <w:rPr>
          <w:rtl/>
          <w:lang w:val="en-GB"/>
        </w:rPr>
        <w:t xml:space="preserve">من خلال تنفيذ هذه التدابير العملية </w:t>
      </w:r>
      <w:r w:rsidRPr="005A31CA">
        <w:rPr>
          <w:rFonts w:hint="cs"/>
          <w:rtl/>
          <w:lang w:val="en-GB"/>
        </w:rPr>
        <w:t>ذات</w:t>
      </w:r>
      <w:r w:rsidRPr="005A31CA">
        <w:rPr>
          <w:rtl/>
          <w:lang w:val="en-GB"/>
        </w:rPr>
        <w:t xml:space="preserve"> التكلفة</w:t>
      </w:r>
      <w:r w:rsidRPr="005A31CA">
        <w:rPr>
          <w:rFonts w:hint="cs"/>
          <w:rtl/>
          <w:lang w:val="en-GB"/>
        </w:rPr>
        <w:t xml:space="preserve"> المجزية</w:t>
      </w:r>
      <w:r w:rsidRPr="005A31CA">
        <w:rPr>
          <w:rtl/>
          <w:lang w:val="en-GB"/>
        </w:rPr>
        <w:t xml:space="preserve">، يمكن للاتحاد والدول الأعضاء فيه أن </w:t>
      </w:r>
      <w:r w:rsidRPr="005A31CA">
        <w:rPr>
          <w:rFonts w:hint="cs"/>
          <w:rtl/>
          <w:lang w:val="en-GB"/>
        </w:rPr>
        <w:t>تدعم</w:t>
      </w:r>
      <w:r w:rsidRPr="005A31CA">
        <w:rPr>
          <w:rtl/>
          <w:lang w:val="en-GB"/>
        </w:rPr>
        <w:t xml:space="preserve"> معا</w:t>
      </w:r>
      <w:r w:rsidRPr="005A31CA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الهدف الأوسع المتمثل في زيادة المشاركة الإقليمية في أنشطة الاتحاد </w:t>
      </w:r>
      <w:r w:rsidRPr="005A31CA">
        <w:rPr>
          <w:rFonts w:hint="cs"/>
          <w:rtl/>
          <w:lang w:val="en-GB"/>
        </w:rPr>
        <w:t>على نحو يتسق</w:t>
      </w:r>
      <w:r w:rsidRPr="005A31CA">
        <w:rPr>
          <w:rtl/>
          <w:lang w:val="en-GB"/>
        </w:rPr>
        <w:t xml:space="preserve"> مع أهدافه الاستراتيجية والمالية. وستسهم هذه الخطوات أيضا</w:t>
      </w:r>
      <w:r w:rsidR="003B60A3">
        <w:rPr>
          <w:rFonts w:hint="cs"/>
          <w:rtl/>
          <w:lang w:val="en-GB"/>
        </w:rPr>
        <w:t>ً</w:t>
      </w:r>
      <w:r w:rsidRPr="005A31CA">
        <w:rPr>
          <w:rtl/>
          <w:lang w:val="en-GB"/>
        </w:rPr>
        <w:t xml:space="preserve"> في التزام الاتحاد بالاستدامة </w:t>
      </w:r>
      <w:r w:rsidRPr="005A31CA">
        <w:rPr>
          <w:rFonts w:hint="cs"/>
          <w:rtl/>
          <w:lang w:val="en-GB"/>
        </w:rPr>
        <w:t>وال</w:t>
      </w:r>
      <w:r w:rsidRPr="005A31CA">
        <w:rPr>
          <w:rtl/>
          <w:lang w:val="en-GB"/>
        </w:rPr>
        <w:t xml:space="preserve">تحول </w:t>
      </w:r>
      <w:r w:rsidRPr="005A31CA">
        <w:rPr>
          <w:rFonts w:hint="cs"/>
          <w:rtl/>
          <w:lang w:val="en-GB"/>
        </w:rPr>
        <w:t>ال</w:t>
      </w:r>
      <w:r w:rsidRPr="005A31CA">
        <w:rPr>
          <w:rtl/>
          <w:lang w:val="en-GB"/>
        </w:rPr>
        <w:t>رقمي والتعاون الدولي الشامل</w:t>
      </w:r>
      <w:r w:rsidRPr="005A31CA">
        <w:rPr>
          <w:rFonts w:hint="cs"/>
          <w:rtl/>
          <w:lang w:val="en-GB"/>
        </w:rPr>
        <w:t xml:space="preserve"> للجميع</w:t>
      </w:r>
      <w:r w:rsidRPr="005A31CA">
        <w:rPr>
          <w:rtl/>
          <w:lang w:val="en-GB"/>
        </w:rPr>
        <w:t>.</w:t>
      </w:r>
    </w:p>
    <w:p w14:paraId="4D44F581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A67F" w14:textId="77777777" w:rsidR="005A31CA" w:rsidRDefault="005A31CA" w:rsidP="006C3242">
      <w:pPr>
        <w:spacing w:before="0" w:line="240" w:lineRule="auto"/>
      </w:pPr>
      <w:r>
        <w:separator/>
      </w:r>
    </w:p>
  </w:endnote>
  <w:endnote w:type="continuationSeparator" w:id="0">
    <w:p w14:paraId="5CB7B5AC" w14:textId="77777777" w:rsidR="005A31CA" w:rsidRDefault="005A31C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288075FB" w14:textId="77777777" w:rsidTr="00A67F05">
      <w:trPr>
        <w:jc w:val="center"/>
      </w:trPr>
      <w:tc>
        <w:tcPr>
          <w:tcW w:w="868" w:type="pct"/>
          <w:vAlign w:val="center"/>
        </w:tcPr>
        <w:p w14:paraId="2CA5747B" w14:textId="1F072B0C" w:rsidR="00F50E3F" w:rsidRPr="00DF0DCA" w:rsidRDefault="00DF0DCA" w:rsidP="00DF0DCA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DF0DCA">
            <w:rPr>
              <w:rFonts w:ascii="Calibri" w:hAnsi="Calibri" w:cs="Arial"/>
              <w:sz w:val="18"/>
              <w:szCs w:val="14"/>
              <w:lang w:val="en-US"/>
            </w:rPr>
            <w:t>2501371</w:t>
          </w:r>
        </w:p>
      </w:tc>
      <w:tc>
        <w:tcPr>
          <w:tcW w:w="3912" w:type="pct"/>
        </w:tcPr>
        <w:p w14:paraId="6272554B" w14:textId="140AB51A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14D8A">
            <w:rPr>
              <w:rFonts w:ascii="Calibri" w:hAnsi="Calibri" w:cs="Arial"/>
              <w:bCs/>
              <w:color w:val="7F7F7F"/>
              <w:sz w:val="18"/>
            </w:rPr>
            <w:t>95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73F0A71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3AEB5C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1BF737E5" w14:textId="77777777" w:rsidTr="00A67F05">
      <w:trPr>
        <w:jc w:val="center"/>
      </w:trPr>
      <w:tc>
        <w:tcPr>
          <w:tcW w:w="1013" w:type="pct"/>
          <w:vAlign w:val="center"/>
        </w:tcPr>
        <w:p w14:paraId="10D5083D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57A9CF5F" w14:textId="2B23A6C9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A31CA">
            <w:rPr>
              <w:rFonts w:ascii="Calibri" w:hAnsi="Calibri" w:cs="Arial"/>
              <w:bCs/>
              <w:color w:val="7F7F7F"/>
              <w:sz w:val="18"/>
            </w:rPr>
            <w:t>95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88546BB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6281C5D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B6A3" w14:textId="77777777" w:rsidR="005A31CA" w:rsidRDefault="005A31CA" w:rsidP="006C3242">
      <w:pPr>
        <w:spacing w:before="0" w:line="240" w:lineRule="auto"/>
      </w:pPr>
      <w:r>
        <w:separator/>
      </w:r>
    </w:p>
  </w:footnote>
  <w:footnote w:type="continuationSeparator" w:id="0">
    <w:p w14:paraId="71E24396" w14:textId="77777777" w:rsidR="005A31CA" w:rsidRDefault="005A31C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D011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2AF8C" wp14:editId="5AA55663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C3EAA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13F00D94" wp14:editId="7B4592AC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A"/>
    <w:rsid w:val="00004B0F"/>
    <w:rsid w:val="0006468A"/>
    <w:rsid w:val="00077A58"/>
    <w:rsid w:val="00090574"/>
    <w:rsid w:val="000C1C0E"/>
    <w:rsid w:val="000C548A"/>
    <w:rsid w:val="000D6237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0386"/>
    <w:rsid w:val="00254393"/>
    <w:rsid w:val="0026373E"/>
    <w:rsid w:val="00271C43"/>
    <w:rsid w:val="00290728"/>
    <w:rsid w:val="002978F4"/>
    <w:rsid w:val="002B028D"/>
    <w:rsid w:val="002C3F32"/>
    <w:rsid w:val="002E6541"/>
    <w:rsid w:val="00334924"/>
    <w:rsid w:val="003409BC"/>
    <w:rsid w:val="00357185"/>
    <w:rsid w:val="00383829"/>
    <w:rsid w:val="003B60A3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94119"/>
    <w:rsid w:val="004A4701"/>
    <w:rsid w:val="004B7334"/>
    <w:rsid w:val="004C493F"/>
    <w:rsid w:val="004E11DC"/>
    <w:rsid w:val="005130DE"/>
    <w:rsid w:val="00513157"/>
    <w:rsid w:val="00514D8A"/>
    <w:rsid w:val="00525DDD"/>
    <w:rsid w:val="005409AC"/>
    <w:rsid w:val="005434E0"/>
    <w:rsid w:val="005546CF"/>
    <w:rsid w:val="0055516A"/>
    <w:rsid w:val="0058491B"/>
    <w:rsid w:val="00592EA5"/>
    <w:rsid w:val="005A3170"/>
    <w:rsid w:val="005A31CA"/>
    <w:rsid w:val="00657019"/>
    <w:rsid w:val="00660DEA"/>
    <w:rsid w:val="00677396"/>
    <w:rsid w:val="00683F16"/>
    <w:rsid w:val="0069200F"/>
    <w:rsid w:val="006A65CB"/>
    <w:rsid w:val="006B12E5"/>
    <w:rsid w:val="006B4D79"/>
    <w:rsid w:val="006C3242"/>
    <w:rsid w:val="006C7CC0"/>
    <w:rsid w:val="006E4D28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0E86"/>
    <w:rsid w:val="008513CB"/>
    <w:rsid w:val="00874E9F"/>
    <w:rsid w:val="008A7D3A"/>
    <w:rsid w:val="008A7F84"/>
    <w:rsid w:val="0091702E"/>
    <w:rsid w:val="00923B0C"/>
    <w:rsid w:val="00923F5C"/>
    <w:rsid w:val="00924F46"/>
    <w:rsid w:val="00935AAC"/>
    <w:rsid w:val="0094021C"/>
    <w:rsid w:val="00952F86"/>
    <w:rsid w:val="00982B28"/>
    <w:rsid w:val="009D313F"/>
    <w:rsid w:val="00A47A5A"/>
    <w:rsid w:val="00A63AE6"/>
    <w:rsid w:val="00A66472"/>
    <w:rsid w:val="00A6683B"/>
    <w:rsid w:val="00A67F05"/>
    <w:rsid w:val="00A97F94"/>
    <w:rsid w:val="00AA7EA2"/>
    <w:rsid w:val="00AB5A56"/>
    <w:rsid w:val="00B03099"/>
    <w:rsid w:val="00B05BC8"/>
    <w:rsid w:val="00B25FA4"/>
    <w:rsid w:val="00B30F5E"/>
    <w:rsid w:val="00B42036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80F65"/>
    <w:rsid w:val="00C87F4A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2730A"/>
    <w:rsid w:val="00D43F7D"/>
    <w:rsid w:val="00D63735"/>
    <w:rsid w:val="00D77D0F"/>
    <w:rsid w:val="00DA1CF0"/>
    <w:rsid w:val="00DC1E02"/>
    <w:rsid w:val="00DC24B4"/>
    <w:rsid w:val="00DC5FB0"/>
    <w:rsid w:val="00DF0DCA"/>
    <w:rsid w:val="00DF16DC"/>
    <w:rsid w:val="00E45211"/>
    <w:rsid w:val="00E473C5"/>
    <w:rsid w:val="00E61BE8"/>
    <w:rsid w:val="00E83FF1"/>
    <w:rsid w:val="00E92863"/>
    <w:rsid w:val="00E979B2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B6FF8"/>
    <w:rsid w:val="00FC0E94"/>
    <w:rsid w:val="00FC4592"/>
    <w:rsid w:val="00FC5419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A6AC"/>
  <w15:chartTrackingRefBased/>
  <w15:docId w15:val="{DB891DE6-9D62-4C4E-8957-417590B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077A58"/>
    <w:rPr>
      <w:rFonts w:ascii="Calibri" w:hAnsi="Calibri" w:cs="Arial"/>
      <w:noProof/>
      <w:color w:val="5B9BD5"/>
      <w:sz w:val="18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F4A"/>
    <w:rPr>
      <w:color w:val="954F72" w:themeColor="followedHyperlink"/>
      <w:u w:val="single"/>
    </w:rPr>
  </w:style>
  <w:style w:type="paragraph" w:customStyle="1" w:styleId="Headingb0">
    <w:name w:val="Heading b"/>
    <w:basedOn w:val="Normal"/>
    <w:rsid w:val="00C87F4A"/>
    <w:rPr>
      <w:b/>
      <w:bCs/>
      <w:lang w:val="en-GB"/>
    </w:rPr>
  </w:style>
  <w:style w:type="paragraph" w:customStyle="1" w:styleId="a">
    <w:name w:val="أثشيهىل لا"/>
    <w:basedOn w:val="Normal"/>
    <w:rsid w:val="00514D8A"/>
    <w:rPr>
      <w:lang w:val="en-GB"/>
    </w:rPr>
  </w:style>
  <w:style w:type="paragraph" w:customStyle="1" w:styleId="1">
    <w:name w:val="أثشيهىل 1"/>
    <w:basedOn w:val="Normal"/>
    <w:rsid w:val="00514D8A"/>
    <w:rPr>
      <w:lang w:val="en-GB"/>
    </w:rPr>
  </w:style>
  <w:style w:type="paragraph" w:styleId="Revision">
    <w:name w:val="Revision"/>
    <w:hidden/>
    <w:uiPriority w:val="99"/>
    <w:semiHidden/>
    <w:rsid w:val="00A6647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66-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DEC-005-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67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Multicountry contribution - Reducing financial burdens on host countries of ITU conferences, meetings and activities</dc:title>
  <dc:subject>Council 2025</dc:subject>
  <dc:creator>Elkenany, Hagar</dc:creator>
  <cp:keywords>C2025, C25, Council-25</cp:keywords>
  <dc:description/>
  <cp:lastModifiedBy>GBS</cp:lastModifiedBy>
  <cp:revision>2</cp:revision>
  <dcterms:created xsi:type="dcterms:W3CDTF">2025-06-17T16:23:00Z</dcterms:created>
  <dcterms:modified xsi:type="dcterms:W3CDTF">2025-06-17T16:23:00Z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