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0458D" w14:paraId="3E1C2769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147B863" w14:textId="31AEA5A5" w:rsidR="00AD3606" w:rsidRPr="00C0458D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  <w:r w:rsidRPr="00C0458D">
              <w:rPr>
                <w:b/>
              </w:rPr>
              <w:t xml:space="preserve">Agenda item: </w:t>
            </w:r>
            <w:r w:rsidR="00A17AA4">
              <w:rPr>
                <w:b/>
              </w:rPr>
              <w:t>ADM 1</w:t>
            </w:r>
          </w:p>
        </w:tc>
        <w:tc>
          <w:tcPr>
            <w:tcW w:w="5245" w:type="dxa"/>
          </w:tcPr>
          <w:p w14:paraId="6779937E" w14:textId="535D6EB7" w:rsidR="00AD3606" w:rsidRPr="00C0458D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Document C2</w:t>
            </w:r>
            <w:r w:rsidR="00BF1FDE" w:rsidRPr="00C0458D">
              <w:rPr>
                <w:b/>
              </w:rPr>
              <w:t>5</w:t>
            </w:r>
            <w:r w:rsidRPr="00C0458D">
              <w:rPr>
                <w:b/>
              </w:rPr>
              <w:t>/</w:t>
            </w:r>
            <w:r w:rsidR="0039593C">
              <w:rPr>
                <w:b/>
              </w:rPr>
              <w:t>94</w:t>
            </w:r>
            <w:r w:rsidRPr="00C0458D">
              <w:rPr>
                <w:b/>
              </w:rPr>
              <w:t>-E</w:t>
            </w:r>
          </w:p>
        </w:tc>
      </w:tr>
      <w:tr w:rsidR="00AD3606" w:rsidRPr="00C0458D" w14:paraId="3E3F9DA5" w14:textId="77777777" w:rsidTr="00AD3606">
        <w:trPr>
          <w:cantSplit/>
        </w:trPr>
        <w:tc>
          <w:tcPr>
            <w:tcW w:w="3969" w:type="dxa"/>
            <w:vMerge/>
          </w:tcPr>
          <w:p w14:paraId="5920AA6E" w14:textId="77777777" w:rsidR="00AD3606" w:rsidRPr="00C0458D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5371C25" w14:textId="06530829" w:rsidR="00AD3606" w:rsidRPr="00C0458D" w:rsidRDefault="00F15BEE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F15BEE">
              <w:rPr>
                <w:b/>
              </w:rPr>
              <w:t>3</w:t>
            </w:r>
            <w:r w:rsidR="002A004D" w:rsidRPr="00F15BEE">
              <w:rPr>
                <w:b/>
              </w:rPr>
              <w:t xml:space="preserve"> June 2025</w:t>
            </w:r>
          </w:p>
        </w:tc>
      </w:tr>
      <w:tr w:rsidR="00AD3606" w:rsidRPr="00C0458D" w14:paraId="75730376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298F937E" w14:textId="77777777" w:rsidR="00AD3606" w:rsidRPr="00C0458D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041A065E" w14:textId="77777777" w:rsidR="00AD3606" w:rsidRPr="00C0458D" w:rsidRDefault="00AD3606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Original: English</w:t>
            </w:r>
          </w:p>
        </w:tc>
      </w:tr>
      <w:tr w:rsidR="00472BAD" w:rsidRPr="00C0458D" w14:paraId="14DA91C4" w14:textId="77777777" w:rsidTr="00AD3606">
        <w:trPr>
          <w:cantSplit/>
          <w:trHeight w:val="23"/>
        </w:trPr>
        <w:tc>
          <w:tcPr>
            <w:tcW w:w="3969" w:type="dxa"/>
          </w:tcPr>
          <w:p w14:paraId="5858B25D" w14:textId="77777777" w:rsidR="00472BAD" w:rsidRPr="00C0458D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DBF7439" w14:textId="77777777" w:rsidR="00472BAD" w:rsidRPr="00C0458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C0458D" w14:paraId="2481FF59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016C4A0" w14:textId="3EBD8D45" w:rsidR="00AD3606" w:rsidRPr="000F7289" w:rsidRDefault="00945CC6" w:rsidP="00945CC6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945CC6">
              <w:t xml:space="preserve">Contribution by </w:t>
            </w:r>
            <w:r w:rsidR="00C5565C">
              <w:t xml:space="preserve">Germany </w:t>
            </w:r>
            <w:r w:rsidR="00C5565C" w:rsidRPr="00C5565C">
              <w:t>(Federal Republic of)</w:t>
            </w:r>
            <w:r w:rsidR="00C5565C">
              <w:t xml:space="preserve">, </w:t>
            </w:r>
            <w:r w:rsidR="002E026C">
              <w:t>Austria</w:t>
            </w:r>
            <w:r w:rsidR="00FE2A17">
              <w:t xml:space="preserve">, </w:t>
            </w:r>
            <w:r w:rsidR="00611729">
              <w:t>Belgium, Bulgaria</w:t>
            </w:r>
            <w:r w:rsidR="0039593C">
              <w:t xml:space="preserve"> </w:t>
            </w:r>
            <w:r w:rsidR="0039593C" w:rsidRPr="0039593C">
              <w:t>(Republic of)</w:t>
            </w:r>
            <w:r w:rsidR="00611729">
              <w:t xml:space="preserve">, </w:t>
            </w:r>
            <w:r w:rsidR="00E17E22">
              <w:t>Canada</w:t>
            </w:r>
            <w:r w:rsidR="00C3334F">
              <w:t xml:space="preserve">, </w:t>
            </w:r>
            <w:r w:rsidR="009E42FD">
              <w:t>Cyprus</w:t>
            </w:r>
            <w:r w:rsidR="0039593C">
              <w:t xml:space="preserve"> </w:t>
            </w:r>
            <w:r w:rsidR="0039593C" w:rsidRPr="0039593C">
              <w:t>(Republic of)</w:t>
            </w:r>
            <w:r w:rsidR="009E42FD">
              <w:t xml:space="preserve">, </w:t>
            </w:r>
            <w:r w:rsidR="0039593C">
              <w:t xml:space="preserve">Croatia </w:t>
            </w:r>
            <w:r w:rsidR="0039593C" w:rsidRPr="0039593C">
              <w:t>(Republic of)</w:t>
            </w:r>
            <w:r w:rsidR="0039593C">
              <w:t>, Denmark, Spain,</w:t>
            </w:r>
            <w:r w:rsidR="00407953">
              <w:t xml:space="preserve"> </w:t>
            </w:r>
            <w:r w:rsidR="0039593C">
              <w:t xml:space="preserve">Estonia, </w:t>
            </w:r>
            <w:r w:rsidR="009E42FD">
              <w:t xml:space="preserve">Finland, France, </w:t>
            </w:r>
            <w:r w:rsidR="00292BD8">
              <w:t>Greece,</w:t>
            </w:r>
            <w:r w:rsidR="00DA4E43">
              <w:t xml:space="preserve"> Ireland,</w:t>
            </w:r>
            <w:r w:rsidR="00292BD8">
              <w:t xml:space="preserve"> </w:t>
            </w:r>
            <w:r w:rsidR="009E42FD">
              <w:t xml:space="preserve">Italy, </w:t>
            </w:r>
            <w:r w:rsidR="00DB3C55" w:rsidRPr="00DB3C55">
              <w:t>Latvia</w:t>
            </w:r>
            <w:r w:rsidR="0039593C">
              <w:t xml:space="preserve"> </w:t>
            </w:r>
            <w:r w:rsidR="0039593C" w:rsidRPr="0039593C">
              <w:t>(Republic of)</w:t>
            </w:r>
            <w:r w:rsidR="00DB3C55">
              <w:t xml:space="preserve">, </w:t>
            </w:r>
            <w:r w:rsidR="009E42FD">
              <w:t>Lithuania</w:t>
            </w:r>
            <w:r w:rsidR="0039593C">
              <w:t xml:space="preserve"> </w:t>
            </w:r>
            <w:r w:rsidR="0039593C" w:rsidRPr="0039593C">
              <w:t>(Republic of)</w:t>
            </w:r>
            <w:r w:rsidR="009E42FD" w:rsidRPr="00DB3C55">
              <w:t>,</w:t>
            </w:r>
            <w:r w:rsidR="009E42FD">
              <w:t xml:space="preserve"> Luxembourg, Malta, </w:t>
            </w:r>
            <w:r w:rsidR="001B6343" w:rsidRPr="00611729">
              <w:t>Netherlands</w:t>
            </w:r>
            <w:r w:rsidR="001B6343">
              <w:t xml:space="preserve"> (Kingdom of the), </w:t>
            </w:r>
            <w:r w:rsidR="007673E2">
              <w:t>Poland</w:t>
            </w:r>
            <w:r w:rsidR="0039593C">
              <w:t xml:space="preserve"> </w:t>
            </w:r>
            <w:r w:rsidR="0039593C" w:rsidRPr="0039593C">
              <w:t>(Republic of)</w:t>
            </w:r>
            <w:r w:rsidR="007542B8">
              <w:t>,</w:t>
            </w:r>
            <w:r w:rsidR="00611729">
              <w:t xml:space="preserve"> Portugal,</w:t>
            </w:r>
            <w:r w:rsidR="009E42FD">
              <w:t xml:space="preserve"> </w:t>
            </w:r>
            <w:r w:rsidR="0039593C">
              <w:t>Romania,</w:t>
            </w:r>
            <w:r w:rsidR="00407953">
              <w:t xml:space="preserve"> </w:t>
            </w:r>
            <w:r w:rsidR="0039593C" w:rsidRPr="00DB3C55">
              <w:t>United Kingdom</w:t>
            </w:r>
            <w:r w:rsidR="0039593C">
              <w:t xml:space="preserve"> </w:t>
            </w:r>
            <w:r w:rsidR="0039593C" w:rsidRPr="0039593C">
              <w:t>of Great Britain and Northern Ireland</w:t>
            </w:r>
            <w:r w:rsidR="0039593C">
              <w:t>,</w:t>
            </w:r>
            <w:r w:rsidR="00407953">
              <w:t xml:space="preserve"> </w:t>
            </w:r>
            <w:r w:rsidR="0039593C">
              <w:t xml:space="preserve">Slovak Republic, Czech Republic, </w:t>
            </w:r>
            <w:r w:rsidR="00DB3C55">
              <w:t>Slovenia</w:t>
            </w:r>
            <w:r w:rsidR="0039593C">
              <w:t xml:space="preserve"> </w:t>
            </w:r>
            <w:r w:rsidR="0039593C" w:rsidRPr="0039593C">
              <w:t>(Republic of)</w:t>
            </w:r>
            <w:r w:rsidR="00DB3C55">
              <w:t xml:space="preserve">, </w:t>
            </w:r>
            <w:r w:rsidR="00611729">
              <w:t>Switzerland</w:t>
            </w:r>
            <w:r w:rsidR="0039593C">
              <w:t xml:space="preserve"> </w:t>
            </w:r>
            <w:r w:rsidR="0039593C" w:rsidRPr="0039593C">
              <w:t>(Confederation of)</w:t>
            </w:r>
            <w:r w:rsidR="00611729">
              <w:t>,</w:t>
            </w:r>
            <w:r w:rsidR="00407953">
              <w:t xml:space="preserve"> </w:t>
            </w:r>
            <w:r w:rsidR="0039593C">
              <w:t xml:space="preserve">Sweden, </w:t>
            </w:r>
            <w:r w:rsidR="007D4A24">
              <w:t xml:space="preserve">and </w:t>
            </w:r>
            <w:r w:rsidR="009C3BF1">
              <w:t xml:space="preserve">Ukraine </w:t>
            </w:r>
          </w:p>
        </w:tc>
      </w:tr>
      <w:tr w:rsidR="00AD3606" w:rsidRPr="00C0458D" w14:paraId="3A759762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A2DCF47" w14:textId="6D77456D" w:rsidR="00AD3606" w:rsidRPr="000F7289" w:rsidRDefault="00F15BEE" w:rsidP="000F7289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 w:rsidRPr="007E66C3">
              <w:t>Review of ITU regional presence</w:t>
            </w:r>
          </w:p>
        </w:tc>
      </w:tr>
      <w:tr w:rsidR="00AD3606" w:rsidRPr="00CD1E1E" w14:paraId="72B25568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C3D541B" w14:textId="602F71CA" w:rsidR="00AD3606" w:rsidRPr="00C0458D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Purpose</w:t>
            </w:r>
          </w:p>
          <w:p w14:paraId="67D070EA" w14:textId="46A63CC3" w:rsidR="00AD3606" w:rsidRPr="00C0458D" w:rsidRDefault="0062204E" w:rsidP="00CE1016">
            <w:pPr>
              <w:jc w:val="both"/>
            </w:pPr>
            <w:r>
              <w:t xml:space="preserve">This contribution has been prepared to </w:t>
            </w:r>
            <w:r w:rsidR="003A6C08">
              <w:t xml:space="preserve">present the views </w:t>
            </w:r>
            <w:r w:rsidR="008449AA">
              <w:t xml:space="preserve">of the undersigned </w:t>
            </w:r>
            <w:r w:rsidR="00F13CE5">
              <w:t xml:space="preserve">Member States </w:t>
            </w:r>
            <w:r w:rsidR="003A6C08">
              <w:t xml:space="preserve">on the </w:t>
            </w:r>
            <w:r w:rsidR="00686ABE">
              <w:t>recommendation</w:t>
            </w:r>
            <w:r w:rsidR="00E7521D">
              <w:t>s</w:t>
            </w:r>
            <w:r w:rsidR="00686ABE">
              <w:t xml:space="preserve"> in the </w:t>
            </w:r>
            <w:r w:rsidR="00F13CE5">
              <w:t xml:space="preserve">Inception Report </w:t>
            </w:r>
            <w:r w:rsidR="00C96179">
              <w:t xml:space="preserve">on the </w:t>
            </w:r>
            <w:r w:rsidR="00665562">
              <w:t xml:space="preserve">Review of ITU Regional Presence </w:t>
            </w:r>
            <w:r w:rsidR="003A6C08">
              <w:t xml:space="preserve">and further steps </w:t>
            </w:r>
            <w:r w:rsidR="00606647">
              <w:t>of the review</w:t>
            </w:r>
            <w:r w:rsidR="00DD0D14">
              <w:t>.</w:t>
            </w:r>
            <w:r w:rsidR="00407953">
              <w:t xml:space="preserve"> </w:t>
            </w:r>
          </w:p>
          <w:p w14:paraId="4288AA6F" w14:textId="77777777" w:rsidR="00AD3606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Action required</w:t>
            </w:r>
            <w:r w:rsidR="00F16BAB" w:rsidRPr="00C0458D">
              <w:rPr>
                <w:b/>
                <w:bCs/>
                <w:sz w:val="26"/>
                <w:szCs w:val="26"/>
              </w:rPr>
              <w:t xml:space="preserve"> by the Council</w:t>
            </w:r>
          </w:p>
          <w:p w14:paraId="731F0870" w14:textId="39993C2F" w:rsidR="00453079" w:rsidRPr="00453079" w:rsidRDefault="00D3234A" w:rsidP="00F16BAB">
            <w:pPr>
              <w:spacing w:before="160"/>
              <w:rPr>
                <w:szCs w:val="24"/>
              </w:rPr>
            </w:pPr>
            <w:r>
              <w:t xml:space="preserve">The Council is invited </w:t>
            </w:r>
            <w:r w:rsidRPr="007F69B3">
              <w:rPr>
                <w:b/>
                <w:bCs/>
              </w:rPr>
              <w:t>to consider</w:t>
            </w:r>
            <w:r>
              <w:t xml:space="preserve"> the contribution and proposals herein.</w:t>
            </w:r>
          </w:p>
          <w:p w14:paraId="08939791" w14:textId="77777777" w:rsidR="00C0458D" w:rsidRPr="00106B85" w:rsidRDefault="00C0458D">
            <w:pPr>
              <w:rPr>
                <w:lang w:val="fr-FR"/>
              </w:rPr>
            </w:pPr>
            <w:r w:rsidRPr="00106B85">
              <w:rPr>
                <w:lang w:val="fr-FR"/>
              </w:rPr>
              <w:t>_______________</w:t>
            </w:r>
          </w:p>
          <w:p w14:paraId="212A584A" w14:textId="61454405" w:rsidR="00AD3606" w:rsidRPr="00106B85" w:rsidRDefault="00AD3606" w:rsidP="00F16BAB">
            <w:pPr>
              <w:spacing w:before="160"/>
              <w:rPr>
                <w:b/>
                <w:bCs/>
                <w:sz w:val="26"/>
                <w:szCs w:val="26"/>
                <w:lang w:val="fr-FR"/>
              </w:rPr>
            </w:pPr>
            <w:proofErr w:type="spellStart"/>
            <w:r w:rsidRPr="00106B85">
              <w:rPr>
                <w:b/>
                <w:bCs/>
                <w:sz w:val="26"/>
                <w:szCs w:val="26"/>
                <w:lang w:val="fr-FR"/>
              </w:rPr>
              <w:t>References</w:t>
            </w:r>
            <w:proofErr w:type="spellEnd"/>
          </w:p>
          <w:p w14:paraId="7089D4B7" w14:textId="25DC60F5" w:rsidR="00EC4343" w:rsidRPr="00456DAA" w:rsidRDefault="00EC4343" w:rsidP="00F16BAB">
            <w:pPr>
              <w:spacing w:after="160"/>
              <w:rPr>
                <w:i/>
                <w:iCs/>
                <w:sz w:val="22"/>
                <w:szCs w:val="22"/>
                <w:lang w:val="en-US"/>
              </w:rPr>
            </w:pPr>
            <w:r w:rsidRPr="00456DAA">
              <w:rPr>
                <w:rStyle w:val="normaltextrun"/>
                <w:rFonts w:asciiTheme="minorHAnsi" w:eastAsiaTheme="minorEastAsia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Document</w:t>
            </w:r>
            <w:r w:rsidR="00456DAA">
              <w:rPr>
                <w:rStyle w:val="normaltextrun"/>
                <w:rFonts w:asciiTheme="minorHAnsi" w:eastAsiaTheme="minorEastAsia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s</w:t>
            </w:r>
            <w:r w:rsidRPr="00456DAA">
              <w:rPr>
                <w:rStyle w:val="normaltextrun"/>
                <w:rFonts w:asciiTheme="minorHAnsi" w:eastAsiaTheme="minorEastAsia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hyperlink r:id="rId8" w:history="1">
              <w:r w:rsidRPr="00456DAA">
                <w:rPr>
                  <w:rStyle w:val="Hyperlink"/>
                  <w:rFonts w:asciiTheme="minorHAnsi" w:eastAsiaTheme="minorEastAsia" w:hAnsiTheme="minorHAnsi" w:cstheme="minorHAnsi"/>
                  <w:i/>
                  <w:iCs/>
                  <w:sz w:val="22"/>
                  <w:szCs w:val="22"/>
                  <w:lang w:val="en-US"/>
                </w:rPr>
                <w:t>C25/50</w:t>
              </w:r>
            </w:hyperlink>
            <w:r w:rsidR="001B5004" w:rsidRPr="00456DAA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16348C">
              <w:rPr>
                <w:i/>
                <w:iCs/>
                <w:sz w:val="22"/>
                <w:szCs w:val="22"/>
                <w:lang w:val="en-US"/>
              </w:rPr>
              <w:t>and</w:t>
            </w:r>
            <w:r w:rsidR="001B5004" w:rsidRPr="00456DA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hyperlink r:id="rId9" w:history="1">
              <w:r w:rsidR="00CD1E1E" w:rsidRPr="00456DAA">
                <w:rPr>
                  <w:rStyle w:val="Hyperlink"/>
                  <w:rFonts w:asciiTheme="minorHAnsi" w:eastAsiaTheme="minorEastAsia" w:hAnsiTheme="minorHAnsi" w:cstheme="minorBidi"/>
                  <w:i/>
                  <w:iCs/>
                  <w:sz w:val="22"/>
                  <w:szCs w:val="22"/>
                  <w:lang w:val="en-US"/>
                </w:rPr>
                <w:t>C</w:t>
              </w:r>
              <w:r w:rsidR="00456DAA" w:rsidRPr="00456DAA">
                <w:rPr>
                  <w:rStyle w:val="Hyperlink"/>
                  <w:rFonts w:asciiTheme="minorHAnsi" w:eastAsiaTheme="minorEastAsia" w:hAnsiTheme="minorHAnsi" w:cstheme="minorBidi"/>
                  <w:i/>
                  <w:iCs/>
                  <w:sz w:val="22"/>
                  <w:szCs w:val="22"/>
                  <w:lang w:val="en-US"/>
                </w:rPr>
                <w:t>25/69</w:t>
              </w:r>
            </w:hyperlink>
          </w:p>
        </w:tc>
      </w:tr>
    </w:tbl>
    <w:p w14:paraId="3E836A65" w14:textId="77777777" w:rsidR="00E227F3" w:rsidRPr="00CD1E1E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  <w:bookmarkStart w:id="10" w:name="_Hlk133421428"/>
      <w:bookmarkEnd w:id="2"/>
      <w:bookmarkEnd w:id="9"/>
    </w:p>
    <w:bookmarkEnd w:id="3"/>
    <w:bookmarkEnd w:id="4"/>
    <w:p w14:paraId="52958905" w14:textId="77777777" w:rsidR="0090147A" w:rsidRPr="00CD1E1E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lang w:val="en-US"/>
        </w:rPr>
      </w:pPr>
      <w:r w:rsidRPr="00CD1E1E">
        <w:rPr>
          <w:lang w:val="en-US"/>
        </w:rPr>
        <w:br w:type="page"/>
      </w:r>
    </w:p>
    <w:bookmarkEnd w:id="5"/>
    <w:bookmarkEnd w:id="10"/>
    <w:p w14:paraId="69993659" w14:textId="3EEBE1BE" w:rsidR="007A3FCD" w:rsidRPr="00715767" w:rsidRDefault="00E3499B" w:rsidP="00407953">
      <w:pPr>
        <w:pStyle w:val="Headingb"/>
      </w:pPr>
      <w:r w:rsidRPr="00715767">
        <w:lastRenderedPageBreak/>
        <w:t xml:space="preserve">Background </w:t>
      </w:r>
    </w:p>
    <w:p w14:paraId="4D875053" w14:textId="5333165C" w:rsidR="00147028" w:rsidRPr="00D61EB1" w:rsidRDefault="00BB7D35" w:rsidP="00407953">
      <w:pPr>
        <w:jc w:val="both"/>
        <w:rPr>
          <w:rFonts w:eastAsia="Aptos"/>
          <w:bCs/>
          <w:szCs w:val="24"/>
        </w:rPr>
      </w:pPr>
      <w:r w:rsidRPr="00D61EB1">
        <w:rPr>
          <w:rFonts w:eastAsia="Aptos"/>
          <w:szCs w:val="24"/>
        </w:rPr>
        <w:t>As requested by the Council</w:t>
      </w:r>
      <w:r w:rsidR="005426D3" w:rsidRPr="00D61EB1">
        <w:rPr>
          <w:rFonts w:eastAsia="Aptos"/>
          <w:szCs w:val="24"/>
        </w:rPr>
        <w:t>-</w:t>
      </w:r>
      <w:r w:rsidRPr="00D61EB1">
        <w:rPr>
          <w:rFonts w:eastAsia="Aptos"/>
          <w:szCs w:val="24"/>
          <w:lang w:val="en-US"/>
        </w:rPr>
        <w:t>2024</w:t>
      </w:r>
      <w:r w:rsidR="006F0311" w:rsidRPr="00D61EB1">
        <w:rPr>
          <w:rFonts w:eastAsia="Aptos"/>
          <w:szCs w:val="24"/>
          <w:lang w:val="en-US"/>
        </w:rPr>
        <w:t>,</w:t>
      </w:r>
      <w:r w:rsidR="00BC0E26" w:rsidRPr="00D61EB1">
        <w:rPr>
          <w:rFonts w:eastAsia="Aptos"/>
          <w:szCs w:val="24"/>
          <w:lang w:val="en-US"/>
        </w:rPr>
        <w:t xml:space="preserve"> </w:t>
      </w:r>
      <w:r w:rsidR="00BC0E26" w:rsidRPr="00D61EB1">
        <w:rPr>
          <w:rFonts w:eastAsia="Aptos"/>
          <w:szCs w:val="24"/>
        </w:rPr>
        <w:t xml:space="preserve">Council Working Group on financial and human resources (CWG-FHR) </w:t>
      </w:r>
      <w:r w:rsidR="000B50C9" w:rsidRPr="00D61EB1">
        <w:rPr>
          <w:rFonts w:eastAsia="Aptos"/>
          <w:szCs w:val="24"/>
        </w:rPr>
        <w:t xml:space="preserve">took the task </w:t>
      </w:r>
      <w:r w:rsidR="004F4279" w:rsidRPr="00D61EB1">
        <w:rPr>
          <w:rFonts w:eastAsia="Aptos"/>
          <w:szCs w:val="24"/>
        </w:rPr>
        <w:t xml:space="preserve">to advance </w:t>
      </w:r>
      <w:r w:rsidR="00B22384" w:rsidRPr="00D61EB1">
        <w:rPr>
          <w:rFonts w:eastAsia="Aptos"/>
          <w:szCs w:val="24"/>
        </w:rPr>
        <w:t xml:space="preserve">on the review of regional presence under Resolution 25 (Rev. Bucharest, 2022) and </w:t>
      </w:r>
      <w:r w:rsidR="00253185" w:rsidRPr="00D61EB1">
        <w:rPr>
          <w:rFonts w:eastAsia="Aptos"/>
          <w:szCs w:val="24"/>
        </w:rPr>
        <w:t xml:space="preserve">established an online Correspondence Group to develop Terms of Reference for the ITU secretariat to complete a review of regional presence. </w:t>
      </w:r>
      <w:r w:rsidR="005426D3" w:rsidRPr="00D61EB1">
        <w:rPr>
          <w:rFonts w:eastAsia="Aptos"/>
          <w:szCs w:val="24"/>
        </w:rPr>
        <w:t>The result of this work</w:t>
      </w:r>
      <w:r w:rsidR="00C34151" w:rsidRPr="00D61EB1">
        <w:rPr>
          <w:rFonts w:eastAsia="Aptos"/>
          <w:szCs w:val="24"/>
        </w:rPr>
        <w:t xml:space="preserve"> </w:t>
      </w:r>
      <w:r w:rsidR="00D9610E" w:rsidRPr="00D61EB1">
        <w:rPr>
          <w:rFonts w:eastAsia="Aptos"/>
          <w:szCs w:val="24"/>
        </w:rPr>
        <w:t xml:space="preserve">has been adopted by the CWG-FHR and </w:t>
      </w:r>
      <w:r w:rsidR="005426D3" w:rsidRPr="00D61EB1">
        <w:rPr>
          <w:rFonts w:eastAsia="Aptos"/>
          <w:szCs w:val="24"/>
        </w:rPr>
        <w:t xml:space="preserve">presented in Annex A to </w:t>
      </w:r>
      <w:r w:rsidR="00065ACD" w:rsidRPr="00D61EB1">
        <w:rPr>
          <w:rFonts w:eastAsia="Aptos"/>
          <w:szCs w:val="24"/>
        </w:rPr>
        <w:t>Document</w:t>
      </w:r>
      <w:r w:rsidR="00065ACD" w:rsidRPr="00D61EB1">
        <w:rPr>
          <w:rFonts w:eastAsia="Aptos"/>
          <w:bCs/>
          <w:szCs w:val="24"/>
        </w:rPr>
        <w:t xml:space="preserve"> </w:t>
      </w:r>
      <w:hyperlink r:id="rId10" w:history="1">
        <w:r w:rsidR="009D7DCD" w:rsidRPr="00D61EB1">
          <w:rPr>
            <w:rStyle w:val="Hyperlink"/>
            <w:rFonts w:asciiTheme="minorHAnsi" w:eastAsiaTheme="minorEastAsia" w:hAnsiTheme="minorHAnsi" w:cstheme="minorHAnsi"/>
            <w:szCs w:val="24"/>
            <w:lang w:val="en-US"/>
          </w:rPr>
          <w:t>C25/50</w:t>
        </w:r>
      </w:hyperlink>
      <w:r w:rsidR="009D7DCD" w:rsidRPr="00D61EB1">
        <w:rPr>
          <w:szCs w:val="24"/>
        </w:rPr>
        <w:t xml:space="preserve"> </w:t>
      </w:r>
      <w:r w:rsidR="00EA60AF" w:rsidRPr="00D61EB1">
        <w:rPr>
          <w:rFonts w:eastAsia="Aptos"/>
          <w:bCs/>
          <w:szCs w:val="24"/>
        </w:rPr>
        <w:t>for approval of the Council-2025</w:t>
      </w:r>
      <w:r w:rsidR="005426D3" w:rsidRPr="00D61EB1">
        <w:rPr>
          <w:rFonts w:eastAsia="Aptos"/>
          <w:bCs/>
          <w:szCs w:val="24"/>
        </w:rPr>
        <w:t>.</w:t>
      </w:r>
    </w:p>
    <w:p w14:paraId="6494083C" w14:textId="7AA406BF" w:rsidR="00625D7F" w:rsidRPr="00D61EB1" w:rsidRDefault="00625D7F" w:rsidP="00407953">
      <w:pPr>
        <w:jc w:val="both"/>
        <w:rPr>
          <w:szCs w:val="24"/>
        </w:rPr>
      </w:pPr>
      <w:r w:rsidRPr="00D61EB1">
        <w:rPr>
          <w:szCs w:val="24"/>
        </w:rPr>
        <w:t>Inception Report on the Review of ITU Regional Presence</w:t>
      </w:r>
      <w:r w:rsidR="009A24D3" w:rsidRPr="00D61EB1">
        <w:rPr>
          <w:szCs w:val="24"/>
        </w:rPr>
        <w:t xml:space="preserve"> </w:t>
      </w:r>
      <w:r w:rsidR="00A877CE" w:rsidRPr="00D61EB1">
        <w:rPr>
          <w:szCs w:val="24"/>
        </w:rPr>
        <w:t>(</w:t>
      </w:r>
      <w:r w:rsidR="009A24D3" w:rsidRPr="00D61EB1">
        <w:rPr>
          <w:rFonts w:eastAsiaTheme="minorEastAsia"/>
          <w:color w:val="000000" w:themeColor="text1"/>
          <w:szCs w:val="24"/>
        </w:rPr>
        <w:t>Doc</w:t>
      </w:r>
      <w:r w:rsidR="00AC143D" w:rsidRPr="00D61EB1">
        <w:rPr>
          <w:rFonts w:eastAsiaTheme="minorEastAsia"/>
          <w:color w:val="000000" w:themeColor="text1"/>
          <w:szCs w:val="24"/>
        </w:rPr>
        <w:t>.</w:t>
      </w:r>
      <w:r w:rsidR="009A24D3" w:rsidRPr="00D61EB1">
        <w:rPr>
          <w:rFonts w:eastAsiaTheme="minorEastAsia"/>
          <w:color w:val="000000" w:themeColor="text1"/>
          <w:szCs w:val="24"/>
        </w:rPr>
        <w:t xml:space="preserve"> </w:t>
      </w:r>
      <w:hyperlink r:id="rId11" w:history="1">
        <w:r w:rsidR="009A24D3" w:rsidRPr="00D61EB1">
          <w:rPr>
            <w:rStyle w:val="Hyperlink"/>
            <w:rFonts w:asciiTheme="minorHAnsi" w:eastAsiaTheme="minorEastAsia" w:hAnsiTheme="minorHAnsi" w:cstheme="minorBidi"/>
            <w:szCs w:val="24"/>
            <w:lang w:val="en-US"/>
          </w:rPr>
          <w:t>C25/69</w:t>
        </w:r>
      </w:hyperlink>
      <w:r w:rsidR="00A877CE" w:rsidRPr="00D61EB1">
        <w:rPr>
          <w:szCs w:val="24"/>
        </w:rPr>
        <w:t xml:space="preserve">) </w:t>
      </w:r>
      <w:r w:rsidR="00C31691" w:rsidRPr="00D61EB1">
        <w:rPr>
          <w:szCs w:val="24"/>
        </w:rPr>
        <w:t>pre</w:t>
      </w:r>
      <w:r w:rsidR="0063237F" w:rsidRPr="00D61EB1">
        <w:rPr>
          <w:szCs w:val="24"/>
        </w:rPr>
        <w:t xml:space="preserve">sents </w:t>
      </w:r>
      <w:r w:rsidR="001E0F8C" w:rsidRPr="00D61EB1">
        <w:rPr>
          <w:szCs w:val="24"/>
        </w:rPr>
        <w:t xml:space="preserve">a set of </w:t>
      </w:r>
      <w:r w:rsidR="0063237F" w:rsidRPr="00D61EB1">
        <w:rPr>
          <w:szCs w:val="24"/>
        </w:rPr>
        <w:t xml:space="preserve">recommendations </w:t>
      </w:r>
      <w:r w:rsidR="001E0F8C" w:rsidRPr="00D61EB1">
        <w:rPr>
          <w:rFonts w:eastAsia="Aptos" w:cstheme="minorHAnsi"/>
          <w:szCs w:val="24"/>
        </w:rPr>
        <w:t xml:space="preserve">to </w:t>
      </w:r>
      <w:r w:rsidR="00FB41A5" w:rsidRPr="00D61EB1">
        <w:rPr>
          <w:rFonts w:eastAsia="Aptos" w:cstheme="minorHAnsi"/>
          <w:szCs w:val="24"/>
        </w:rPr>
        <w:t>facilitate</w:t>
      </w:r>
      <w:r w:rsidR="00593C43" w:rsidRPr="00D61EB1">
        <w:rPr>
          <w:rFonts w:eastAsia="Aptos" w:cstheme="minorHAnsi"/>
          <w:szCs w:val="24"/>
        </w:rPr>
        <w:t xml:space="preserve"> </w:t>
      </w:r>
      <w:r w:rsidR="00AC143D" w:rsidRPr="00D61EB1">
        <w:rPr>
          <w:rFonts w:eastAsia="Aptos" w:cstheme="minorHAnsi"/>
          <w:szCs w:val="24"/>
        </w:rPr>
        <w:t xml:space="preserve">the </w:t>
      </w:r>
      <w:r w:rsidR="00593C43" w:rsidRPr="00D61EB1">
        <w:rPr>
          <w:rFonts w:eastAsia="Aptos" w:cstheme="minorHAnsi"/>
          <w:szCs w:val="24"/>
        </w:rPr>
        <w:t xml:space="preserve">Council’s decision while </w:t>
      </w:r>
      <w:r w:rsidR="001E0F8C" w:rsidRPr="00D61EB1">
        <w:rPr>
          <w:rFonts w:eastAsia="Aptos" w:cstheme="minorHAnsi"/>
          <w:szCs w:val="24"/>
        </w:rPr>
        <w:t>provid</w:t>
      </w:r>
      <w:r w:rsidR="00593C43" w:rsidRPr="00D61EB1">
        <w:rPr>
          <w:rFonts w:eastAsia="Aptos" w:cstheme="minorHAnsi"/>
          <w:szCs w:val="24"/>
        </w:rPr>
        <w:t>ing</w:t>
      </w:r>
      <w:r w:rsidR="001E0F8C" w:rsidRPr="00D61EB1">
        <w:rPr>
          <w:rFonts w:eastAsia="Aptos" w:cstheme="minorHAnsi"/>
          <w:szCs w:val="24"/>
        </w:rPr>
        <w:t xml:space="preserve"> greater clarity on </w:t>
      </w:r>
      <w:r w:rsidR="00AC143D" w:rsidRPr="00D61EB1">
        <w:rPr>
          <w:rFonts w:eastAsia="Aptos" w:cstheme="minorHAnsi"/>
          <w:szCs w:val="24"/>
        </w:rPr>
        <w:t xml:space="preserve">the </w:t>
      </w:r>
      <w:r w:rsidR="00267C2D" w:rsidRPr="00D61EB1">
        <w:rPr>
          <w:rFonts w:eastAsia="Aptos" w:cstheme="minorHAnsi"/>
          <w:szCs w:val="24"/>
        </w:rPr>
        <w:t xml:space="preserve">main aspects of the </w:t>
      </w:r>
      <w:r w:rsidR="00FB41A5" w:rsidRPr="00D61EB1">
        <w:rPr>
          <w:rFonts w:eastAsia="Aptos" w:cstheme="minorHAnsi"/>
          <w:szCs w:val="24"/>
        </w:rPr>
        <w:t xml:space="preserve">regional </w:t>
      </w:r>
      <w:r w:rsidR="001E0F8C" w:rsidRPr="00D61EB1">
        <w:rPr>
          <w:rFonts w:eastAsia="Aptos" w:cstheme="minorHAnsi"/>
          <w:szCs w:val="24"/>
        </w:rPr>
        <w:t>review</w:t>
      </w:r>
      <w:r w:rsidR="00267C2D" w:rsidRPr="00D61EB1">
        <w:rPr>
          <w:rFonts w:eastAsia="Aptos" w:cstheme="minorHAnsi"/>
          <w:szCs w:val="24"/>
        </w:rPr>
        <w:t xml:space="preserve"> (</w:t>
      </w:r>
      <w:r w:rsidR="001E0F8C" w:rsidRPr="00D61EB1">
        <w:rPr>
          <w:rFonts w:eastAsia="Aptos" w:cstheme="minorHAnsi"/>
          <w:szCs w:val="24"/>
        </w:rPr>
        <w:t>methodology, timeline, scope, stakeholder engagement</w:t>
      </w:r>
      <w:r w:rsidR="00267C2D" w:rsidRPr="00D61EB1">
        <w:rPr>
          <w:rFonts w:eastAsia="Aptos" w:cstheme="minorHAnsi"/>
          <w:szCs w:val="24"/>
        </w:rPr>
        <w:t xml:space="preserve">, </w:t>
      </w:r>
      <w:r w:rsidR="001E0F8C" w:rsidRPr="00D61EB1">
        <w:rPr>
          <w:rFonts w:eastAsia="Aptos" w:cstheme="minorHAnsi"/>
          <w:szCs w:val="24"/>
        </w:rPr>
        <w:t>resourcing requirements</w:t>
      </w:r>
      <w:r w:rsidR="00267C2D" w:rsidRPr="00D61EB1">
        <w:rPr>
          <w:rFonts w:eastAsia="Aptos" w:cstheme="minorHAnsi"/>
          <w:szCs w:val="24"/>
        </w:rPr>
        <w:t>).</w:t>
      </w:r>
    </w:p>
    <w:p w14:paraId="7F37EF88" w14:textId="34D283CE" w:rsidR="00E3499B" w:rsidRPr="00715767" w:rsidRDefault="00B26663" w:rsidP="00407953">
      <w:pPr>
        <w:jc w:val="both"/>
      </w:pPr>
      <w:r w:rsidRPr="0076158F">
        <w:rPr>
          <w:szCs w:val="24"/>
        </w:rPr>
        <w:t>We welcome</w:t>
      </w:r>
      <w:r>
        <w:rPr>
          <w:b/>
          <w:bCs/>
          <w:szCs w:val="24"/>
        </w:rPr>
        <w:t xml:space="preserve"> </w:t>
      </w:r>
      <w:r>
        <w:rPr>
          <w:rFonts w:eastAsiaTheme="minorEastAsia"/>
          <w:color w:val="000000" w:themeColor="text1"/>
        </w:rPr>
        <w:t xml:space="preserve">the establishment of </w:t>
      </w:r>
      <w:r w:rsidR="00AC143D">
        <w:rPr>
          <w:rFonts w:eastAsiaTheme="minorEastAsia"/>
          <w:color w:val="000000" w:themeColor="text1"/>
        </w:rPr>
        <w:t xml:space="preserve">the </w:t>
      </w:r>
      <w:r w:rsidRPr="0C25FD7E">
        <w:rPr>
          <w:rFonts w:eastAsiaTheme="minorEastAsia"/>
          <w:color w:val="000000" w:themeColor="text1"/>
        </w:rPr>
        <w:t xml:space="preserve">Inter-Sectoral Task Force </w:t>
      </w:r>
      <w:r>
        <w:rPr>
          <w:rFonts w:eastAsiaTheme="minorEastAsia"/>
          <w:color w:val="000000" w:themeColor="text1"/>
        </w:rPr>
        <w:t xml:space="preserve">on regional presence and its recommendations </w:t>
      </w:r>
      <w:r>
        <w:rPr>
          <w:rFonts w:eastAsiaTheme="minorEastAsia"/>
          <w:color w:val="000000" w:themeColor="text1"/>
          <w:lang w:val="en-US"/>
        </w:rPr>
        <w:t xml:space="preserve">to the </w:t>
      </w:r>
      <w:r w:rsidR="005D38FF">
        <w:rPr>
          <w:rFonts w:eastAsiaTheme="minorEastAsia"/>
          <w:color w:val="000000" w:themeColor="text1"/>
          <w:lang w:val="en-US"/>
        </w:rPr>
        <w:t>Council;</w:t>
      </w:r>
      <w:r w:rsidR="00334A2B">
        <w:rPr>
          <w:rFonts w:eastAsiaTheme="minorEastAsia"/>
          <w:color w:val="000000" w:themeColor="text1"/>
          <w:lang w:val="en-US"/>
        </w:rPr>
        <w:t xml:space="preserve"> </w:t>
      </w:r>
      <w:r w:rsidR="00C16B28">
        <w:rPr>
          <w:rFonts w:eastAsiaTheme="minorEastAsia"/>
          <w:color w:val="000000" w:themeColor="text1"/>
          <w:lang w:val="en-US"/>
        </w:rPr>
        <w:t>how</w:t>
      </w:r>
      <w:r w:rsidR="00334A2B">
        <w:rPr>
          <w:rFonts w:eastAsiaTheme="minorEastAsia"/>
          <w:color w:val="000000" w:themeColor="text1"/>
          <w:lang w:val="en-US"/>
        </w:rPr>
        <w:t>ever</w:t>
      </w:r>
      <w:r w:rsidR="001E0ED6">
        <w:rPr>
          <w:rFonts w:eastAsiaTheme="minorEastAsia"/>
          <w:color w:val="000000" w:themeColor="text1"/>
          <w:lang w:val="en-US"/>
        </w:rPr>
        <w:t>,</w:t>
      </w:r>
      <w:r w:rsidR="00334A2B">
        <w:rPr>
          <w:rFonts w:eastAsiaTheme="minorEastAsia"/>
          <w:color w:val="000000" w:themeColor="text1"/>
          <w:lang w:val="en-US"/>
        </w:rPr>
        <w:t xml:space="preserve"> we </w:t>
      </w:r>
      <w:r w:rsidR="00C16B28">
        <w:rPr>
          <w:rFonts w:eastAsiaTheme="minorEastAsia"/>
          <w:color w:val="000000" w:themeColor="text1"/>
          <w:lang w:val="en-US"/>
        </w:rPr>
        <w:t xml:space="preserve">would like </w:t>
      </w:r>
      <w:r w:rsidR="008D1CD5">
        <w:rPr>
          <w:rFonts w:eastAsiaTheme="minorEastAsia"/>
          <w:color w:val="000000" w:themeColor="text1"/>
          <w:lang w:val="en-US"/>
        </w:rPr>
        <w:t>to make</w:t>
      </w:r>
      <w:r w:rsidR="001E0ED6">
        <w:rPr>
          <w:rFonts w:eastAsiaTheme="minorEastAsia"/>
          <w:color w:val="000000" w:themeColor="text1"/>
          <w:lang w:val="en-US"/>
        </w:rPr>
        <w:t xml:space="preserve"> several proposals</w:t>
      </w:r>
      <w:r w:rsidR="00AC143D">
        <w:rPr>
          <w:rFonts w:eastAsiaTheme="minorEastAsia"/>
          <w:color w:val="000000" w:themeColor="text1"/>
          <w:lang w:val="en-US"/>
        </w:rPr>
        <w:t>, as presented below,</w:t>
      </w:r>
      <w:r w:rsidR="003D2199">
        <w:rPr>
          <w:rFonts w:eastAsiaTheme="minorEastAsia"/>
          <w:color w:val="000000" w:themeColor="text1"/>
          <w:lang w:val="en-US"/>
        </w:rPr>
        <w:t xml:space="preserve"> in this contribution.</w:t>
      </w:r>
    </w:p>
    <w:p w14:paraId="27CDA8F5" w14:textId="6534D3EA" w:rsidR="00E3499B" w:rsidRDefault="00E3499B" w:rsidP="00407953">
      <w:pPr>
        <w:pStyle w:val="Headingb"/>
      </w:pPr>
      <w:r w:rsidRPr="00715767">
        <w:t>Proposal</w:t>
      </w:r>
    </w:p>
    <w:p w14:paraId="284E87C6" w14:textId="65A312CA" w:rsidR="00B633A4" w:rsidRDefault="00AB177C" w:rsidP="00AC143D">
      <w:pPr>
        <w:pStyle w:val="enumlev1"/>
        <w:jc w:val="both"/>
        <w:rPr>
          <w:rFonts w:eastAsiaTheme="minorEastAsia"/>
          <w:color w:val="000000" w:themeColor="text1"/>
          <w:szCs w:val="24"/>
          <w:lang w:val="en-US"/>
        </w:rPr>
      </w:pPr>
      <w:r>
        <w:rPr>
          <w:rFonts w:eastAsiaTheme="minorEastAsia"/>
          <w:color w:val="000000" w:themeColor="text1"/>
          <w:lang w:val="en-US"/>
        </w:rPr>
        <w:t>1</w:t>
      </w:r>
      <w:r w:rsidR="00AC143D">
        <w:rPr>
          <w:rFonts w:eastAsiaTheme="minorEastAsia"/>
          <w:color w:val="000000" w:themeColor="text1"/>
          <w:szCs w:val="24"/>
          <w:lang w:val="en-US"/>
        </w:rPr>
        <w:tab/>
      </w:r>
      <w:r w:rsidR="00B633A4">
        <w:rPr>
          <w:rFonts w:eastAsia="Aptos"/>
        </w:rPr>
        <w:t xml:space="preserve">We invite the Council to approve the </w:t>
      </w:r>
      <w:r w:rsidR="00B633A4" w:rsidRPr="190AA22D">
        <w:rPr>
          <w:rFonts w:eastAsia="Aptos"/>
        </w:rPr>
        <w:t xml:space="preserve">Terms of Reference </w:t>
      </w:r>
      <w:r w:rsidR="00097FD8" w:rsidRPr="00F362E8">
        <w:rPr>
          <w:rFonts w:eastAsia="Aptos"/>
          <w:szCs w:val="24"/>
        </w:rPr>
        <w:t>(</w:t>
      </w:r>
      <w:proofErr w:type="spellStart"/>
      <w:r w:rsidR="00097FD8" w:rsidRPr="00F362E8">
        <w:rPr>
          <w:rFonts w:eastAsia="Aptos"/>
          <w:szCs w:val="24"/>
        </w:rPr>
        <w:t>ToR</w:t>
      </w:r>
      <w:proofErr w:type="spellEnd"/>
      <w:r w:rsidR="00097FD8" w:rsidRPr="00F362E8">
        <w:rPr>
          <w:rFonts w:eastAsia="Aptos"/>
          <w:szCs w:val="24"/>
        </w:rPr>
        <w:t xml:space="preserve">) </w:t>
      </w:r>
      <w:r w:rsidR="00B633A4" w:rsidRPr="190AA22D">
        <w:rPr>
          <w:rFonts w:eastAsia="Aptos"/>
        </w:rPr>
        <w:t>for the Review of the ITU</w:t>
      </w:r>
      <w:r w:rsidR="00B633A4">
        <w:rPr>
          <w:rFonts w:eastAsia="Aptos"/>
        </w:rPr>
        <w:t>’</w:t>
      </w:r>
      <w:r w:rsidR="00B633A4" w:rsidRPr="190AA22D">
        <w:rPr>
          <w:rFonts w:eastAsia="Aptos"/>
        </w:rPr>
        <w:t>s Regional Presence</w:t>
      </w:r>
      <w:r w:rsidR="00B633A4">
        <w:rPr>
          <w:rFonts w:eastAsia="Aptos"/>
        </w:rPr>
        <w:t xml:space="preserve"> presented in </w:t>
      </w:r>
      <w:r w:rsidR="00B633A4" w:rsidRPr="00AC143D">
        <w:rPr>
          <w:rFonts w:eastAsia="Aptos"/>
        </w:rPr>
        <w:t>Annex A to</w:t>
      </w:r>
      <w:r w:rsidR="00B633A4">
        <w:rPr>
          <w:rFonts w:eastAsia="Aptos"/>
        </w:rPr>
        <w:t xml:space="preserve"> </w:t>
      </w:r>
      <w:r w:rsidR="00B633A4" w:rsidRPr="00AC143D">
        <w:rPr>
          <w:rFonts w:eastAsia="Aptos"/>
        </w:rPr>
        <w:t>Document C25/50 so that the review</w:t>
      </w:r>
      <w:r w:rsidR="00B633A4">
        <w:rPr>
          <w:rFonts w:eastAsia="Aptos"/>
          <w:bCs/>
        </w:rPr>
        <w:t xml:space="preserve"> process starts without delay</w:t>
      </w:r>
      <w:r w:rsidR="00097FD8">
        <w:rPr>
          <w:rFonts w:eastAsia="Aptos"/>
          <w:bCs/>
        </w:rPr>
        <w:t>.</w:t>
      </w:r>
    </w:p>
    <w:p w14:paraId="3C39D76D" w14:textId="3C14C8FE" w:rsidR="008F2E39" w:rsidRPr="00F362E8" w:rsidRDefault="00B633A4" w:rsidP="00AC143D">
      <w:pPr>
        <w:pStyle w:val="enumlev1"/>
        <w:jc w:val="both"/>
        <w:rPr>
          <w:rFonts w:eastAsia="Aptos"/>
          <w:szCs w:val="24"/>
        </w:rPr>
      </w:pPr>
      <w:r>
        <w:rPr>
          <w:rFonts w:eastAsia="Aptos"/>
          <w:szCs w:val="24"/>
        </w:rPr>
        <w:t>2</w:t>
      </w:r>
      <w:r w:rsidR="00AC143D">
        <w:rPr>
          <w:rFonts w:eastAsia="Aptos"/>
          <w:szCs w:val="24"/>
        </w:rPr>
        <w:tab/>
      </w:r>
      <w:r w:rsidR="00AB177C" w:rsidRPr="00F362E8">
        <w:rPr>
          <w:rFonts w:eastAsia="Aptos"/>
          <w:szCs w:val="24"/>
        </w:rPr>
        <w:t>Methodology</w:t>
      </w:r>
      <w:r w:rsidR="001E3781" w:rsidRPr="00F362E8">
        <w:rPr>
          <w:rFonts w:eastAsia="Aptos"/>
          <w:szCs w:val="24"/>
        </w:rPr>
        <w:t xml:space="preserve">, as presented in the </w:t>
      </w:r>
      <w:proofErr w:type="spellStart"/>
      <w:r w:rsidR="001E3781" w:rsidRPr="00F362E8">
        <w:rPr>
          <w:rFonts w:eastAsia="Aptos"/>
          <w:szCs w:val="24"/>
        </w:rPr>
        <w:t>ToRs</w:t>
      </w:r>
      <w:proofErr w:type="spellEnd"/>
      <w:r w:rsidR="001E3781" w:rsidRPr="00F362E8">
        <w:rPr>
          <w:rFonts w:eastAsia="Aptos"/>
          <w:szCs w:val="24"/>
        </w:rPr>
        <w:t xml:space="preserve">, should be the </w:t>
      </w:r>
      <w:r w:rsidR="00165915" w:rsidRPr="00F362E8">
        <w:rPr>
          <w:rFonts w:eastAsia="Aptos"/>
          <w:szCs w:val="24"/>
        </w:rPr>
        <w:t xml:space="preserve">basis of </w:t>
      </w:r>
      <w:r w:rsidR="00A41917" w:rsidRPr="00F362E8">
        <w:rPr>
          <w:rFonts w:eastAsia="Aptos"/>
          <w:szCs w:val="24"/>
        </w:rPr>
        <w:t>the review</w:t>
      </w:r>
      <w:r w:rsidR="00562286" w:rsidRPr="00F362E8">
        <w:rPr>
          <w:rFonts w:eastAsia="Aptos"/>
          <w:szCs w:val="24"/>
        </w:rPr>
        <w:t>.</w:t>
      </w:r>
      <w:r w:rsidR="00A41917" w:rsidRPr="00F362E8">
        <w:rPr>
          <w:rFonts w:eastAsia="Aptos"/>
          <w:szCs w:val="24"/>
        </w:rPr>
        <w:t xml:space="preserve"> </w:t>
      </w:r>
      <w:r w:rsidR="00562286" w:rsidRPr="00F362E8">
        <w:rPr>
          <w:rFonts w:eastAsia="Aptos"/>
          <w:szCs w:val="24"/>
        </w:rPr>
        <w:t>B</w:t>
      </w:r>
      <w:r w:rsidR="00A41917" w:rsidRPr="00F362E8">
        <w:rPr>
          <w:rFonts w:eastAsia="Aptos"/>
          <w:szCs w:val="24"/>
        </w:rPr>
        <w:t>enchmar</w:t>
      </w:r>
      <w:r w:rsidR="00C528C4" w:rsidRPr="00F362E8">
        <w:rPr>
          <w:rFonts w:eastAsia="Aptos"/>
          <w:szCs w:val="24"/>
        </w:rPr>
        <w:t>king analysis and combined methodology</w:t>
      </w:r>
      <w:r w:rsidR="00097FD8">
        <w:rPr>
          <w:rFonts w:eastAsia="Aptos"/>
          <w:szCs w:val="24"/>
        </w:rPr>
        <w:t xml:space="preserve">, proposed in the Inception </w:t>
      </w:r>
      <w:r w:rsidR="00C6393E">
        <w:rPr>
          <w:rFonts w:eastAsia="Aptos"/>
          <w:szCs w:val="24"/>
        </w:rPr>
        <w:t>R</w:t>
      </w:r>
      <w:r w:rsidR="00097FD8">
        <w:rPr>
          <w:rFonts w:eastAsia="Aptos"/>
          <w:szCs w:val="24"/>
        </w:rPr>
        <w:t>eport,</w:t>
      </w:r>
      <w:r w:rsidR="00C528C4" w:rsidRPr="00F362E8">
        <w:rPr>
          <w:rFonts w:eastAsia="Aptos"/>
          <w:szCs w:val="24"/>
        </w:rPr>
        <w:t xml:space="preserve"> </w:t>
      </w:r>
      <w:r w:rsidR="00562286" w:rsidRPr="00F362E8">
        <w:rPr>
          <w:rFonts w:eastAsia="Aptos"/>
          <w:szCs w:val="24"/>
        </w:rPr>
        <w:t>should be included</w:t>
      </w:r>
      <w:r w:rsidR="0022398D" w:rsidRPr="00F362E8">
        <w:rPr>
          <w:rFonts w:eastAsia="Aptos"/>
          <w:szCs w:val="24"/>
        </w:rPr>
        <w:t xml:space="preserve"> in </w:t>
      </w:r>
      <w:r w:rsidR="00AC143D">
        <w:rPr>
          <w:rFonts w:eastAsia="Aptos"/>
          <w:szCs w:val="24"/>
        </w:rPr>
        <w:t xml:space="preserve">the </w:t>
      </w:r>
      <w:r w:rsidR="0022398D" w:rsidRPr="00F362E8">
        <w:rPr>
          <w:rFonts w:eastAsia="Aptos"/>
          <w:szCs w:val="24"/>
        </w:rPr>
        <w:t>overall methodology as valuable parts of the review.</w:t>
      </w:r>
    </w:p>
    <w:p w14:paraId="2C63FB66" w14:textId="1BC70019" w:rsidR="00FD0D2E" w:rsidRDefault="00B633A4" w:rsidP="00AC143D">
      <w:pPr>
        <w:pStyle w:val="enumlev1"/>
        <w:jc w:val="both"/>
        <w:rPr>
          <w:rFonts w:eastAsiaTheme="minorEastAsia"/>
          <w:color w:val="000000" w:themeColor="text1"/>
          <w:szCs w:val="24"/>
          <w:lang w:val="en-US"/>
        </w:rPr>
      </w:pPr>
      <w:r>
        <w:rPr>
          <w:rFonts w:eastAsiaTheme="minorEastAsia"/>
          <w:color w:val="000000" w:themeColor="text1"/>
          <w:szCs w:val="24"/>
          <w:lang w:val="en-US"/>
        </w:rPr>
        <w:t>3</w:t>
      </w:r>
      <w:r w:rsidR="00AC143D">
        <w:rPr>
          <w:rFonts w:eastAsiaTheme="minorEastAsia"/>
          <w:color w:val="000000" w:themeColor="text1"/>
          <w:szCs w:val="24"/>
          <w:lang w:val="en-US"/>
        </w:rPr>
        <w:tab/>
      </w:r>
      <w:r w:rsidR="00FB6575">
        <w:rPr>
          <w:rFonts w:eastAsiaTheme="minorEastAsia"/>
          <w:color w:val="000000" w:themeColor="text1"/>
          <w:szCs w:val="24"/>
          <w:lang w:val="en-US"/>
        </w:rPr>
        <w:t xml:space="preserve">We support the approach of </w:t>
      </w:r>
      <w:r w:rsidR="00462C52">
        <w:rPr>
          <w:rFonts w:eastAsiaTheme="minorEastAsia"/>
          <w:color w:val="000000" w:themeColor="text1"/>
          <w:szCs w:val="24"/>
          <w:lang w:val="en-US"/>
        </w:rPr>
        <w:t>including ITU Membership</w:t>
      </w:r>
      <w:r w:rsidR="001717B0">
        <w:rPr>
          <w:rFonts w:eastAsiaTheme="minorEastAsia"/>
          <w:color w:val="000000" w:themeColor="text1"/>
          <w:szCs w:val="24"/>
          <w:lang w:val="en-US"/>
        </w:rPr>
        <w:t xml:space="preserve"> and other relevant stakeholders in the review process, </w:t>
      </w:r>
      <w:r w:rsidR="001F7BE6">
        <w:rPr>
          <w:rFonts w:eastAsiaTheme="minorEastAsia"/>
          <w:color w:val="000000" w:themeColor="text1"/>
          <w:szCs w:val="24"/>
          <w:lang w:val="en-US"/>
        </w:rPr>
        <w:t xml:space="preserve">especially </w:t>
      </w:r>
      <w:r w:rsidR="00CC4E9C">
        <w:rPr>
          <w:rFonts w:eastAsiaTheme="minorEastAsia"/>
          <w:color w:val="000000" w:themeColor="text1"/>
          <w:szCs w:val="24"/>
          <w:lang w:val="en-US"/>
        </w:rPr>
        <w:t xml:space="preserve">the </w:t>
      </w:r>
      <w:r w:rsidR="00E91752">
        <w:rPr>
          <w:rFonts w:eastAsiaTheme="minorEastAsia"/>
          <w:color w:val="000000" w:themeColor="text1"/>
          <w:szCs w:val="24"/>
          <w:lang w:val="en-US"/>
        </w:rPr>
        <w:t xml:space="preserve">proposal to establish </w:t>
      </w:r>
      <w:r w:rsidR="00CC4E9C">
        <w:rPr>
          <w:rFonts w:eastAsiaTheme="minorEastAsia"/>
          <w:color w:val="000000" w:themeColor="text1"/>
          <w:szCs w:val="24"/>
          <w:lang w:val="en-US"/>
        </w:rPr>
        <w:t xml:space="preserve">a </w:t>
      </w:r>
      <w:r w:rsidR="00E91752">
        <w:rPr>
          <w:rFonts w:eastAsiaTheme="minorEastAsia"/>
          <w:color w:val="000000" w:themeColor="text1"/>
          <w:szCs w:val="24"/>
          <w:lang w:val="en-US"/>
        </w:rPr>
        <w:t>Member States Advisory Group on Regional Presence</w:t>
      </w:r>
      <w:r w:rsidR="00CC4E9C">
        <w:rPr>
          <w:rFonts w:eastAsiaTheme="minorEastAsia"/>
          <w:color w:val="000000" w:themeColor="text1"/>
          <w:szCs w:val="24"/>
          <w:lang w:val="en-US"/>
        </w:rPr>
        <w:t xml:space="preserve">. Such </w:t>
      </w:r>
      <w:r w:rsidR="00FC7990">
        <w:rPr>
          <w:rFonts w:eastAsiaTheme="minorEastAsia"/>
          <w:color w:val="000000" w:themeColor="text1"/>
          <w:szCs w:val="24"/>
          <w:lang w:val="en-US"/>
        </w:rPr>
        <w:t>Advisory G</w:t>
      </w:r>
      <w:r w:rsidR="00CC4E9C">
        <w:rPr>
          <w:rFonts w:eastAsiaTheme="minorEastAsia"/>
          <w:color w:val="000000" w:themeColor="text1"/>
          <w:szCs w:val="24"/>
          <w:lang w:val="en-US"/>
        </w:rPr>
        <w:t xml:space="preserve">roup could have </w:t>
      </w:r>
      <w:r w:rsidR="00FC7990">
        <w:rPr>
          <w:rFonts w:eastAsiaTheme="minorEastAsia"/>
          <w:color w:val="000000" w:themeColor="text1"/>
          <w:szCs w:val="24"/>
          <w:lang w:val="en-US"/>
        </w:rPr>
        <w:t>a</w:t>
      </w:r>
      <w:r w:rsidR="00CC4E9C">
        <w:rPr>
          <w:rFonts w:eastAsiaTheme="minorEastAsia"/>
          <w:color w:val="000000" w:themeColor="text1"/>
          <w:szCs w:val="24"/>
          <w:lang w:val="en-US"/>
        </w:rPr>
        <w:t xml:space="preserve"> role in planning and validation</w:t>
      </w:r>
      <w:r w:rsidR="003B5E29">
        <w:rPr>
          <w:rFonts w:eastAsiaTheme="minorEastAsia"/>
          <w:color w:val="000000" w:themeColor="text1"/>
          <w:szCs w:val="24"/>
          <w:lang w:val="en-US"/>
        </w:rPr>
        <w:t xml:space="preserve"> process</w:t>
      </w:r>
      <w:r w:rsidR="00A4009B">
        <w:rPr>
          <w:rFonts w:eastAsiaTheme="minorEastAsia"/>
          <w:color w:val="000000" w:themeColor="text1"/>
          <w:szCs w:val="24"/>
          <w:lang w:val="en-US"/>
        </w:rPr>
        <w:t>es</w:t>
      </w:r>
      <w:r w:rsidR="003B5E29">
        <w:rPr>
          <w:rFonts w:eastAsiaTheme="minorEastAsia"/>
          <w:color w:val="000000" w:themeColor="text1"/>
          <w:szCs w:val="24"/>
          <w:lang w:val="en-US"/>
        </w:rPr>
        <w:t>, as well as in coordination with</w:t>
      </w:r>
      <w:r w:rsidR="00521140">
        <w:rPr>
          <w:rFonts w:eastAsiaTheme="minorEastAsia"/>
          <w:color w:val="000000" w:themeColor="text1"/>
          <w:szCs w:val="24"/>
          <w:lang w:val="en-US"/>
        </w:rPr>
        <w:t>/within</w:t>
      </w:r>
      <w:r w:rsidR="003B5E29">
        <w:rPr>
          <w:rFonts w:eastAsiaTheme="minorEastAsia"/>
          <w:color w:val="000000" w:themeColor="text1"/>
          <w:szCs w:val="24"/>
          <w:lang w:val="en-US"/>
        </w:rPr>
        <w:t xml:space="preserve"> the regions</w:t>
      </w:r>
      <w:r w:rsidR="00A4009B">
        <w:rPr>
          <w:rFonts w:eastAsiaTheme="minorEastAsia"/>
          <w:color w:val="000000" w:themeColor="text1"/>
          <w:szCs w:val="24"/>
          <w:lang w:val="en-US"/>
        </w:rPr>
        <w:t xml:space="preserve">. </w:t>
      </w:r>
    </w:p>
    <w:p w14:paraId="60063C54" w14:textId="3C5B88F6" w:rsidR="00BB3E8E" w:rsidRDefault="00AC143D" w:rsidP="00AC143D">
      <w:pPr>
        <w:pStyle w:val="enumlev1"/>
        <w:jc w:val="both"/>
        <w:rPr>
          <w:rFonts w:eastAsiaTheme="minorEastAsia"/>
          <w:color w:val="000000" w:themeColor="text1"/>
          <w:szCs w:val="24"/>
          <w:lang w:val="en-US"/>
        </w:rPr>
      </w:pPr>
      <w:r>
        <w:rPr>
          <w:rFonts w:eastAsiaTheme="minorEastAsia"/>
          <w:color w:val="000000" w:themeColor="text1"/>
          <w:szCs w:val="24"/>
          <w:lang w:val="en-US"/>
        </w:rPr>
        <w:tab/>
      </w:r>
      <w:r w:rsidR="00FD0D2E">
        <w:rPr>
          <w:rFonts w:eastAsiaTheme="minorEastAsia"/>
          <w:color w:val="000000" w:themeColor="text1"/>
          <w:szCs w:val="24"/>
          <w:lang w:val="en-US"/>
        </w:rPr>
        <w:t xml:space="preserve">If </w:t>
      </w:r>
      <w:r w:rsidR="005D38FF">
        <w:rPr>
          <w:rFonts w:eastAsiaTheme="minorEastAsia"/>
          <w:color w:val="000000" w:themeColor="text1"/>
          <w:szCs w:val="24"/>
          <w:lang w:val="en-US"/>
        </w:rPr>
        <w:t>the proposal</w:t>
      </w:r>
      <w:r w:rsidR="00FD0D2E">
        <w:rPr>
          <w:rFonts w:eastAsiaTheme="minorEastAsia"/>
          <w:color w:val="000000" w:themeColor="text1"/>
          <w:szCs w:val="24"/>
          <w:lang w:val="en-US"/>
        </w:rPr>
        <w:t xml:space="preserve"> to establish the Advisory Group is approved by </w:t>
      </w:r>
      <w:r w:rsidR="005D38FF">
        <w:rPr>
          <w:rFonts w:eastAsiaTheme="minorEastAsia"/>
          <w:color w:val="000000" w:themeColor="text1"/>
          <w:szCs w:val="24"/>
          <w:lang w:val="en-US"/>
        </w:rPr>
        <w:t>the Council</w:t>
      </w:r>
      <w:r w:rsidR="00FD0D2E">
        <w:rPr>
          <w:rFonts w:eastAsiaTheme="minorEastAsia"/>
          <w:color w:val="000000" w:themeColor="text1"/>
          <w:szCs w:val="24"/>
          <w:lang w:val="en-US"/>
        </w:rPr>
        <w:t xml:space="preserve">, </w:t>
      </w:r>
      <w:r w:rsidR="005D38FF">
        <w:rPr>
          <w:rFonts w:eastAsiaTheme="minorEastAsia"/>
          <w:color w:val="000000" w:themeColor="text1"/>
          <w:szCs w:val="24"/>
          <w:lang w:val="en-US"/>
        </w:rPr>
        <w:t>the Secretariat</w:t>
      </w:r>
      <w:r w:rsidR="00FD0D2E">
        <w:rPr>
          <w:rFonts w:eastAsiaTheme="minorEastAsia"/>
          <w:color w:val="000000" w:themeColor="text1"/>
          <w:szCs w:val="24"/>
          <w:lang w:val="en-US"/>
        </w:rPr>
        <w:t xml:space="preserve"> should immediately issue a call to Regional Telecommunication Organizations (RTOs) to nominate two representatives </w:t>
      </w:r>
      <w:r w:rsidR="00FC7990">
        <w:rPr>
          <w:rFonts w:eastAsiaTheme="minorEastAsia"/>
          <w:color w:val="000000" w:themeColor="text1"/>
          <w:szCs w:val="24"/>
          <w:lang w:val="en-US"/>
        </w:rPr>
        <w:t>per region</w:t>
      </w:r>
      <w:r w:rsidR="00FD0D2E">
        <w:rPr>
          <w:rFonts w:eastAsiaTheme="minorEastAsia"/>
          <w:color w:val="000000" w:themeColor="text1"/>
          <w:szCs w:val="24"/>
          <w:lang w:val="en-US"/>
        </w:rPr>
        <w:t xml:space="preserve"> </w:t>
      </w:r>
      <w:r w:rsidR="009C5CCB">
        <w:rPr>
          <w:rFonts w:eastAsiaTheme="minorEastAsia"/>
          <w:color w:val="000000" w:themeColor="text1"/>
          <w:szCs w:val="24"/>
          <w:lang w:val="en-US"/>
        </w:rPr>
        <w:t>for</w:t>
      </w:r>
      <w:r w:rsidR="006432D9">
        <w:rPr>
          <w:rFonts w:eastAsiaTheme="minorEastAsia"/>
          <w:color w:val="000000" w:themeColor="text1"/>
          <w:szCs w:val="24"/>
          <w:lang w:val="en-US"/>
        </w:rPr>
        <w:t xml:space="preserve"> the Group. </w:t>
      </w:r>
    </w:p>
    <w:p w14:paraId="70B9101A" w14:textId="43A138D2" w:rsidR="00EE474F" w:rsidRDefault="00AC143D" w:rsidP="00AC143D">
      <w:pPr>
        <w:pStyle w:val="enumlev1"/>
        <w:jc w:val="both"/>
        <w:rPr>
          <w:rFonts w:eastAsiaTheme="minorEastAsia"/>
          <w:color w:val="000000" w:themeColor="text1"/>
          <w:szCs w:val="24"/>
          <w:lang w:val="en-US"/>
        </w:rPr>
      </w:pPr>
      <w:r>
        <w:rPr>
          <w:rFonts w:eastAsiaTheme="minorEastAsia"/>
          <w:color w:val="000000" w:themeColor="text1"/>
          <w:szCs w:val="24"/>
          <w:lang w:val="en-US"/>
        </w:rPr>
        <w:tab/>
      </w:r>
      <w:r w:rsidR="006432D9">
        <w:rPr>
          <w:rFonts w:eastAsiaTheme="minorEastAsia"/>
          <w:color w:val="000000" w:themeColor="text1"/>
          <w:szCs w:val="24"/>
          <w:lang w:val="en-US"/>
        </w:rPr>
        <w:t>At its first meeting</w:t>
      </w:r>
      <w:r>
        <w:rPr>
          <w:rFonts w:eastAsiaTheme="minorEastAsia"/>
          <w:color w:val="000000" w:themeColor="text1"/>
          <w:szCs w:val="24"/>
          <w:lang w:val="en-US"/>
        </w:rPr>
        <w:t>,</w:t>
      </w:r>
      <w:r w:rsidR="006432D9">
        <w:rPr>
          <w:rFonts w:eastAsiaTheme="minorEastAsia"/>
          <w:color w:val="000000" w:themeColor="text1"/>
          <w:szCs w:val="24"/>
          <w:lang w:val="en-US"/>
        </w:rPr>
        <w:t xml:space="preserve"> </w:t>
      </w:r>
      <w:r w:rsidR="005D38FF">
        <w:rPr>
          <w:rFonts w:eastAsiaTheme="minorEastAsia"/>
          <w:color w:val="000000" w:themeColor="text1"/>
          <w:szCs w:val="24"/>
          <w:lang w:val="en-US"/>
        </w:rPr>
        <w:t>the Advisory</w:t>
      </w:r>
      <w:r w:rsidR="00FF5FBD">
        <w:rPr>
          <w:rFonts w:eastAsiaTheme="minorEastAsia"/>
          <w:color w:val="000000" w:themeColor="text1"/>
          <w:szCs w:val="24"/>
          <w:lang w:val="en-US"/>
        </w:rPr>
        <w:t xml:space="preserve"> Group could appoint </w:t>
      </w:r>
      <w:r w:rsidR="00F71779">
        <w:rPr>
          <w:rFonts w:eastAsiaTheme="minorEastAsia"/>
          <w:color w:val="000000" w:themeColor="text1"/>
          <w:szCs w:val="24"/>
          <w:lang w:val="en-US"/>
        </w:rPr>
        <w:t xml:space="preserve">the Chair from the members </w:t>
      </w:r>
      <w:r w:rsidR="008864D9">
        <w:rPr>
          <w:rFonts w:eastAsiaTheme="minorEastAsia"/>
          <w:color w:val="000000" w:themeColor="text1"/>
          <w:szCs w:val="24"/>
          <w:lang w:val="en-US"/>
        </w:rPr>
        <w:t>of the Group</w:t>
      </w:r>
      <w:r w:rsidR="00B96A4C">
        <w:rPr>
          <w:rFonts w:eastAsiaTheme="minorEastAsia"/>
          <w:color w:val="000000" w:themeColor="text1"/>
          <w:szCs w:val="24"/>
          <w:lang w:val="en-US"/>
        </w:rPr>
        <w:t>, develop</w:t>
      </w:r>
      <w:r w:rsidR="008864D9">
        <w:rPr>
          <w:rFonts w:eastAsiaTheme="minorEastAsia"/>
          <w:color w:val="000000" w:themeColor="text1"/>
          <w:szCs w:val="24"/>
          <w:lang w:val="en-US"/>
        </w:rPr>
        <w:t xml:space="preserve"> </w:t>
      </w:r>
      <w:r w:rsidR="00F71779">
        <w:rPr>
          <w:rFonts w:eastAsiaTheme="minorEastAsia"/>
          <w:color w:val="000000" w:themeColor="text1"/>
          <w:szCs w:val="24"/>
          <w:lang w:val="en-US"/>
        </w:rPr>
        <w:t>and agree on the Terms of Reference</w:t>
      </w:r>
      <w:r w:rsidR="00B96A4C">
        <w:rPr>
          <w:rFonts w:eastAsiaTheme="minorEastAsia"/>
          <w:color w:val="000000" w:themeColor="text1"/>
          <w:szCs w:val="24"/>
          <w:lang w:val="en-US"/>
        </w:rPr>
        <w:t xml:space="preserve">, specifying the main objectives and modalities of </w:t>
      </w:r>
      <w:r w:rsidR="00351148">
        <w:rPr>
          <w:rFonts w:eastAsiaTheme="minorEastAsia"/>
          <w:color w:val="000000" w:themeColor="text1"/>
          <w:szCs w:val="24"/>
          <w:lang w:val="en-US"/>
        </w:rPr>
        <w:t xml:space="preserve">its </w:t>
      </w:r>
      <w:r w:rsidR="00B96A4C">
        <w:rPr>
          <w:rFonts w:eastAsiaTheme="minorEastAsia"/>
          <w:color w:val="000000" w:themeColor="text1"/>
          <w:szCs w:val="24"/>
          <w:lang w:val="en-US"/>
        </w:rPr>
        <w:t>work</w:t>
      </w:r>
      <w:r w:rsidR="000D4AA5">
        <w:rPr>
          <w:rFonts w:eastAsiaTheme="minorEastAsia"/>
          <w:color w:val="000000" w:themeColor="text1"/>
          <w:szCs w:val="24"/>
          <w:lang w:val="en-US"/>
        </w:rPr>
        <w:t xml:space="preserve">. The Advisory Group should </w:t>
      </w:r>
      <w:r w:rsidR="008A63A7">
        <w:rPr>
          <w:rFonts w:eastAsiaTheme="minorEastAsia"/>
          <w:color w:val="000000" w:themeColor="text1"/>
          <w:szCs w:val="24"/>
          <w:lang w:val="en-US"/>
        </w:rPr>
        <w:t xml:space="preserve">organize its </w:t>
      </w:r>
      <w:r w:rsidR="000D4AA5">
        <w:rPr>
          <w:rFonts w:eastAsiaTheme="minorEastAsia"/>
          <w:color w:val="000000" w:themeColor="text1"/>
          <w:szCs w:val="24"/>
          <w:lang w:val="en-US"/>
        </w:rPr>
        <w:t>meet</w:t>
      </w:r>
      <w:r w:rsidR="008A63A7">
        <w:rPr>
          <w:rFonts w:eastAsiaTheme="minorEastAsia"/>
          <w:color w:val="000000" w:themeColor="text1"/>
          <w:szCs w:val="24"/>
          <w:lang w:val="en-US"/>
        </w:rPr>
        <w:t>ings (remote or physical when possible)</w:t>
      </w:r>
      <w:r w:rsidR="000D4AA5">
        <w:rPr>
          <w:rFonts w:eastAsiaTheme="minorEastAsia"/>
          <w:color w:val="000000" w:themeColor="text1"/>
          <w:szCs w:val="24"/>
          <w:lang w:val="en-US"/>
        </w:rPr>
        <w:t xml:space="preserve"> regularly, depending on the agreed timeline </w:t>
      </w:r>
      <w:r w:rsidR="00351148">
        <w:rPr>
          <w:rFonts w:eastAsiaTheme="minorEastAsia"/>
          <w:color w:val="000000" w:themeColor="text1"/>
          <w:szCs w:val="24"/>
          <w:lang w:val="en-US"/>
        </w:rPr>
        <w:t>of each phase of the regional review.</w:t>
      </w:r>
    </w:p>
    <w:p w14:paraId="439FC009" w14:textId="6F74DD05" w:rsidR="0022398D" w:rsidRDefault="00B633A4" w:rsidP="00AC143D">
      <w:pPr>
        <w:pStyle w:val="enumlev1"/>
        <w:jc w:val="both"/>
        <w:rPr>
          <w:rFonts w:eastAsiaTheme="minorEastAsia"/>
          <w:color w:val="000000" w:themeColor="text1"/>
          <w:szCs w:val="24"/>
          <w:lang w:val="en-US"/>
        </w:rPr>
      </w:pPr>
      <w:r>
        <w:rPr>
          <w:rFonts w:eastAsiaTheme="minorEastAsia"/>
          <w:color w:val="000000" w:themeColor="text1"/>
          <w:szCs w:val="24"/>
          <w:lang w:val="en-US"/>
        </w:rPr>
        <w:t>4</w:t>
      </w:r>
      <w:r w:rsidR="00AC143D">
        <w:rPr>
          <w:rFonts w:eastAsiaTheme="minorEastAsia"/>
          <w:color w:val="000000" w:themeColor="text1"/>
          <w:szCs w:val="24"/>
          <w:lang w:val="en-US"/>
        </w:rPr>
        <w:tab/>
      </w:r>
      <w:r w:rsidR="00AA6D38" w:rsidRPr="00F362E8">
        <w:rPr>
          <w:rFonts w:eastAsiaTheme="minorEastAsia"/>
          <w:color w:val="000000" w:themeColor="text1"/>
          <w:szCs w:val="24"/>
          <w:lang w:val="en-US"/>
        </w:rPr>
        <w:t>Bearing in mind the time limitations</w:t>
      </w:r>
      <w:r w:rsidR="008A63A7">
        <w:rPr>
          <w:rFonts w:eastAsiaTheme="minorEastAsia"/>
          <w:color w:val="000000" w:themeColor="text1"/>
          <w:szCs w:val="24"/>
          <w:lang w:val="en-US"/>
        </w:rPr>
        <w:t xml:space="preserve">, </w:t>
      </w:r>
      <w:r w:rsidR="008A63A7" w:rsidRPr="00AC143D">
        <w:rPr>
          <w:rFonts w:eastAsiaTheme="minorEastAsia"/>
          <w:color w:val="000000" w:themeColor="text1"/>
          <w:szCs w:val="24"/>
          <w:lang w:val="en-US"/>
        </w:rPr>
        <w:t>i.e.</w:t>
      </w:r>
      <w:r w:rsidR="00A61FEF" w:rsidRPr="00F362E8">
        <w:rPr>
          <w:rFonts w:eastAsiaTheme="minorEastAsia"/>
          <w:color w:val="000000" w:themeColor="text1"/>
          <w:szCs w:val="24"/>
          <w:lang w:val="en-US"/>
        </w:rPr>
        <w:t xml:space="preserve"> 11 months </w:t>
      </w:r>
      <w:r w:rsidR="00AA2FED" w:rsidRPr="00F362E8">
        <w:rPr>
          <w:rFonts w:eastAsiaTheme="minorEastAsia"/>
          <w:color w:val="000000" w:themeColor="text1"/>
          <w:szCs w:val="24"/>
          <w:lang w:val="en-US"/>
        </w:rPr>
        <w:t xml:space="preserve">to develop the report, a more </w:t>
      </w:r>
      <w:r w:rsidR="00650C8B" w:rsidRPr="00F362E8">
        <w:rPr>
          <w:rFonts w:eastAsiaTheme="minorEastAsia"/>
          <w:color w:val="000000" w:themeColor="text1"/>
          <w:szCs w:val="24"/>
          <w:lang w:val="en-US"/>
        </w:rPr>
        <w:t xml:space="preserve">detailed timeline for each phase of </w:t>
      </w:r>
      <w:r w:rsidR="00E423FF" w:rsidRPr="00F362E8">
        <w:rPr>
          <w:rFonts w:eastAsiaTheme="minorEastAsia"/>
          <w:color w:val="000000" w:themeColor="text1"/>
          <w:szCs w:val="24"/>
          <w:lang w:val="en-US"/>
        </w:rPr>
        <w:t xml:space="preserve">the </w:t>
      </w:r>
      <w:r w:rsidR="00650C8B" w:rsidRPr="00F362E8">
        <w:rPr>
          <w:rFonts w:eastAsiaTheme="minorEastAsia"/>
          <w:color w:val="000000" w:themeColor="text1"/>
          <w:szCs w:val="24"/>
          <w:lang w:val="en-US"/>
        </w:rPr>
        <w:t xml:space="preserve">review, including </w:t>
      </w:r>
      <w:r w:rsidR="00F73BAB" w:rsidRPr="00F362E8">
        <w:rPr>
          <w:rFonts w:eastAsiaTheme="minorEastAsia"/>
          <w:color w:val="000000" w:themeColor="text1"/>
          <w:szCs w:val="24"/>
          <w:lang w:val="en-US"/>
        </w:rPr>
        <w:t xml:space="preserve">stakeholder consultations and meetings of </w:t>
      </w:r>
      <w:r w:rsidR="00E423FF" w:rsidRPr="00F362E8">
        <w:rPr>
          <w:rFonts w:eastAsiaTheme="minorEastAsia"/>
          <w:color w:val="000000" w:themeColor="text1"/>
          <w:szCs w:val="24"/>
          <w:lang w:val="en-US"/>
        </w:rPr>
        <w:t>Member States Advisory Group, should be develop</w:t>
      </w:r>
      <w:r w:rsidR="00A6327C" w:rsidRPr="00F362E8">
        <w:rPr>
          <w:rFonts w:eastAsiaTheme="minorEastAsia"/>
          <w:color w:val="000000" w:themeColor="text1"/>
          <w:szCs w:val="24"/>
          <w:lang w:val="en-US"/>
        </w:rPr>
        <w:t xml:space="preserve">ed to align with the dates of </w:t>
      </w:r>
      <w:r w:rsidR="00B05980">
        <w:rPr>
          <w:rFonts w:eastAsiaTheme="minorEastAsia"/>
          <w:color w:val="000000" w:themeColor="text1"/>
          <w:szCs w:val="24"/>
          <w:lang w:val="en-US"/>
        </w:rPr>
        <w:t xml:space="preserve">the </w:t>
      </w:r>
      <w:r w:rsidR="00F35A7A" w:rsidRPr="00F362E8">
        <w:rPr>
          <w:rFonts w:eastAsiaTheme="minorEastAsia"/>
          <w:color w:val="000000" w:themeColor="text1"/>
          <w:szCs w:val="24"/>
          <w:lang w:val="en-US"/>
        </w:rPr>
        <w:t xml:space="preserve">Council, </w:t>
      </w:r>
      <w:r w:rsidR="00F35A7A" w:rsidRPr="00F362E8">
        <w:rPr>
          <w:szCs w:val="24"/>
        </w:rPr>
        <w:t xml:space="preserve">Council </w:t>
      </w:r>
      <w:r w:rsidR="00F35A7A" w:rsidRPr="00F362E8">
        <w:rPr>
          <w:spacing w:val="-2"/>
          <w:szCs w:val="24"/>
        </w:rPr>
        <w:t>Working</w:t>
      </w:r>
      <w:r w:rsidR="00F35A7A" w:rsidRPr="00F362E8">
        <w:rPr>
          <w:szCs w:val="24"/>
        </w:rPr>
        <w:t xml:space="preserve"> Groups and Expert Groups</w:t>
      </w:r>
      <w:r w:rsidR="00F362E8" w:rsidRPr="00F362E8">
        <w:rPr>
          <w:rFonts w:eastAsiaTheme="minorEastAsia"/>
          <w:color w:val="000000" w:themeColor="text1"/>
          <w:szCs w:val="24"/>
          <w:lang w:val="en-US"/>
        </w:rPr>
        <w:t xml:space="preserve"> </w:t>
      </w:r>
      <w:r w:rsidR="00F362E8">
        <w:rPr>
          <w:rFonts w:eastAsiaTheme="minorEastAsia"/>
          <w:color w:val="000000" w:themeColor="text1"/>
          <w:szCs w:val="24"/>
          <w:lang w:val="en-US"/>
        </w:rPr>
        <w:t>sessions</w:t>
      </w:r>
      <w:r w:rsidR="00650253">
        <w:rPr>
          <w:rFonts w:eastAsiaTheme="minorEastAsia"/>
          <w:color w:val="000000" w:themeColor="text1"/>
          <w:szCs w:val="24"/>
          <w:lang w:val="en-US"/>
        </w:rPr>
        <w:t>, as well as other meeting</w:t>
      </w:r>
      <w:r w:rsidR="00EE474F">
        <w:rPr>
          <w:rFonts w:eastAsiaTheme="minorEastAsia"/>
          <w:color w:val="000000" w:themeColor="text1"/>
          <w:szCs w:val="24"/>
          <w:lang w:val="en-US"/>
        </w:rPr>
        <w:t>s</w:t>
      </w:r>
      <w:r w:rsidR="00650253">
        <w:rPr>
          <w:rFonts w:eastAsiaTheme="minorEastAsia"/>
          <w:color w:val="000000" w:themeColor="text1"/>
          <w:szCs w:val="24"/>
          <w:lang w:val="en-US"/>
        </w:rPr>
        <w:t xml:space="preserve"> of ITU</w:t>
      </w:r>
      <w:r w:rsidR="007D4B03">
        <w:rPr>
          <w:rFonts w:eastAsiaTheme="minorEastAsia"/>
          <w:color w:val="000000" w:themeColor="text1"/>
          <w:szCs w:val="24"/>
          <w:lang w:val="en-US"/>
        </w:rPr>
        <w:t>.</w:t>
      </w:r>
    </w:p>
    <w:p w14:paraId="19E4327E" w14:textId="21C82C92" w:rsidR="001A4DF3" w:rsidRPr="00F362E8" w:rsidRDefault="00B633A4" w:rsidP="00AC143D">
      <w:pPr>
        <w:pStyle w:val="enumlev1"/>
        <w:jc w:val="both"/>
        <w:rPr>
          <w:rFonts w:eastAsiaTheme="minorEastAsia"/>
          <w:color w:val="000000" w:themeColor="text1"/>
          <w:szCs w:val="24"/>
          <w:lang w:val="en-US"/>
        </w:rPr>
      </w:pPr>
      <w:r>
        <w:rPr>
          <w:rFonts w:eastAsiaTheme="minorEastAsia"/>
          <w:color w:val="000000" w:themeColor="text1"/>
          <w:szCs w:val="24"/>
          <w:lang w:val="en-US"/>
        </w:rPr>
        <w:t>5</w:t>
      </w:r>
      <w:r w:rsidR="00AC143D">
        <w:rPr>
          <w:rFonts w:eastAsiaTheme="minorEastAsia"/>
          <w:color w:val="000000" w:themeColor="text1"/>
          <w:szCs w:val="24"/>
          <w:lang w:val="en-US"/>
        </w:rPr>
        <w:tab/>
      </w:r>
      <w:r w:rsidR="001A4DF3">
        <w:rPr>
          <w:rFonts w:eastAsiaTheme="minorEastAsia"/>
          <w:color w:val="000000" w:themeColor="text1"/>
          <w:szCs w:val="24"/>
          <w:lang w:val="en-US"/>
        </w:rPr>
        <w:t>In terms of clarity</w:t>
      </w:r>
      <w:r w:rsidR="00B05980">
        <w:rPr>
          <w:rFonts w:eastAsiaTheme="minorEastAsia"/>
          <w:color w:val="000000" w:themeColor="text1"/>
          <w:szCs w:val="24"/>
          <w:lang w:val="en-US"/>
        </w:rPr>
        <w:t>,</w:t>
      </w:r>
      <w:r w:rsidR="00A97D12">
        <w:rPr>
          <w:rFonts w:eastAsiaTheme="minorEastAsia"/>
          <w:color w:val="000000" w:themeColor="text1"/>
          <w:szCs w:val="24"/>
          <w:lang w:val="en-US"/>
        </w:rPr>
        <w:t xml:space="preserve"> a more specific description of </w:t>
      </w:r>
      <w:r w:rsidR="005D38FF">
        <w:rPr>
          <w:rFonts w:eastAsiaTheme="minorEastAsia"/>
          <w:color w:val="000000" w:themeColor="text1"/>
          <w:szCs w:val="24"/>
          <w:lang w:val="en-US"/>
        </w:rPr>
        <w:t>the validation</w:t>
      </w:r>
      <w:r w:rsidR="00A97D12">
        <w:rPr>
          <w:rFonts w:eastAsiaTheme="minorEastAsia"/>
          <w:color w:val="000000" w:themeColor="text1"/>
          <w:szCs w:val="24"/>
          <w:lang w:val="en-US"/>
        </w:rPr>
        <w:t xml:space="preserve"> process should </w:t>
      </w:r>
      <w:r w:rsidR="00B05980">
        <w:rPr>
          <w:rFonts w:eastAsiaTheme="minorEastAsia"/>
          <w:color w:val="000000" w:themeColor="text1"/>
          <w:szCs w:val="24"/>
          <w:lang w:val="en-US"/>
        </w:rPr>
        <w:t>be developed.</w:t>
      </w:r>
    </w:p>
    <w:p w14:paraId="56FED7C2" w14:textId="77777777" w:rsidR="00715767" w:rsidRPr="00715767" w:rsidRDefault="00715767" w:rsidP="00E3499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4"/>
        </w:rPr>
      </w:pPr>
    </w:p>
    <w:p w14:paraId="35C6D0A5" w14:textId="77777777" w:rsidR="007A3FCD" w:rsidRPr="00C0458D" w:rsidRDefault="007A3FCD" w:rsidP="007A3FCD">
      <w:pPr>
        <w:jc w:val="center"/>
      </w:pPr>
      <w:r>
        <w:t>______________</w:t>
      </w:r>
    </w:p>
    <w:sectPr w:rsidR="007A3FCD" w:rsidRPr="00C0458D" w:rsidSect="00AD3606">
      <w:footerReference w:type="default" r:id="rId12"/>
      <w:headerReference w:type="first" r:id="rId13"/>
      <w:footerReference w:type="first" r:id="rId14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C66E6" w14:textId="77777777" w:rsidR="00F30D27" w:rsidRDefault="00F30D27">
      <w:r>
        <w:separator/>
      </w:r>
    </w:p>
  </w:endnote>
  <w:endnote w:type="continuationSeparator" w:id="0">
    <w:p w14:paraId="4595979B" w14:textId="77777777" w:rsidR="00F30D27" w:rsidRDefault="00F3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7F9D2920" w14:textId="77777777" w:rsidTr="0042469C">
      <w:trPr>
        <w:jc w:val="center"/>
      </w:trPr>
      <w:tc>
        <w:tcPr>
          <w:tcW w:w="1803" w:type="dxa"/>
          <w:vAlign w:val="center"/>
        </w:tcPr>
        <w:p w14:paraId="5B3DDD9A" w14:textId="77777777" w:rsidR="00EE49E8" w:rsidRDefault="00C6520B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6F6B3A01" w14:textId="5BF9EE1F" w:rsidR="00EE49E8" w:rsidRPr="00E06FD5" w:rsidRDefault="00EE49E8" w:rsidP="000745AB">
          <w:pPr>
            <w:pStyle w:val="Header"/>
            <w:tabs>
              <w:tab w:val="left" w:pos="616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C6520B">
            <w:rPr>
              <w:bCs/>
            </w:rPr>
            <w:t>5</w:t>
          </w:r>
          <w:r w:rsidRPr="00623AE3">
            <w:rPr>
              <w:bCs/>
            </w:rPr>
            <w:t>/</w:t>
          </w:r>
          <w:r w:rsidR="00407953">
            <w:rPr>
              <w:bCs/>
            </w:rPr>
            <w:t>94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B3FBF10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10B15790" w14:textId="77777777" w:rsidTr="006B77F1">
      <w:trPr>
        <w:jc w:val="center"/>
      </w:trPr>
      <w:tc>
        <w:tcPr>
          <w:tcW w:w="1803" w:type="dxa"/>
          <w:vAlign w:val="center"/>
        </w:tcPr>
        <w:p w14:paraId="1D4130C1" w14:textId="77777777" w:rsidR="00EE49E8" w:rsidRPr="006B77F1" w:rsidRDefault="00BF1FD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6B77F1">
              <w:rPr>
                <w:rStyle w:val="Hyperlink"/>
                <w:u w:val="none"/>
              </w:rPr>
              <w:t>council.itu.int/2025</w:t>
            </w:r>
          </w:hyperlink>
        </w:p>
      </w:tc>
      <w:tc>
        <w:tcPr>
          <w:tcW w:w="8261" w:type="dxa"/>
        </w:tcPr>
        <w:p w14:paraId="68F817AE" w14:textId="46FEB543" w:rsidR="00EE49E8" w:rsidRPr="00E06FD5" w:rsidRDefault="00EE49E8" w:rsidP="000745AB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F1FDE">
            <w:rPr>
              <w:bCs/>
            </w:rPr>
            <w:t>5</w:t>
          </w:r>
          <w:r w:rsidRPr="00623AE3">
            <w:rPr>
              <w:bCs/>
            </w:rPr>
            <w:t>/</w:t>
          </w:r>
          <w:r w:rsidR="00407953">
            <w:rPr>
              <w:bCs/>
            </w:rPr>
            <w:t>94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E78F19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52947" w14:textId="77777777" w:rsidR="00F30D27" w:rsidRDefault="00F30D27">
      <w:r>
        <w:t>____________________</w:t>
      </w:r>
    </w:p>
  </w:footnote>
  <w:footnote w:type="continuationSeparator" w:id="0">
    <w:p w14:paraId="50ADA81F" w14:textId="77777777" w:rsidR="00F30D27" w:rsidRDefault="00F3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8"/>
      <w:gridCol w:w="4022"/>
    </w:tblGrid>
    <w:tr w:rsidR="00AD3606" w:rsidRPr="00784011" w14:paraId="34A86D35" w14:textId="77777777" w:rsidTr="00C91CFC">
      <w:trPr>
        <w:trHeight w:val="1104"/>
        <w:jc w:val="center"/>
      </w:trPr>
      <w:tc>
        <w:tcPr>
          <w:tcW w:w="4390" w:type="dxa"/>
          <w:vAlign w:val="center"/>
        </w:tcPr>
        <w:p w14:paraId="5AD45E6C" w14:textId="77777777" w:rsidR="00AD3606" w:rsidRPr="009621F8" w:rsidRDefault="003936D3" w:rsidP="00CF4A2B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1" w:name="_Hlk133422111"/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313B81B2" wp14:editId="52EB5A23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20374029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2A52018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3CCD8DE" w14:textId="77777777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3C724958" w14:textId="77777777" w:rsidR="00AD3606" w:rsidRDefault="00AD3606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EDCDB4" wp14:editId="1542E4D0">
              <wp:simplePos x="0" y="0"/>
              <wp:positionH relativeFrom="page">
                <wp:posOffset>3810</wp:posOffset>
              </wp:positionH>
              <wp:positionV relativeFrom="topMargin">
                <wp:posOffset>601122</wp:posOffset>
              </wp:positionV>
              <wp:extent cx="108000" cy="396000"/>
              <wp:effectExtent l="0" t="0" r="6350" b="444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00" cy="3960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F5DDEC" id="Rectangle 5" o:spid="_x0000_s1026" style="position:absolute;margin-left:.3pt;margin-top:47.35pt;width:8.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F8"/>
    <w:rsid w:val="000004F5"/>
    <w:rsid w:val="00004E3F"/>
    <w:rsid w:val="000210D4"/>
    <w:rsid w:val="000514D7"/>
    <w:rsid w:val="0006007D"/>
    <w:rsid w:val="00063016"/>
    <w:rsid w:val="00065ACD"/>
    <w:rsid w:val="00066795"/>
    <w:rsid w:val="000745AB"/>
    <w:rsid w:val="00076AF6"/>
    <w:rsid w:val="00085CF2"/>
    <w:rsid w:val="00096CD6"/>
    <w:rsid w:val="00097FD8"/>
    <w:rsid w:val="000B1705"/>
    <w:rsid w:val="000B50C9"/>
    <w:rsid w:val="000D4AA5"/>
    <w:rsid w:val="000D75B2"/>
    <w:rsid w:val="000E3F7E"/>
    <w:rsid w:val="000F5DDB"/>
    <w:rsid w:val="000F7289"/>
    <w:rsid w:val="00106B85"/>
    <w:rsid w:val="001121F5"/>
    <w:rsid w:val="001400DC"/>
    <w:rsid w:val="00140CE1"/>
    <w:rsid w:val="00142B39"/>
    <w:rsid w:val="00146783"/>
    <w:rsid w:val="00147028"/>
    <w:rsid w:val="0016348C"/>
    <w:rsid w:val="001657F1"/>
    <w:rsid w:val="00165915"/>
    <w:rsid w:val="001717B0"/>
    <w:rsid w:val="0017539C"/>
    <w:rsid w:val="00175AC2"/>
    <w:rsid w:val="0017609F"/>
    <w:rsid w:val="001A3154"/>
    <w:rsid w:val="001A4DF3"/>
    <w:rsid w:val="001A7D1D"/>
    <w:rsid w:val="001B5004"/>
    <w:rsid w:val="001B51DD"/>
    <w:rsid w:val="001B6343"/>
    <w:rsid w:val="001C628E"/>
    <w:rsid w:val="001E0ED6"/>
    <w:rsid w:val="001E0F7B"/>
    <w:rsid w:val="001E0F8C"/>
    <w:rsid w:val="001E3781"/>
    <w:rsid w:val="001F1F07"/>
    <w:rsid w:val="001F5569"/>
    <w:rsid w:val="001F7BE6"/>
    <w:rsid w:val="0020438B"/>
    <w:rsid w:val="00207AB7"/>
    <w:rsid w:val="002119FD"/>
    <w:rsid w:val="002130E0"/>
    <w:rsid w:val="0021550D"/>
    <w:rsid w:val="00221F46"/>
    <w:rsid w:val="0022398D"/>
    <w:rsid w:val="00240B32"/>
    <w:rsid w:val="00242A81"/>
    <w:rsid w:val="00253185"/>
    <w:rsid w:val="00260FA0"/>
    <w:rsid w:val="00264425"/>
    <w:rsid w:val="00265875"/>
    <w:rsid w:val="00267C2D"/>
    <w:rsid w:val="00271E9F"/>
    <w:rsid w:val="0027303B"/>
    <w:rsid w:val="0028109B"/>
    <w:rsid w:val="00292BD8"/>
    <w:rsid w:val="002A004D"/>
    <w:rsid w:val="002A2188"/>
    <w:rsid w:val="002B1F58"/>
    <w:rsid w:val="002C1C7A"/>
    <w:rsid w:val="002C54E2"/>
    <w:rsid w:val="002E026C"/>
    <w:rsid w:val="002F5F61"/>
    <w:rsid w:val="0030160F"/>
    <w:rsid w:val="0030463D"/>
    <w:rsid w:val="00317149"/>
    <w:rsid w:val="00320223"/>
    <w:rsid w:val="00322D0D"/>
    <w:rsid w:val="003247A1"/>
    <w:rsid w:val="00331416"/>
    <w:rsid w:val="00334A2B"/>
    <w:rsid w:val="00344355"/>
    <w:rsid w:val="003507DB"/>
    <w:rsid w:val="00351148"/>
    <w:rsid w:val="00361465"/>
    <w:rsid w:val="003646ED"/>
    <w:rsid w:val="00384C5A"/>
    <w:rsid w:val="003877F5"/>
    <w:rsid w:val="003936D3"/>
    <w:rsid w:val="003942D4"/>
    <w:rsid w:val="003958A8"/>
    <w:rsid w:val="0039593C"/>
    <w:rsid w:val="003975DB"/>
    <w:rsid w:val="003A6C08"/>
    <w:rsid w:val="003A6E70"/>
    <w:rsid w:val="003B29C2"/>
    <w:rsid w:val="003B5E29"/>
    <w:rsid w:val="003C2533"/>
    <w:rsid w:val="003D2199"/>
    <w:rsid w:val="003D5A7F"/>
    <w:rsid w:val="0040435A"/>
    <w:rsid w:val="00405158"/>
    <w:rsid w:val="00407953"/>
    <w:rsid w:val="00416A24"/>
    <w:rsid w:val="00427BFF"/>
    <w:rsid w:val="00431D9E"/>
    <w:rsid w:val="00433CE8"/>
    <w:rsid w:val="00434A5C"/>
    <w:rsid w:val="00453079"/>
    <w:rsid w:val="004544D9"/>
    <w:rsid w:val="00456DAA"/>
    <w:rsid w:val="00462C52"/>
    <w:rsid w:val="00472BAD"/>
    <w:rsid w:val="004811F8"/>
    <w:rsid w:val="00484009"/>
    <w:rsid w:val="00490E72"/>
    <w:rsid w:val="00491157"/>
    <w:rsid w:val="00491BA9"/>
    <w:rsid w:val="004921C8"/>
    <w:rsid w:val="00495B0B"/>
    <w:rsid w:val="004A12C8"/>
    <w:rsid w:val="004A1B8B"/>
    <w:rsid w:val="004B25A1"/>
    <w:rsid w:val="004D1851"/>
    <w:rsid w:val="004D599D"/>
    <w:rsid w:val="004E2EA5"/>
    <w:rsid w:val="004E3AEB"/>
    <w:rsid w:val="004F4279"/>
    <w:rsid w:val="0050223C"/>
    <w:rsid w:val="00520896"/>
    <w:rsid w:val="00521140"/>
    <w:rsid w:val="005243FF"/>
    <w:rsid w:val="005426D3"/>
    <w:rsid w:val="0055402C"/>
    <w:rsid w:val="00562286"/>
    <w:rsid w:val="00564FBC"/>
    <w:rsid w:val="005800BC"/>
    <w:rsid w:val="00580DF5"/>
    <w:rsid w:val="00582442"/>
    <w:rsid w:val="00593C43"/>
    <w:rsid w:val="005D38FF"/>
    <w:rsid w:val="005F3269"/>
    <w:rsid w:val="00606647"/>
    <w:rsid w:val="00611729"/>
    <w:rsid w:val="0062204E"/>
    <w:rsid w:val="00623AE3"/>
    <w:rsid w:val="00625D7F"/>
    <w:rsid w:val="00630C4D"/>
    <w:rsid w:val="0063237F"/>
    <w:rsid w:val="00633612"/>
    <w:rsid w:val="006432D9"/>
    <w:rsid w:val="00644EC6"/>
    <w:rsid w:val="0064737F"/>
    <w:rsid w:val="00650253"/>
    <w:rsid w:val="00650C8B"/>
    <w:rsid w:val="006535F1"/>
    <w:rsid w:val="0065557D"/>
    <w:rsid w:val="00660D50"/>
    <w:rsid w:val="00662984"/>
    <w:rsid w:val="00665562"/>
    <w:rsid w:val="006716BB"/>
    <w:rsid w:val="00672ACE"/>
    <w:rsid w:val="00686ABE"/>
    <w:rsid w:val="006B1859"/>
    <w:rsid w:val="006B6680"/>
    <w:rsid w:val="006B6DCC"/>
    <w:rsid w:val="006B77F1"/>
    <w:rsid w:val="006C4D50"/>
    <w:rsid w:val="006C5ECF"/>
    <w:rsid w:val="006F0311"/>
    <w:rsid w:val="00701D37"/>
    <w:rsid w:val="00702DEF"/>
    <w:rsid w:val="00706861"/>
    <w:rsid w:val="00715767"/>
    <w:rsid w:val="00722551"/>
    <w:rsid w:val="007249F0"/>
    <w:rsid w:val="007364C3"/>
    <w:rsid w:val="0075051B"/>
    <w:rsid w:val="007542B8"/>
    <w:rsid w:val="0076158F"/>
    <w:rsid w:val="00761A90"/>
    <w:rsid w:val="007673E2"/>
    <w:rsid w:val="0077110E"/>
    <w:rsid w:val="00793188"/>
    <w:rsid w:val="00793763"/>
    <w:rsid w:val="00794D34"/>
    <w:rsid w:val="007A3FCD"/>
    <w:rsid w:val="007B19CF"/>
    <w:rsid w:val="007D01AF"/>
    <w:rsid w:val="007D4A24"/>
    <w:rsid w:val="007D4B03"/>
    <w:rsid w:val="007D5D80"/>
    <w:rsid w:val="007E4BFD"/>
    <w:rsid w:val="00807D43"/>
    <w:rsid w:val="00813E5E"/>
    <w:rsid w:val="00830620"/>
    <w:rsid w:val="0083581B"/>
    <w:rsid w:val="008449AA"/>
    <w:rsid w:val="00863874"/>
    <w:rsid w:val="00864AFF"/>
    <w:rsid w:val="00865925"/>
    <w:rsid w:val="008864D9"/>
    <w:rsid w:val="008A63A7"/>
    <w:rsid w:val="008B4A6A"/>
    <w:rsid w:val="008B7E10"/>
    <w:rsid w:val="008C7E27"/>
    <w:rsid w:val="008D1CD5"/>
    <w:rsid w:val="008F2E39"/>
    <w:rsid w:val="008F7448"/>
    <w:rsid w:val="0090147A"/>
    <w:rsid w:val="009173EF"/>
    <w:rsid w:val="00932906"/>
    <w:rsid w:val="00945CC6"/>
    <w:rsid w:val="00961B0B"/>
    <w:rsid w:val="00962D33"/>
    <w:rsid w:val="009A24D3"/>
    <w:rsid w:val="009B0D8E"/>
    <w:rsid w:val="009B38C3"/>
    <w:rsid w:val="009C0EA6"/>
    <w:rsid w:val="009C3BF1"/>
    <w:rsid w:val="009C5CCB"/>
    <w:rsid w:val="009D7DCD"/>
    <w:rsid w:val="009E0C8A"/>
    <w:rsid w:val="009E17BD"/>
    <w:rsid w:val="009E42FD"/>
    <w:rsid w:val="009E485A"/>
    <w:rsid w:val="00A04CEC"/>
    <w:rsid w:val="00A17AA4"/>
    <w:rsid w:val="00A2197C"/>
    <w:rsid w:val="00A23D3D"/>
    <w:rsid w:val="00A24052"/>
    <w:rsid w:val="00A27F92"/>
    <w:rsid w:val="00A32257"/>
    <w:rsid w:val="00A36D20"/>
    <w:rsid w:val="00A4009B"/>
    <w:rsid w:val="00A41917"/>
    <w:rsid w:val="00A43895"/>
    <w:rsid w:val="00A4725E"/>
    <w:rsid w:val="00A514A4"/>
    <w:rsid w:val="00A55622"/>
    <w:rsid w:val="00A6190B"/>
    <w:rsid w:val="00A61FEF"/>
    <w:rsid w:val="00A6327C"/>
    <w:rsid w:val="00A72100"/>
    <w:rsid w:val="00A827C4"/>
    <w:rsid w:val="00A83502"/>
    <w:rsid w:val="00A877CE"/>
    <w:rsid w:val="00A903BA"/>
    <w:rsid w:val="00A94BAB"/>
    <w:rsid w:val="00A97D12"/>
    <w:rsid w:val="00AA2FED"/>
    <w:rsid w:val="00AA6D38"/>
    <w:rsid w:val="00AB177C"/>
    <w:rsid w:val="00AC143D"/>
    <w:rsid w:val="00AD15B3"/>
    <w:rsid w:val="00AD3606"/>
    <w:rsid w:val="00AD4A3D"/>
    <w:rsid w:val="00AD677D"/>
    <w:rsid w:val="00AF6E49"/>
    <w:rsid w:val="00B04A67"/>
    <w:rsid w:val="00B0583C"/>
    <w:rsid w:val="00B05980"/>
    <w:rsid w:val="00B22384"/>
    <w:rsid w:val="00B26663"/>
    <w:rsid w:val="00B32529"/>
    <w:rsid w:val="00B35F2F"/>
    <w:rsid w:val="00B40A81"/>
    <w:rsid w:val="00B44910"/>
    <w:rsid w:val="00B45899"/>
    <w:rsid w:val="00B45E7A"/>
    <w:rsid w:val="00B518E3"/>
    <w:rsid w:val="00B633A4"/>
    <w:rsid w:val="00B636D6"/>
    <w:rsid w:val="00B72267"/>
    <w:rsid w:val="00B76EB6"/>
    <w:rsid w:val="00B7737B"/>
    <w:rsid w:val="00B824C8"/>
    <w:rsid w:val="00B84B9D"/>
    <w:rsid w:val="00B9131F"/>
    <w:rsid w:val="00B96A4C"/>
    <w:rsid w:val="00BB0646"/>
    <w:rsid w:val="00BB3E8E"/>
    <w:rsid w:val="00BB7908"/>
    <w:rsid w:val="00BB7D35"/>
    <w:rsid w:val="00BC0E26"/>
    <w:rsid w:val="00BC251A"/>
    <w:rsid w:val="00BC79E7"/>
    <w:rsid w:val="00BD032B"/>
    <w:rsid w:val="00BE01C6"/>
    <w:rsid w:val="00BE2640"/>
    <w:rsid w:val="00BF1FDE"/>
    <w:rsid w:val="00C01189"/>
    <w:rsid w:val="00C0458D"/>
    <w:rsid w:val="00C16B28"/>
    <w:rsid w:val="00C31691"/>
    <w:rsid w:val="00C3334F"/>
    <w:rsid w:val="00C34151"/>
    <w:rsid w:val="00C374DE"/>
    <w:rsid w:val="00C407A0"/>
    <w:rsid w:val="00C47AD4"/>
    <w:rsid w:val="00C528C4"/>
    <w:rsid w:val="00C52D81"/>
    <w:rsid w:val="00C55198"/>
    <w:rsid w:val="00C5565C"/>
    <w:rsid w:val="00C6393E"/>
    <w:rsid w:val="00C6520B"/>
    <w:rsid w:val="00C8231B"/>
    <w:rsid w:val="00C96179"/>
    <w:rsid w:val="00CA6393"/>
    <w:rsid w:val="00CA7995"/>
    <w:rsid w:val="00CB18FF"/>
    <w:rsid w:val="00CB3A44"/>
    <w:rsid w:val="00CC0373"/>
    <w:rsid w:val="00CC4E9C"/>
    <w:rsid w:val="00CD0C08"/>
    <w:rsid w:val="00CD1E1E"/>
    <w:rsid w:val="00CE03FB"/>
    <w:rsid w:val="00CE1016"/>
    <w:rsid w:val="00CE433C"/>
    <w:rsid w:val="00CF0161"/>
    <w:rsid w:val="00CF02AE"/>
    <w:rsid w:val="00CF33F3"/>
    <w:rsid w:val="00CF4A2B"/>
    <w:rsid w:val="00D024CA"/>
    <w:rsid w:val="00D06183"/>
    <w:rsid w:val="00D1083D"/>
    <w:rsid w:val="00D22C42"/>
    <w:rsid w:val="00D246B3"/>
    <w:rsid w:val="00D3234A"/>
    <w:rsid w:val="00D54E17"/>
    <w:rsid w:val="00D61EB1"/>
    <w:rsid w:val="00D65041"/>
    <w:rsid w:val="00D9610E"/>
    <w:rsid w:val="00DA4E43"/>
    <w:rsid w:val="00DB1936"/>
    <w:rsid w:val="00DB384B"/>
    <w:rsid w:val="00DB3C55"/>
    <w:rsid w:val="00DC6E42"/>
    <w:rsid w:val="00DD0D14"/>
    <w:rsid w:val="00DD11ED"/>
    <w:rsid w:val="00DE70C9"/>
    <w:rsid w:val="00DF0189"/>
    <w:rsid w:val="00DF26C9"/>
    <w:rsid w:val="00E06FD5"/>
    <w:rsid w:val="00E10E80"/>
    <w:rsid w:val="00E124F0"/>
    <w:rsid w:val="00E17E22"/>
    <w:rsid w:val="00E227F3"/>
    <w:rsid w:val="00E3499B"/>
    <w:rsid w:val="00E423FF"/>
    <w:rsid w:val="00E545C6"/>
    <w:rsid w:val="00E54F80"/>
    <w:rsid w:val="00E60F04"/>
    <w:rsid w:val="00E65B24"/>
    <w:rsid w:val="00E7521D"/>
    <w:rsid w:val="00E854E4"/>
    <w:rsid w:val="00E86DBF"/>
    <w:rsid w:val="00E91752"/>
    <w:rsid w:val="00E920DE"/>
    <w:rsid w:val="00E945E9"/>
    <w:rsid w:val="00E969AF"/>
    <w:rsid w:val="00EA60AF"/>
    <w:rsid w:val="00EB0D6F"/>
    <w:rsid w:val="00EB2232"/>
    <w:rsid w:val="00EC4343"/>
    <w:rsid w:val="00EC5337"/>
    <w:rsid w:val="00ED1E89"/>
    <w:rsid w:val="00EE474F"/>
    <w:rsid w:val="00EE49E8"/>
    <w:rsid w:val="00F13CE5"/>
    <w:rsid w:val="00F15BEE"/>
    <w:rsid w:val="00F16BAB"/>
    <w:rsid w:val="00F2150A"/>
    <w:rsid w:val="00F231D8"/>
    <w:rsid w:val="00F30D27"/>
    <w:rsid w:val="00F35A7A"/>
    <w:rsid w:val="00F362E8"/>
    <w:rsid w:val="00F41209"/>
    <w:rsid w:val="00F44C00"/>
    <w:rsid w:val="00F45D2C"/>
    <w:rsid w:val="00F46C5F"/>
    <w:rsid w:val="00F632C0"/>
    <w:rsid w:val="00F641E1"/>
    <w:rsid w:val="00F71779"/>
    <w:rsid w:val="00F73BAB"/>
    <w:rsid w:val="00F825A6"/>
    <w:rsid w:val="00F827A1"/>
    <w:rsid w:val="00F94A63"/>
    <w:rsid w:val="00FA1C28"/>
    <w:rsid w:val="00FB1279"/>
    <w:rsid w:val="00FB41A5"/>
    <w:rsid w:val="00FB6575"/>
    <w:rsid w:val="00FB6B76"/>
    <w:rsid w:val="00FB7596"/>
    <w:rsid w:val="00FC7990"/>
    <w:rsid w:val="00FD0D2E"/>
    <w:rsid w:val="00FE2A17"/>
    <w:rsid w:val="00FE4077"/>
    <w:rsid w:val="00FE500D"/>
    <w:rsid w:val="00FE77D2"/>
    <w:rsid w:val="00FF39B1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3A048E5"/>
  <w15:docId w15:val="{095992CB-951E-46F8-828A-E2188A25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0F7289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ListParagraph">
    <w:name w:val="List Paragraph"/>
    <w:basedOn w:val="Normal"/>
    <w:uiPriority w:val="34"/>
    <w:qFormat/>
    <w:rsid w:val="00715767"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00EC4343"/>
    <w:rPr>
      <w:rFonts w:ascii="CG Times" w:eastAsia="Times New Roman" w:hAnsi="CG Time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050/e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meetingdoc.asp?lang=en&amp;parent=S25-CL-C-006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S25-CL-C-0050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meetingdoc.asp?lang=en&amp;parent=S25-CL-C-0069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579</Words>
  <Characters>3547</Characters>
  <Application>Microsoft Office Word</Application>
  <DocSecurity>0</DocSecurity>
  <Lines>77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ITU regional presence</vt:lpstr>
    </vt:vector>
  </TitlesOfParts>
  <Manager>General Secretariat</Manager>
  <Company>International Telecommunication Union (ITU)</Company>
  <LinksUpToDate>false</LinksUpToDate>
  <CharactersWithSpaces>4094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ITU regional presence</dc:title>
  <dc:subject>ITU Council 2025</dc:subject>
  <cp:keywords>C25; C2025; Council 2025; ITU160</cp:keywords>
  <dc:description/>
  <cp:lastPrinted>2000-07-18T13:30:00Z</cp:lastPrinted>
  <dcterms:created xsi:type="dcterms:W3CDTF">2025-06-04T08:15:00Z</dcterms:created>
  <dcterms:modified xsi:type="dcterms:W3CDTF">2025-06-04T16:04:00Z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</Properties>
</file>