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4A0" w:firstRow="1" w:lastRow="0" w:firstColumn="1" w:lastColumn="0" w:noHBand="0" w:noVBand="1"/>
      </w:tblPr>
      <w:tblGrid>
        <w:gridCol w:w="3969"/>
        <w:gridCol w:w="5245"/>
      </w:tblGrid>
      <w:tr w:rsidR="00124727" w:rsidRPr="000A5BD7" w14:paraId="4B85F2A9" w14:textId="77777777">
        <w:trPr>
          <w:cantSplit/>
          <w:trHeight w:val="23"/>
        </w:trPr>
        <w:tc>
          <w:tcPr>
            <w:tcW w:w="3969" w:type="dxa"/>
            <w:vMerge w:val="restart"/>
            <w:tcMar>
              <w:left w:w="0" w:type="dxa"/>
            </w:tcMar>
          </w:tcPr>
          <w:p w14:paraId="020A98CF" w14:textId="7F3C7E86" w:rsidR="00124727" w:rsidRPr="000A5BD7" w:rsidRDefault="00DB54AA">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2370"/>
            <w:bookmarkStart w:id="4" w:name="_Hlk133421856"/>
            <w:bookmarkStart w:id="5" w:name="_Hlk133586559"/>
            <w:r w:rsidRPr="000A5BD7">
              <w:rPr>
                <w:b/>
              </w:rPr>
              <w:t xml:space="preserve">Agenda item: </w:t>
            </w:r>
            <w:r w:rsidR="00EF2CFE" w:rsidRPr="000A5BD7">
              <w:rPr>
                <w:b/>
              </w:rPr>
              <w:t>ADM 1</w:t>
            </w:r>
          </w:p>
        </w:tc>
        <w:tc>
          <w:tcPr>
            <w:tcW w:w="5245" w:type="dxa"/>
          </w:tcPr>
          <w:p w14:paraId="6B94EE46" w14:textId="21D7D765" w:rsidR="00124727" w:rsidRPr="000A5BD7" w:rsidRDefault="00DB54AA">
            <w:pPr>
              <w:tabs>
                <w:tab w:val="left" w:pos="851"/>
              </w:tabs>
              <w:spacing w:before="0" w:line="240" w:lineRule="atLeast"/>
              <w:jc w:val="right"/>
              <w:rPr>
                <w:b/>
              </w:rPr>
            </w:pPr>
            <w:r w:rsidRPr="000A5BD7">
              <w:rPr>
                <w:b/>
              </w:rPr>
              <w:t xml:space="preserve">Document </w:t>
            </w:r>
            <w:proofErr w:type="spellStart"/>
            <w:r w:rsidRPr="000A5BD7">
              <w:rPr>
                <w:b/>
              </w:rPr>
              <w:t>C25</w:t>
            </w:r>
            <w:proofErr w:type="spellEnd"/>
            <w:r w:rsidRPr="000A5BD7">
              <w:rPr>
                <w:b/>
              </w:rPr>
              <w:t>/</w:t>
            </w:r>
            <w:r w:rsidR="00EF2CFE" w:rsidRPr="000A5BD7">
              <w:rPr>
                <w:b/>
              </w:rPr>
              <w:t>93</w:t>
            </w:r>
            <w:r w:rsidRPr="000A5BD7">
              <w:rPr>
                <w:b/>
              </w:rPr>
              <w:t>-E</w:t>
            </w:r>
          </w:p>
        </w:tc>
      </w:tr>
      <w:tr w:rsidR="00124727" w:rsidRPr="000A5BD7" w14:paraId="5E7EE173" w14:textId="77777777">
        <w:trPr>
          <w:cantSplit/>
        </w:trPr>
        <w:tc>
          <w:tcPr>
            <w:tcW w:w="3969" w:type="dxa"/>
            <w:vMerge/>
          </w:tcPr>
          <w:p w14:paraId="6CBB1848" w14:textId="77777777" w:rsidR="00124727" w:rsidRPr="000A5BD7" w:rsidRDefault="00124727">
            <w:pPr>
              <w:tabs>
                <w:tab w:val="left" w:pos="851"/>
              </w:tabs>
              <w:spacing w:line="240" w:lineRule="atLeast"/>
              <w:rPr>
                <w:b/>
              </w:rPr>
            </w:pPr>
            <w:bookmarkStart w:id="6" w:name="ddate" w:colFirst="1" w:colLast="1"/>
            <w:bookmarkEnd w:id="0"/>
            <w:bookmarkEnd w:id="1"/>
          </w:p>
        </w:tc>
        <w:tc>
          <w:tcPr>
            <w:tcW w:w="5245" w:type="dxa"/>
          </w:tcPr>
          <w:p w14:paraId="609F68A8" w14:textId="3985FDC0" w:rsidR="00124727" w:rsidRPr="000A5BD7" w:rsidRDefault="00EF2CFE">
            <w:pPr>
              <w:tabs>
                <w:tab w:val="left" w:pos="851"/>
              </w:tabs>
              <w:spacing w:before="0"/>
              <w:jc w:val="right"/>
              <w:rPr>
                <w:b/>
              </w:rPr>
            </w:pPr>
            <w:r w:rsidRPr="000A5BD7">
              <w:rPr>
                <w:b/>
              </w:rPr>
              <w:t>3 June 2025</w:t>
            </w:r>
          </w:p>
        </w:tc>
      </w:tr>
      <w:tr w:rsidR="00124727" w:rsidRPr="000A5BD7" w14:paraId="6800303D" w14:textId="77777777">
        <w:trPr>
          <w:cantSplit/>
          <w:trHeight w:val="23"/>
        </w:trPr>
        <w:tc>
          <w:tcPr>
            <w:tcW w:w="3969" w:type="dxa"/>
            <w:vMerge/>
          </w:tcPr>
          <w:p w14:paraId="449BF29C" w14:textId="77777777" w:rsidR="00124727" w:rsidRPr="000A5BD7" w:rsidRDefault="00124727">
            <w:pPr>
              <w:tabs>
                <w:tab w:val="left" w:pos="851"/>
              </w:tabs>
              <w:spacing w:line="240" w:lineRule="atLeast"/>
              <w:rPr>
                <w:b/>
              </w:rPr>
            </w:pPr>
            <w:bookmarkStart w:id="7" w:name="dorlang" w:colFirst="1" w:colLast="1"/>
            <w:bookmarkEnd w:id="6"/>
          </w:p>
        </w:tc>
        <w:tc>
          <w:tcPr>
            <w:tcW w:w="5245" w:type="dxa"/>
          </w:tcPr>
          <w:p w14:paraId="2DB731D9" w14:textId="77777777" w:rsidR="00124727" w:rsidRPr="000A5BD7" w:rsidRDefault="00DB54AA">
            <w:pPr>
              <w:tabs>
                <w:tab w:val="left" w:pos="851"/>
              </w:tabs>
              <w:spacing w:before="0" w:line="240" w:lineRule="atLeast"/>
              <w:jc w:val="right"/>
              <w:rPr>
                <w:b/>
              </w:rPr>
            </w:pPr>
            <w:r w:rsidRPr="000A5BD7">
              <w:rPr>
                <w:b/>
              </w:rPr>
              <w:t>Original: English</w:t>
            </w:r>
          </w:p>
        </w:tc>
      </w:tr>
      <w:tr w:rsidR="00124727" w:rsidRPr="000A5BD7" w14:paraId="583F9254" w14:textId="77777777">
        <w:trPr>
          <w:cantSplit/>
          <w:trHeight w:val="23"/>
        </w:trPr>
        <w:tc>
          <w:tcPr>
            <w:tcW w:w="3969" w:type="dxa"/>
          </w:tcPr>
          <w:p w14:paraId="6A478F44" w14:textId="77777777" w:rsidR="00124727" w:rsidRPr="000A5BD7" w:rsidRDefault="00124727">
            <w:pPr>
              <w:tabs>
                <w:tab w:val="left" w:pos="851"/>
              </w:tabs>
              <w:spacing w:line="240" w:lineRule="atLeast"/>
              <w:rPr>
                <w:b/>
              </w:rPr>
            </w:pPr>
          </w:p>
        </w:tc>
        <w:tc>
          <w:tcPr>
            <w:tcW w:w="5245" w:type="dxa"/>
          </w:tcPr>
          <w:p w14:paraId="56500E40" w14:textId="77777777" w:rsidR="00124727" w:rsidRPr="000A5BD7" w:rsidRDefault="00124727">
            <w:pPr>
              <w:tabs>
                <w:tab w:val="left" w:pos="851"/>
              </w:tabs>
              <w:spacing w:before="0" w:line="240" w:lineRule="atLeast"/>
              <w:jc w:val="right"/>
              <w:rPr>
                <w:b/>
              </w:rPr>
            </w:pPr>
          </w:p>
        </w:tc>
      </w:tr>
      <w:tr w:rsidR="00124727" w:rsidRPr="000A5BD7" w14:paraId="60DCA488" w14:textId="77777777">
        <w:trPr>
          <w:cantSplit/>
        </w:trPr>
        <w:tc>
          <w:tcPr>
            <w:tcW w:w="9214" w:type="dxa"/>
            <w:gridSpan w:val="2"/>
            <w:tcMar>
              <w:left w:w="0" w:type="dxa"/>
            </w:tcMar>
          </w:tcPr>
          <w:p w14:paraId="19DD7BA2" w14:textId="62D1BCA0" w:rsidR="00124727" w:rsidRPr="000A5BD7" w:rsidRDefault="00DB54AA" w:rsidP="00EF2CFE">
            <w:pPr>
              <w:pStyle w:val="Source"/>
              <w:framePr w:hSpace="0" w:wrap="auto" w:vAnchor="margin" w:hAnchor="text" w:xAlign="left" w:yAlign="inline"/>
              <w:rPr>
                <w:rFonts w:eastAsia="SimSun"/>
                <w:lang w:eastAsia="zh-CN"/>
              </w:rPr>
            </w:pPr>
            <w:bookmarkStart w:id="8" w:name="dsource" w:colFirst="0" w:colLast="0"/>
            <w:bookmarkEnd w:id="7"/>
            <w:r w:rsidRPr="000A5BD7">
              <w:t>Contribution by</w:t>
            </w:r>
            <w:r w:rsidR="00212721" w:rsidRPr="000A5BD7">
              <w:t xml:space="preserve"> South Africa</w:t>
            </w:r>
            <w:r w:rsidR="00EF2CFE" w:rsidRPr="000A5BD7">
              <w:t xml:space="preserve"> (Republic of)</w:t>
            </w:r>
            <w:r w:rsidR="00212721" w:rsidRPr="000A5BD7">
              <w:t>,</w:t>
            </w:r>
            <w:r w:rsidR="00EF2CFE" w:rsidRPr="000A5BD7">
              <w:rPr>
                <w:b w:val="0"/>
                <w:sz w:val="24"/>
                <w:szCs w:val="20"/>
              </w:rPr>
              <w:t xml:space="preserve"> </w:t>
            </w:r>
            <w:r w:rsidR="00EF2CFE" w:rsidRPr="000A5BD7">
              <w:t>Egypt (Arab Republic of), and Kenya (Republic of)</w:t>
            </w:r>
          </w:p>
        </w:tc>
      </w:tr>
      <w:tr w:rsidR="00124727" w:rsidRPr="000A5BD7" w14:paraId="342A0AD3" w14:textId="77777777">
        <w:trPr>
          <w:cantSplit/>
        </w:trPr>
        <w:tc>
          <w:tcPr>
            <w:tcW w:w="9214" w:type="dxa"/>
            <w:gridSpan w:val="2"/>
            <w:tcMar>
              <w:left w:w="0" w:type="dxa"/>
            </w:tcMar>
          </w:tcPr>
          <w:p w14:paraId="0BA0D578" w14:textId="25B4A70E" w:rsidR="00124727" w:rsidRPr="000A5BD7" w:rsidRDefault="00DB54AA">
            <w:pPr>
              <w:pStyle w:val="Subtitle"/>
              <w:framePr w:hSpace="0" w:wrap="auto" w:xAlign="left" w:yAlign="inline"/>
              <w:rPr>
                <w:rFonts w:eastAsia="SimSun"/>
                <w:lang w:eastAsia="zh-CN"/>
              </w:rPr>
            </w:pPr>
            <w:bookmarkStart w:id="9" w:name="dtitle1" w:colFirst="0" w:colLast="0"/>
            <w:bookmarkEnd w:id="8"/>
            <w:r w:rsidRPr="000A5BD7">
              <w:rPr>
                <w:rFonts w:eastAsia="SimSun"/>
                <w:lang w:eastAsia="zh-CN"/>
              </w:rPr>
              <w:t>PROPOSAL ON</w:t>
            </w:r>
            <w:r w:rsidRPr="000A5BD7">
              <w:t xml:space="preserve"> </w:t>
            </w:r>
            <w:r w:rsidR="00212721" w:rsidRPr="000A5BD7">
              <w:t>THE</w:t>
            </w:r>
            <w:r w:rsidRPr="000A5BD7">
              <w:t xml:space="preserve"> R</w:t>
            </w:r>
            <w:r w:rsidRPr="000A5BD7">
              <w:rPr>
                <w:rFonts w:eastAsia="SimSun"/>
                <w:lang w:eastAsia="zh-CN"/>
              </w:rPr>
              <w:t>EVIEW OF</w:t>
            </w:r>
            <w:r w:rsidRPr="000A5BD7">
              <w:t xml:space="preserve"> </w:t>
            </w:r>
            <w:r w:rsidRPr="000A5BD7">
              <w:rPr>
                <w:rFonts w:eastAsia="SimSun"/>
                <w:lang w:eastAsia="zh-CN"/>
              </w:rPr>
              <w:t xml:space="preserve">ITU </w:t>
            </w:r>
            <w:r w:rsidRPr="000A5BD7">
              <w:t>R</w:t>
            </w:r>
            <w:r w:rsidRPr="000A5BD7">
              <w:rPr>
                <w:rFonts w:eastAsia="SimSun"/>
                <w:lang w:eastAsia="zh-CN"/>
              </w:rPr>
              <w:t>EGIONAL PRESENCE</w:t>
            </w:r>
          </w:p>
        </w:tc>
      </w:tr>
      <w:tr w:rsidR="00124727" w:rsidRPr="000A5BD7" w14:paraId="442D1A4F" w14:textId="77777777">
        <w:trPr>
          <w:cantSplit/>
        </w:trPr>
        <w:tc>
          <w:tcPr>
            <w:tcW w:w="9214" w:type="dxa"/>
            <w:gridSpan w:val="2"/>
            <w:tcBorders>
              <w:top w:val="single" w:sz="4" w:space="0" w:color="auto"/>
              <w:bottom w:val="single" w:sz="4" w:space="0" w:color="auto"/>
            </w:tcBorders>
            <w:tcMar>
              <w:left w:w="0" w:type="dxa"/>
            </w:tcMar>
          </w:tcPr>
          <w:p w14:paraId="14129E99" w14:textId="77777777" w:rsidR="00212721" w:rsidRPr="000A5BD7" w:rsidRDefault="00212721" w:rsidP="00212721">
            <w:pPr>
              <w:spacing w:before="160"/>
              <w:rPr>
                <w:b/>
                <w:bCs/>
                <w:sz w:val="26"/>
                <w:szCs w:val="26"/>
              </w:rPr>
            </w:pPr>
            <w:r w:rsidRPr="000A5BD7">
              <w:rPr>
                <w:b/>
                <w:bCs/>
                <w:sz w:val="26"/>
                <w:szCs w:val="26"/>
              </w:rPr>
              <w:t>Purpose</w:t>
            </w:r>
          </w:p>
          <w:p w14:paraId="295B04E3" w14:textId="41A42B37" w:rsidR="00212721" w:rsidRPr="000A5BD7" w:rsidRDefault="00212721" w:rsidP="00212721">
            <w:pPr>
              <w:jc w:val="both"/>
            </w:pPr>
            <w:r w:rsidRPr="000A5BD7">
              <w:t xml:space="preserve">The purpose of this contribution is to support </w:t>
            </w:r>
            <w:r w:rsidR="00F23857" w:rsidRPr="000A5BD7">
              <w:t xml:space="preserve">the </w:t>
            </w:r>
            <w:r w:rsidRPr="000A5BD7">
              <w:t>terms of reference for the review of regional presence. Resolution 25</w:t>
            </w:r>
            <w:r w:rsidR="00EF2CFE" w:rsidRPr="000A5BD7">
              <w:t xml:space="preserve"> (Rev. Bucharest, 2022) of the Plenipotentiary Conference</w:t>
            </w:r>
            <w:r w:rsidRPr="000A5BD7">
              <w:t xml:space="preserve"> acknowledges the financial constraints faced by many countries, especially developing nations, in contributing to ITU activities. The regional presence of the ITU facilitates close contact with members, implementation of programs, dissemination of information, relationship building </w:t>
            </w:r>
            <w:r w:rsidRPr="000A5BD7">
              <w:rPr>
                <w:spacing w:val="-2"/>
              </w:rPr>
              <w:t>with regional organisations, and technical support for countries in need. It is requested that the review of the regional presence give proper consideration to the targets set by Resolution 25</w:t>
            </w:r>
            <w:r w:rsidRPr="000A5BD7">
              <w:t xml:space="preserve"> for enhancing and expanding regional presence.</w:t>
            </w:r>
          </w:p>
          <w:p w14:paraId="13BA2BD3" w14:textId="77777777" w:rsidR="00212721" w:rsidRPr="000A5BD7" w:rsidRDefault="00212721" w:rsidP="00212721">
            <w:pPr>
              <w:spacing w:before="160"/>
              <w:rPr>
                <w:b/>
                <w:bCs/>
                <w:sz w:val="26"/>
                <w:szCs w:val="26"/>
              </w:rPr>
            </w:pPr>
            <w:r w:rsidRPr="000A5BD7">
              <w:rPr>
                <w:b/>
                <w:bCs/>
                <w:sz w:val="26"/>
                <w:szCs w:val="26"/>
              </w:rPr>
              <w:t>Action required</w:t>
            </w:r>
          </w:p>
          <w:p w14:paraId="68300103" w14:textId="77777777" w:rsidR="00212721" w:rsidRPr="000A5BD7" w:rsidRDefault="00212721" w:rsidP="00212721">
            <w:pPr>
              <w:spacing w:before="160"/>
            </w:pPr>
            <w:r w:rsidRPr="000A5BD7">
              <w:t xml:space="preserve">The Council is invited to </w:t>
            </w:r>
            <w:r w:rsidRPr="000A5BD7">
              <w:rPr>
                <w:b/>
                <w:bCs/>
              </w:rPr>
              <w:t>consider</w:t>
            </w:r>
            <w:r w:rsidRPr="000A5BD7">
              <w:t xml:space="preserve"> this document.</w:t>
            </w:r>
          </w:p>
          <w:p w14:paraId="7AAAAF30" w14:textId="77777777" w:rsidR="00124727" w:rsidRPr="000A5BD7" w:rsidRDefault="00DB54AA">
            <w:r w:rsidRPr="000A5BD7">
              <w:t>_______________</w:t>
            </w:r>
          </w:p>
          <w:p w14:paraId="010FC445" w14:textId="77777777" w:rsidR="00124727" w:rsidRPr="000A5BD7" w:rsidRDefault="00DB54AA">
            <w:pPr>
              <w:spacing w:before="160"/>
              <w:rPr>
                <w:b/>
                <w:bCs/>
                <w:sz w:val="26"/>
                <w:szCs w:val="26"/>
              </w:rPr>
            </w:pPr>
            <w:r w:rsidRPr="000A5BD7">
              <w:rPr>
                <w:b/>
                <w:bCs/>
                <w:sz w:val="26"/>
                <w:szCs w:val="26"/>
              </w:rPr>
              <w:t>References</w:t>
            </w:r>
          </w:p>
          <w:bookmarkStart w:id="10" w:name="OLE_LINK16"/>
          <w:p w14:paraId="03FE0C5E" w14:textId="11BE9445" w:rsidR="00212721" w:rsidRPr="000A5BD7" w:rsidRDefault="00EF2CFE" w:rsidP="00EF2CFE">
            <w:pPr>
              <w:pStyle w:val="Subtitle"/>
              <w:framePr w:hSpace="0" w:wrap="auto" w:xAlign="left" w:yAlign="inline"/>
              <w:tabs>
                <w:tab w:val="left" w:pos="794"/>
                <w:tab w:val="left" w:pos="1191"/>
                <w:tab w:val="left" w:pos="1588"/>
                <w:tab w:val="left" w:pos="1985"/>
              </w:tabs>
              <w:rPr>
                <w:i/>
                <w:iCs/>
                <w:sz w:val="22"/>
                <w:szCs w:val="22"/>
              </w:rPr>
            </w:pPr>
            <w:r w:rsidRPr="000A5BD7">
              <w:rPr>
                <w:i/>
                <w:iCs/>
                <w:sz w:val="22"/>
                <w:szCs w:val="22"/>
              </w:rPr>
              <w:fldChar w:fldCharType="begin"/>
            </w:r>
            <w:r w:rsidRPr="000A5BD7">
              <w:rPr>
                <w:i/>
                <w:iCs/>
                <w:sz w:val="22"/>
                <w:szCs w:val="22"/>
              </w:rPr>
              <w:instrText>HYPERLINK "https://www.itu.int/en/council/Documents/basic-texts-2023/RES-025-E.pdf"</w:instrText>
            </w:r>
            <w:r w:rsidRPr="000A5BD7">
              <w:rPr>
                <w:i/>
                <w:iCs/>
                <w:sz w:val="22"/>
                <w:szCs w:val="22"/>
              </w:rPr>
            </w:r>
            <w:r w:rsidRPr="000A5BD7">
              <w:rPr>
                <w:i/>
                <w:iCs/>
                <w:sz w:val="22"/>
                <w:szCs w:val="22"/>
              </w:rPr>
              <w:fldChar w:fldCharType="separate"/>
            </w:r>
            <w:r w:rsidR="00212721" w:rsidRPr="000A5BD7">
              <w:rPr>
                <w:rStyle w:val="Hyperlink"/>
                <w:i/>
                <w:iCs/>
                <w:sz w:val="22"/>
                <w:szCs w:val="22"/>
              </w:rPr>
              <w:t>Resolution 25 (Rev. Bucharest, 2022)</w:t>
            </w:r>
            <w:r w:rsidRPr="000A5BD7">
              <w:rPr>
                <w:i/>
                <w:iCs/>
                <w:sz w:val="22"/>
                <w:szCs w:val="22"/>
              </w:rPr>
              <w:fldChar w:fldCharType="end"/>
            </w:r>
            <w:r w:rsidRPr="000A5BD7">
              <w:rPr>
                <w:i/>
                <w:iCs/>
                <w:sz w:val="22"/>
                <w:szCs w:val="22"/>
              </w:rPr>
              <w:t xml:space="preserve"> of the Plenipotentiary Conference; Council </w:t>
            </w:r>
            <w:r w:rsidR="000A5BD7" w:rsidRPr="000A5BD7">
              <w:rPr>
                <w:i/>
                <w:iCs/>
                <w:sz w:val="22"/>
                <w:szCs w:val="22"/>
              </w:rPr>
              <w:t xml:space="preserve">Documents </w:t>
            </w:r>
            <w:hyperlink r:id="rId9" w:history="1">
              <w:proofErr w:type="spellStart"/>
              <w:r w:rsidRPr="000A5BD7">
                <w:rPr>
                  <w:rStyle w:val="Hyperlink"/>
                  <w:i/>
                  <w:iCs/>
                  <w:sz w:val="22"/>
                  <w:szCs w:val="22"/>
                </w:rPr>
                <w:t>C25</w:t>
              </w:r>
              <w:proofErr w:type="spellEnd"/>
              <w:r w:rsidRPr="000A5BD7">
                <w:rPr>
                  <w:rStyle w:val="Hyperlink"/>
                  <w:i/>
                  <w:iCs/>
                  <w:sz w:val="22"/>
                  <w:szCs w:val="22"/>
                </w:rPr>
                <w:t>/50</w:t>
              </w:r>
            </w:hyperlink>
            <w:r w:rsidRPr="000A5BD7">
              <w:rPr>
                <w:i/>
                <w:iCs/>
                <w:sz w:val="22"/>
                <w:szCs w:val="22"/>
              </w:rPr>
              <w:t xml:space="preserve"> and </w:t>
            </w:r>
            <w:hyperlink r:id="rId10" w:history="1">
              <w:proofErr w:type="spellStart"/>
              <w:r w:rsidRPr="000A5BD7">
                <w:rPr>
                  <w:rStyle w:val="Hyperlink"/>
                  <w:i/>
                  <w:iCs/>
                  <w:sz w:val="22"/>
                  <w:szCs w:val="22"/>
                </w:rPr>
                <w:t>C25</w:t>
              </w:r>
              <w:proofErr w:type="spellEnd"/>
              <w:r w:rsidRPr="000A5BD7">
                <w:rPr>
                  <w:rStyle w:val="Hyperlink"/>
                  <w:i/>
                  <w:iCs/>
                  <w:sz w:val="22"/>
                  <w:szCs w:val="22"/>
                </w:rPr>
                <w:t>/69</w:t>
              </w:r>
            </w:hyperlink>
            <w:r w:rsidRPr="000A5BD7">
              <w:rPr>
                <w:i/>
                <w:iCs/>
                <w:sz w:val="22"/>
                <w:szCs w:val="22"/>
              </w:rPr>
              <w:t>.</w:t>
            </w:r>
            <w:bookmarkEnd w:id="10"/>
          </w:p>
        </w:tc>
      </w:tr>
    </w:tbl>
    <w:p w14:paraId="11573054" w14:textId="77777777" w:rsidR="00124727" w:rsidRPr="000A5BD7" w:rsidRDefault="00124727">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0150A91D" w14:textId="17973284" w:rsidR="00124727" w:rsidRPr="000A5BD7" w:rsidRDefault="00DB54AA" w:rsidP="000A5BD7">
      <w:pPr>
        <w:pStyle w:val="Headingb"/>
      </w:pPr>
      <w:r w:rsidRPr="000A5BD7">
        <w:br w:type="page"/>
      </w:r>
      <w:bookmarkEnd w:id="5"/>
      <w:bookmarkEnd w:id="11"/>
      <w:r w:rsidRPr="000A5BD7">
        <w:rPr>
          <w:rFonts w:eastAsia="SimSun"/>
          <w:lang w:eastAsia="zh-CN"/>
        </w:rPr>
        <w:lastRenderedPageBreak/>
        <w:t>Background</w:t>
      </w:r>
    </w:p>
    <w:p w14:paraId="21A89482" w14:textId="39B12ED4" w:rsidR="00C763AC" w:rsidRPr="000A5BD7" w:rsidRDefault="00C763AC" w:rsidP="000A5BD7">
      <w:pPr>
        <w:jc w:val="both"/>
        <w:rPr>
          <w:rFonts w:eastAsia="SimSun"/>
          <w:lang w:eastAsia="zh-CN"/>
        </w:rPr>
      </w:pPr>
      <w:r w:rsidRPr="000A5BD7">
        <w:rPr>
          <w:rFonts w:eastAsia="SimSun"/>
          <w:lang w:eastAsia="zh-CN"/>
        </w:rPr>
        <w:t xml:space="preserve">We extend our gratitude to the Chair of the Council Working Group on </w:t>
      </w:r>
      <w:r w:rsidR="00404AF7" w:rsidRPr="000A5BD7">
        <w:rPr>
          <w:rFonts w:eastAsia="SimSun"/>
          <w:lang w:eastAsia="zh-CN"/>
        </w:rPr>
        <w:t xml:space="preserve">financial </w:t>
      </w:r>
      <w:r w:rsidRPr="000A5BD7">
        <w:rPr>
          <w:rFonts w:eastAsia="SimSun"/>
          <w:lang w:eastAsia="zh-CN"/>
        </w:rPr>
        <w:t xml:space="preserve">and </w:t>
      </w:r>
      <w:r w:rsidR="00404AF7" w:rsidRPr="000A5BD7">
        <w:rPr>
          <w:rFonts w:eastAsia="SimSun"/>
          <w:lang w:eastAsia="zh-CN"/>
        </w:rPr>
        <w:t xml:space="preserve">human resources </w:t>
      </w:r>
      <w:r w:rsidRPr="000A5BD7">
        <w:rPr>
          <w:rFonts w:eastAsia="SimSun"/>
          <w:lang w:eastAsia="zh-CN"/>
        </w:rPr>
        <w:t>(CWG-FHR) for bringing forward the inputs to the Terms of Reference (</w:t>
      </w:r>
      <w:proofErr w:type="spellStart"/>
      <w:r w:rsidRPr="000A5BD7">
        <w:rPr>
          <w:rFonts w:eastAsia="SimSun"/>
          <w:lang w:eastAsia="zh-CN"/>
        </w:rPr>
        <w:t>ToR</w:t>
      </w:r>
      <w:proofErr w:type="spellEnd"/>
      <w:r w:rsidRPr="000A5BD7">
        <w:rPr>
          <w:rFonts w:eastAsia="SimSun"/>
          <w:lang w:eastAsia="zh-CN"/>
        </w:rPr>
        <w:t xml:space="preserve">) for the review of ITU's Regional Presence, outlined in Document </w:t>
      </w:r>
      <w:hyperlink r:id="rId11" w:history="1">
        <w:r w:rsidRPr="000A5BD7">
          <w:rPr>
            <w:rStyle w:val="Hyperlink"/>
            <w:rFonts w:asciiTheme="minorHAnsi" w:eastAsia="SimSun" w:hAnsiTheme="minorHAnsi" w:cstheme="minorHAnsi"/>
            <w:lang w:eastAsia="zh-CN"/>
          </w:rPr>
          <w:t>CWG-FHR-20/32</w:t>
        </w:r>
      </w:hyperlink>
      <w:r w:rsidRPr="000A5BD7">
        <w:rPr>
          <w:rFonts w:eastAsia="SimSun"/>
          <w:lang w:eastAsia="zh-CN"/>
        </w:rPr>
        <w:t>.</w:t>
      </w:r>
    </w:p>
    <w:p w14:paraId="0CF621ED" w14:textId="07997F58" w:rsidR="00C763AC" w:rsidRPr="000A5BD7" w:rsidRDefault="00C763AC" w:rsidP="000A5BD7">
      <w:pPr>
        <w:jc w:val="both"/>
        <w:rPr>
          <w:rFonts w:eastAsia="SimSun"/>
          <w:lang w:eastAsia="zh-CN"/>
        </w:rPr>
      </w:pPr>
      <w:r w:rsidRPr="000A5BD7">
        <w:rPr>
          <w:rFonts w:eastAsia="SimSun"/>
          <w:lang w:eastAsia="zh-CN"/>
        </w:rPr>
        <w:t>The co-signatories of this contribution support the Terms of Reference for the review of the ITU’s regional presence, recognising the crucial role of Regional and Area Offices of the ITU in acting on behalf of Member States through the implementation of projects, capacity development, conducting regional activities, and promoting coordination with Regional Telecommunication Organisations (RTO</w:t>
      </w:r>
      <w:r w:rsidR="00404AF7" w:rsidRPr="000A5BD7">
        <w:rPr>
          <w:rFonts w:eastAsia="SimSun"/>
          <w:lang w:eastAsia="zh-CN"/>
        </w:rPr>
        <w:t>s</w:t>
      </w:r>
      <w:r w:rsidRPr="000A5BD7">
        <w:rPr>
          <w:rFonts w:eastAsia="SimSun"/>
          <w:lang w:eastAsia="zh-CN"/>
        </w:rPr>
        <w:t>). As reaffirmed in Resolution 25 (Rev. Bucharest, 2022), these offices play a critical function as channels in implementing ITU’s strategic targets, promoting greater membership engagement, and ensuring support for the “One ITU” vision.</w:t>
      </w:r>
    </w:p>
    <w:p w14:paraId="26F1F721" w14:textId="5900183F" w:rsidR="00C763AC" w:rsidRPr="000A5BD7" w:rsidRDefault="00C763AC" w:rsidP="000A5BD7">
      <w:pPr>
        <w:jc w:val="both"/>
        <w:rPr>
          <w:rFonts w:eastAsia="SimSun"/>
          <w:spacing w:val="-2"/>
          <w:lang w:eastAsia="zh-CN"/>
        </w:rPr>
      </w:pPr>
      <w:r w:rsidRPr="000A5BD7">
        <w:rPr>
          <w:rFonts w:eastAsia="SimSun"/>
          <w:spacing w:val="-2"/>
          <w:lang w:eastAsia="zh-CN"/>
        </w:rPr>
        <w:t>Resolution 25 recognises the financial constraints faced by the majority of countries, particularly developing countries with stringent budgetary constraints, in making contributions to the activities of the ITU. The regional presence allows the ITU to be in close contact with its membership, serving as a means of implementation of programmes, projects, and activities, disseminating information related to the activities of the Union, facilitating increased relationships with regional and subregional organisations, and offering technical support to countries with specific needs. During the review of the regional presence by the Secretary</w:t>
      </w:r>
      <w:r w:rsidR="00404AF7" w:rsidRPr="000A5BD7">
        <w:rPr>
          <w:rFonts w:eastAsia="SimSun"/>
          <w:spacing w:val="-2"/>
          <w:lang w:eastAsia="zh-CN"/>
        </w:rPr>
        <w:t>-</w:t>
      </w:r>
      <w:r w:rsidRPr="000A5BD7">
        <w:rPr>
          <w:rFonts w:eastAsia="SimSun"/>
          <w:spacing w:val="-2"/>
          <w:lang w:eastAsia="zh-CN"/>
        </w:rPr>
        <w:t>General in consultation with the Directors of the Telecommunication Development Bureau, the Radiocommunication Bureau and the Telecommunication Standardisation Bureau, it is important to give due consideration to its significance as outlined in Resolution 25.</w:t>
      </w:r>
    </w:p>
    <w:p w14:paraId="0FA083CD" w14:textId="77777777" w:rsidR="00C763AC" w:rsidRPr="000A5BD7" w:rsidRDefault="00C763AC" w:rsidP="000A5BD7">
      <w:pPr>
        <w:jc w:val="both"/>
        <w:rPr>
          <w:rFonts w:eastAsia="SimSun"/>
          <w:lang w:eastAsia="zh-CN"/>
        </w:rPr>
      </w:pPr>
      <w:r w:rsidRPr="000A5BD7">
        <w:rPr>
          <w:rFonts w:eastAsia="SimSun"/>
          <w:lang w:eastAsia="zh-CN"/>
        </w:rPr>
        <w:t xml:space="preserve">We noted that </w:t>
      </w:r>
      <w:proofErr w:type="spellStart"/>
      <w:r w:rsidRPr="000A5BD7">
        <w:rPr>
          <w:rFonts w:eastAsia="SimSun"/>
          <w:lang w:eastAsia="zh-CN"/>
        </w:rPr>
        <w:t>TDAG</w:t>
      </w:r>
      <w:proofErr w:type="spellEnd"/>
      <w:r w:rsidRPr="000A5BD7">
        <w:rPr>
          <w:rFonts w:eastAsia="SimSun"/>
          <w:lang w:eastAsia="zh-CN"/>
        </w:rPr>
        <w:t xml:space="preserve"> also affirmed that regional presence is essential for effectively implementing Regional Initiatives and the Kigali Action Plan and highlighted the key role of Regional Offices in advancing region-specific development goals. </w:t>
      </w:r>
      <w:proofErr w:type="spellStart"/>
      <w:r w:rsidRPr="000A5BD7">
        <w:rPr>
          <w:rFonts w:eastAsia="SimSun"/>
          <w:lang w:eastAsia="zh-CN"/>
        </w:rPr>
        <w:t>TDAG</w:t>
      </w:r>
      <w:proofErr w:type="spellEnd"/>
      <w:r w:rsidRPr="000A5BD7">
        <w:rPr>
          <w:rFonts w:eastAsia="SimSun"/>
          <w:lang w:eastAsia="zh-CN"/>
        </w:rPr>
        <w:t xml:space="preserve"> recognized the complementary function of Regional Offices in supporting the Union’s development activities, harmonising efforts with those led by the ITU-T and ITU-R to ensure alignment across technical and operational sectors. Additionally, </w:t>
      </w:r>
      <w:proofErr w:type="spellStart"/>
      <w:r w:rsidRPr="000A5BD7">
        <w:rPr>
          <w:rFonts w:eastAsia="SimSun"/>
          <w:lang w:eastAsia="zh-CN"/>
        </w:rPr>
        <w:t>TDAG</w:t>
      </w:r>
      <w:proofErr w:type="spellEnd"/>
      <w:r w:rsidRPr="000A5BD7">
        <w:rPr>
          <w:rFonts w:eastAsia="SimSun"/>
          <w:lang w:eastAsia="zh-CN"/>
        </w:rPr>
        <w:t xml:space="preserve"> stressed that the review process to strengthen regional presence must adhere to the guidelines outlined in Resolution 25 (Bucharest, 2022), ensuring coherence with established mandates and strategies.</w:t>
      </w:r>
    </w:p>
    <w:p w14:paraId="1D06952F" w14:textId="001278DB" w:rsidR="00C763AC" w:rsidRPr="000A5BD7" w:rsidRDefault="00C763AC" w:rsidP="000A5BD7">
      <w:pPr>
        <w:pStyle w:val="Headingb"/>
        <w:rPr>
          <w:rFonts w:eastAsia="SimSun"/>
          <w:lang w:eastAsia="zh-CN"/>
        </w:rPr>
      </w:pPr>
      <w:r w:rsidRPr="000A5BD7">
        <w:rPr>
          <w:rFonts w:eastAsia="SimSun"/>
          <w:lang w:eastAsia="zh-CN"/>
        </w:rPr>
        <w:t>Proposal</w:t>
      </w:r>
    </w:p>
    <w:p w14:paraId="70F29ACA" w14:textId="62E4D4D0" w:rsidR="00C763AC" w:rsidRPr="000A5BD7" w:rsidRDefault="00C763AC" w:rsidP="000A5BD7">
      <w:pPr>
        <w:jc w:val="both"/>
        <w:rPr>
          <w:rFonts w:eastAsia="SimSun"/>
          <w:lang w:eastAsia="zh-CN"/>
        </w:rPr>
      </w:pPr>
      <w:r w:rsidRPr="000A5BD7">
        <w:rPr>
          <w:rFonts w:eastAsia="SimSun"/>
          <w:lang w:eastAsia="zh-CN"/>
        </w:rPr>
        <w:t xml:space="preserve">In this context, we propose that the Telecommunication Development Bureau (BDT) be entrusted with a major role in the implementation of the review of the ITU's Regional Presence, as outlined in the adopted Terms of Reference (Annex A to Document </w:t>
      </w:r>
      <w:hyperlink r:id="rId12" w:history="1">
        <w:proofErr w:type="spellStart"/>
        <w:r w:rsidRPr="000A5BD7">
          <w:rPr>
            <w:rStyle w:val="Hyperlink"/>
            <w:rFonts w:asciiTheme="minorHAnsi" w:eastAsia="SimSun" w:hAnsiTheme="minorHAnsi" w:cstheme="minorHAnsi"/>
            <w:lang w:eastAsia="zh-CN"/>
          </w:rPr>
          <w:t>C25</w:t>
        </w:r>
        <w:proofErr w:type="spellEnd"/>
        <w:r w:rsidRPr="000A5BD7">
          <w:rPr>
            <w:rStyle w:val="Hyperlink"/>
            <w:rFonts w:asciiTheme="minorHAnsi" w:eastAsia="SimSun" w:hAnsiTheme="minorHAnsi" w:cstheme="minorHAnsi"/>
            <w:lang w:eastAsia="zh-CN"/>
          </w:rPr>
          <w:t>/50</w:t>
        </w:r>
      </w:hyperlink>
      <w:r w:rsidRPr="000A5BD7">
        <w:rPr>
          <w:rFonts w:eastAsia="SimSun"/>
          <w:lang w:eastAsia="zh-CN"/>
        </w:rPr>
        <w:t>). Given that the Regional and Area Offices fall under the direct responsibility of the BDT, the Bureau is uniquely positioned to substantially support this exercise. The BDT possesses institutional knowledge, operational oversight, and established mechanisms that can ensure a meaningful and cost-effective review process.</w:t>
      </w:r>
    </w:p>
    <w:p w14:paraId="3B53D5A6" w14:textId="5FB31D08" w:rsidR="00C763AC" w:rsidRPr="000A5BD7" w:rsidRDefault="00C763AC" w:rsidP="000A5BD7">
      <w:pPr>
        <w:jc w:val="both"/>
        <w:rPr>
          <w:rFonts w:eastAsia="SimSun"/>
          <w:spacing w:val="-2"/>
          <w:lang w:eastAsia="zh-CN"/>
        </w:rPr>
      </w:pPr>
      <w:r w:rsidRPr="000A5BD7">
        <w:rPr>
          <w:rFonts w:eastAsia="SimSun"/>
          <w:spacing w:val="-2"/>
          <w:lang w:eastAsia="zh-CN"/>
        </w:rPr>
        <w:t>Supporting the BDT to assume this enhanced role would not only leverage its long-standing experience and proximity to regional operations, but also result in a significant reduction in potential financial implications that may arise should an external consultancy or auditing entity be tasked with this function. The BDT’s familiarity with the functioning, staffing, resource mobilisation and programmatic activities of the Regional and Area Offices places it in a favourable position to implement a robust, evidence-based assessment that aligns with the objectives set out in Resolution 25 (Rev. Bucharest, 2022) and the Strategic Plan of the Union.</w:t>
      </w:r>
    </w:p>
    <w:p w14:paraId="12FEED01" w14:textId="37FB3603" w:rsidR="00C763AC" w:rsidRPr="000A5BD7" w:rsidRDefault="00C763AC" w:rsidP="000A5BD7">
      <w:pPr>
        <w:jc w:val="both"/>
        <w:rPr>
          <w:rFonts w:eastAsia="SimSun"/>
          <w:lang w:eastAsia="zh-CN"/>
        </w:rPr>
      </w:pPr>
      <w:r w:rsidRPr="000A5BD7">
        <w:rPr>
          <w:rFonts w:eastAsia="SimSun"/>
          <w:lang w:eastAsia="zh-CN"/>
        </w:rPr>
        <w:lastRenderedPageBreak/>
        <w:t>We stress that this approach would also promote internal coherence, institutional accountability, and sustainability in the implementation of the review, while ensuring full alignment with the Union’s ongoing transformation process. Additionally, the involvement of the BDT in this role would enable a more agile and consultative process that directly reflects the perspectives and realities of the field, in support of the “One ITU” approach.</w:t>
      </w:r>
    </w:p>
    <w:p w14:paraId="1EEEB29E" w14:textId="77777777" w:rsidR="00C763AC" w:rsidRPr="000A5BD7" w:rsidRDefault="00C763AC" w:rsidP="000A5BD7">
      <w:pPr>
        <w:jc w:val="both"/>
        <w:rPr>
          <w:rFonts w:eastAsia="SimSun"/>
          <w:lang w:eastAsia="zh-CN"/>
        </w:rPr>
      </w:pPr>
      <w:r w:rsidRPr="000A5BD7">
        <w:rPr>
          <w:rFonts w:eastAsia="SimSun"/>
          <w:lang w:eastAsia="zh-CN"/>
        </w:rPr>
        <w:t xml:space="preserve">We strongly support the performance-based evaluation and review process mandated by the </w:t>
      </w:r>
      <w:proofErr w:type="spellStart"/>
      <w:r w:rsidRPr="000A5BD7">
        <w:rPr>
          <w:rFonts w:eastAsia="SimSun"/>
          <w:lang w:eastAsia="zh-CN"/>
        </w:rPr>
        <w:t>ToR</w:t>
      </w:r>
      <w:proofErr w:type="spellEnd"/>
      <w:r w:rsidRPr="000A5BD7">
        <w:rPr>
          <w:rFonts w:eastAsia="SimSun"/>
          <w:lang w:eastAsia="zh-CN"/>
        </w:rPr>
        <w:t>, which may guarantee that regional offices deliver measurable and tangible benefits—such as resource adequacy, stakeholder engagement, and seamless integration with broader regional ICT development frameworks. This approach enables the offices to facilitate information-sharing, follow up on world conference decisions, and coordinate joint activities, all of which are essential for effective implementation of the ITU Strategic Plan and the Kigali Action Plan.</w:t>
      </w:r>
    </w:p>
    <w:p w14:paraId="4647198F" w14:textId="0C9D0B95" w:rsidR="00C763AC" w:rsidRPr="000A5BD7" w:rsidRDefault="00C763AC" w:rsidP="000A5BD7">
      <w:pPr>
        <w:jc w:val="both"/>
        <w:rPr>
          <w:rFonts w:eastAsia="SimSun"/>
          <w:spacing w:val="-2"/>
          <w:lang w:eastAsia="zh-CN"/>
        </w:rPr>
      </w:pPr>
      <w:r w:rsidRPr="000A5BD7">
        <w:rPr>
          <w:rFonts w:eastAsia="SimSun"/>
          <w:spacing w:val="-2"/>
          <w:lang w:eastAsia="zh-CN"/>
        </w:rPr>
        <w:t xml:space="preserve">The strong accountability and reporting mechanisms outlined in the </w:t>
      </w:r>
      <w:proofErr w:type="spellStart"/>
      <w:r w:rsidRPr="000A5BD7">
        <w:rPr>
          <w:rFonts w:eastAsia="SimSun"/>
          <w:spacing w:val="-2"/>
          <w:lang w:eastAsia="zh-CN"/>
        </w:rPr>
        <w:t>ToR</w:t>
      </w:r>
      <w:proofErr w:type="spellEnd"/>
      <w:r w:rsidRPr="000A5BD7">
        <w:rPr>
          <w:rFonts w:eastAsia="SimSun"/>
          <w:spacing w:val="-2"/>
          <w:lang w:eastAsia="zh-CN"/>
        </w:rPr>
        <w:t xml:space="preserve"> provide a solid basis for developing bankable, harmonized intercountry projects. These projects are more likely to attract support from regional financial institutions and multilateral partners as the enhanced transparency and performance tracking reduce risk, thus enhancing their scalability and impact.</w:t>
      </w:r>
    </w:p>
    <w:p w14:paraId="61AC8951" w14:textId="77777777" w:rsidR="00C763AC" w:rsidRPr="000A5BD7" w:rsidRDefault="00C763AC" w:rsidP="000A5BD7">
      <w:pPr>
        <w:jc w:val="both"/>
        <w:rPr>
          <w:rFonts w:eastAsia="SimSun"/>
          <w:lang w:eastAsia="zh-CN"/>
        </w:rPr>
      </w:pPr>
      <w:r w:rsidRPr="000A5BD7">
        <w:rPr>
          <w:rFonts w:eastAsia="SimSun"/>
          <w:lang w:eastAsia="zh-CN"/>
        </w:rPr>
        <w:t xml:space="preserve">Finally, we underscore that ITU’s Regional and Area Offices act as critical outposts of economic cooperation, integration, and the development of context-specific strategies. As outlined in the </w:t>
      </w:r>
      <w:proofErr w:type="spellStart"/>
      <w:r w:rsidRPr="000A5BD7">
        <w:rPr>
          <w:rFonts w:eastAsia="SimSun"/>
          <w:lang w:eastAsia="zh-CN"/>
        </w:rPr>
        <w:t>ToR</w:t>
      </w:r>
      <w:proofErr w:type="spellEnd"/>
      <w:r w:rsidRPr="000A5BD7">
        <w:rPr>
          <w:rFonts w:eastAsia="SimSun"/>
          <w:lang w:eastAsia="zh-CN"/>
        </w:rPr>
        <w:t>, these offices are uniquely positioned to facilitate intercountry projects and partnerships that respond effectively to the needs and priorities of their respective regions.</w:t>
      </w:r>
    </w:p>
    <w:p w14:paraId="1DADF036" w14:textId="77777777" w:rsidR="00C763AC" w:rsidRPr="000A5BD7" w:rsidRDefault="00C763AC" w:rsidP="000A5BD7">
      <w:pPr>
        <w:jc w:val="both"/>
        <w:rPr>
          <w:rFonts w:eastAsia="SimSun"/>
          <w:lang w:eastAsia="zh-CN"/>
        </w:rPr>
      </w:pPr>
      <w:r w:rsidRPr="000A5BD7">
        <w:rPr>
          <w:rFonts w:eastAsia="SimSun"/>
          <w:lang w:eastAsia="zh-CN"/>
        </w:rPr>
        <w:t>Accordingly, we invite the Council to take this proposal into account as it considers the Terms of Reference for the review of the Regional Presence.</w:t>
      </w:r>
    </w:p>
    <w:p w14:paraId="4B11EF1B" w14:textId="77777777" w:rsidR="00C763AC" w:rsidRPr="000A5BD7" w:rsidRDefault="00C763AC">
      <w:pPr>
        <w:pStyle w:val="Reasons"/>
        <w:jc w:val="both"/>
        <w:rPr>
          <w:rFonts w:asciiTheme="minorHAnsi" w:eastAsia="SimSun" w:hAnsiTheme="minorHAnsi" w:cstheme="minorHAnsi"/>
          <w:lang w:val="en-GB" w:eastAsia="zh-CN"/>
        </w:rPr>
      </w:pPr>
    </w:p>
    <w:p w14:paraId="4E6DDB02" w14:textId="77777777" w:rsidR="00124727" w:rsidRPr="000A5BD7" w:rsidRDefault="00DB54AA">
      <w:pPr>
        <w:jc w:val="center"/>
      </w:pPr>
      <w:r w:rsidRPr="000A5BD7">
        <w:t>______________</w:t>
      </w:r>
    </w:p>
    <w:sectPr w:rsidR="00124727" w:rsidRPr="000A5BD7">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45ED" w14:textId="77777777" w:rsidR="002B109E" w:rsidRDefault="002B109E">
      <w:pPr>
        <w:spacing w:before="0"/>
      </w:pPr>
      <w:r>
        <w:separator/>
      </w:r>
    </w:p>
  </w:endnote>
  <w:endnote w:type="continuationSeparator" w:id="0">
    <w:p w14:paraId="7616E018" w14:textId="77777777" w:rsidR="002B109E" w:rsidRDefault="002B109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24727" w14:paraId="28D4C71F" w14:textId="77777777">
      <w:trPr>
        <w:jc w:val="center"/>
      </w:trPr>
      <w:tc>
        <w:tcPr>
          <w:tcW w:w="1803" w:type="dxa"/>
          <w:vAlign w:val="center"/>
        </w:tcPr>
        <w:p w14:paraId="459811E9" w14:textId="77777777" w:rsidR="00124727" w:rsidRDefault="00DB54AA">
          <w:pPr>
            <w:pStyle w:val="Header"/>
            <w:jc w:val="left"/>
            <w:rPr>
              <w:rFonts w:eastAsiaTheme="minorHAnsi"/>
            </w:rPr>
          </w:pPr>
          <w:proofErr w:type="spellStart"/>
          <w:r>
            <w:rPr>
              <w:rFonts w:eastAsiaTheme="minorHAnsi"/>
            </w:rPr>
            <w:t>gDoc</w:t>
          </w:r>
          <w:proofErr w:type="spellEnd"/>
          <w:r>
            <w:rPr>
              <w:rFonts w:eastAsiaTheme="minorHAnsi"/>
            </w:rPr>
            <w:t xml:space="preserve"> #</w:t>
          </w:r>
        </w:p>
      </w:tc>
      <w:tc>
        <w:tcPr>
          <w:tcW w:w="8261" w:type="dxa"/>
        </w:tcPr>
        <w:p w14:paraId="75F3E63E" w14:textId="0D0F1B4E" w:rsidR="00124727" w:rsidRDefault="00DB54AA">
          <w:pPr>
            <w:pStyle w:val="Header"/>
            <w:tabs>
              <w:tab w:val="left" w:pos="6164"/>
              <w:tab w:val="right" w:pos="8505"/>
              <w:tab w:val="right" w:pos="9639"/>
            </w:tabs>
            <w:jc w:val="left"/>
            <w:rPr>
              <w:rFonts w:ascii="Arial" w:eastAsiaTheme="minorHAnsi" w:hAnsi="Arial" w:cs="Arial"/>
              <w:b/>
              <w:bCs/>
              <w:szCs w:val="18"/>
            </w:rPr>
          </w:pPr>
          <w:r>
            <w:rPr>
              <w:rFonts w:eastAsiaTheme="minorHAnsi"/>
              <w:bCs/>
            </w:rPr>
            <w:tab/>
            <w:t>C25/</w:t>
          </w:r>
          <w:r w:rsidR="00EF2CFE">
            <w:rPr>
              <w:rFonts w:eastAsiaTheme="minorHAnsi"/>
              <w:bCs/>
            </w:rPr>
            <w:t>93</w:t>
          </w:r>
          <w:r>
            <w:rPr>
              <w:rFonts w:eastAsiaTheme="minorHAnsi"/>
              <w:bCs/>
            </w:rPr>
            <w:t>-E</w:t>
          </w:r>
          <w:r>
            <w:rPr>
              <w:rFonts w:eastAsiaTheme="minorHAnsi"/>
              <w:bCs/>
            </w:rPr>
            <w:tab/>
          </w:r>
          <w:r>
            <w:rPr>
              <w:rFonts w:eastAsiaTheme="minorHAnsi"/>
            </w:rPr>
            <w:fldChar w:fldCharType="begin"/>
          </w:r>
          <w:r>
            <w:rPr>
              <w:rFonts w:eastAsiaTheme="minorHAnsi"/>
            </w:rPr>
            <w:instrText>PAGE</w:instrText>
          </w:r>
          <w:r>
            <w:rPr>
              <w:rFonts w:eastAsiaTheme="minorHAnsi"/>
            </w:rPr>
            <w:fldChar w:fldCharType="separate"/>
          </w:r>
          <w:r>
            <w:rPr>
              <w:rFonts w:eastAsiaTheme="minorHAnsi"/>
            </w:rPr>
            <w:t>1</w:t>
          </w:r>
          <w:r>
            <w:rPr>
              <w:rFonts w:eastAsiaTheme="minorHAnsi"/>
            </w:rPr>
            <w:fldChar w:fldCharType="end"/>
          </w:r>
        </w:p>
      </w:tc>
    </w:tr>
  </w:tbl>
  <w:p w14:paraId="05E7A7A3" w14:textId="77777777" w:rsidR="00124727" w:rsidRDefault="00124727">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124727" w14:paraId="1BED1089" w14:textId="77777777">
      <w:trPr>
        <w:jc w:val="center"/>
      </w:trPr>
      <w:tc>
        <w:tcPr>
          <w:tcW w:w="1803" w:type="dxa"/>
          <w:vAlign w:val="center"/>
        </w:tcPr>
        <w:p w14:paraId="3C3C7293" w14:textId="77777777" w:rsidR="00124727" w:rsidRDefault="00124727">
          <w:pPr>
            <w:pStyle w:val="Header"/>
            <w:jc w:val="left"/>
            <w:rPr>
              <w:rFonts w:eastAsiaTheme="minorHAnsi"/>
            </w:rPr>
          </w:pPr>
          <w:hyperlink r:id="rId1" w:history="1">
            <w:r>
              <w:rPr>
                <w:rStyle w:val="Hyperlink"/>
                <w:rFonts w:eastAsiaTheme="minorHAnsi"/>
                <w:u w:val="none"/>
              </w:rPr>
              <w:t>council.itu.int/2025</w:t>
            </w:r>
          </w:hyperlink>
        </w:p>
      </w:tc>
      <w:tc>
        <w:tcPr>
          <w:tcW w:w="8261" w:type="dxa"/>
        </w:tcPr>
        <w:p w14:paraId="76043EE0" w14:textId="05BFD111" w:rsidR="00124727" w:rsidRDefault="00DB54AA">
          <w:pPr>
            <w:pStyle w:val="Header"/>
            <w:tabs>
              <w:tab w:val="left" w:pos="6448"/>
              <w:tab w:val="right" w:pos="8505"/>
              <w:tab w:val="right" w:pos="9639"/>
            </w:tabs>
            <w:jc w:val="left"/>
            <w:rPr>
              <w:rFonts w:ascii="Arial" w:eastAsiaTheme="minorHAnsi" w:hAnsi="Arial" w:cs="Arial"/>
              <w:b/>
              <w:bCs/>
              <w:szCs w:val="18"/>
            </w:rPr>
          </w:pPr>
          <w:r>
            <w:rPr>
              <w:rFonts w:eastAsiaTheme="minorHAnsi"/>
              <w:bCs/>
            </w:rPr>
            <w:tab/>
            <w:t>C25/</w:t>
          </w:r>
          <w:r w:rsidR="00EF2CFE">
            <w:rPr>
              <w:rFonts w:eastAsiaTheme="minorHAnsi"/>
              <w:bCs/>
            </w:rPr>
            <w:t>93</w:t>
          </w:r>
          <w:r>
            <w:rPr>
              <w:rFonts w:eastAsiaTheme="minorHAnsi"/>
              <w:bCs/>
            </w:rPr>
            <w:t>-E</w:t>
          </w:r>
          <w:r>
            <w:rPr>
              <w:rFonts w:eastAsiaTheme="minorHAnsi"/>
              <w:bCs/>
            </w:rPr>
            <w:tab/>
          </w:r>
          <w:r>
            <w:rPr>
              <w:rFonts w:eastAsiaTheme="minorHAnsi"/>
            </w:rPr>
            <w:fldChar w:fldCharType="begin"/>
          </w:r>
          <w:r>
            <w:rPr>
              <w:rFonts w:eastAsiaTheme="minorHAnsi"/>
            </w:rPr>
            <w:instrText>PAGE</w:instrText>
          </w:r>
          <w:r>
            <w:rPr>
              <w:rFonts w:eastAsiaTheme="minorHAnsi"/>
            </w:rPr>
            <w:fldChar w:fldCharType="separate"/>
          </w:r>
          <w:r>
            <w:rPr>
              <w:rFonts w:eastAsiaTheme="minorHAnsi"/>
            </w:rPr>
            <w:t>1</w:t>
          </w:r>
          <w:r>
            <w:rPr>
              <w:rFonts w:eastAsiaTheme="minorHAnsi"/>
            </w:rPr>
            <w:fldChar w:fldCharType="end"/>
          </w:r>
        </w:p>
      </w:tc>
    </w:tr>
  </w:tbl>
  <w:p w14:paraId="70A026AB" w14:textId="77777777" w:rsidR="00124727" w:rsidRDefault="00124727">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A6EA" w14:textId="77777777" w:rsidR="002B109E" w:rsidRDefault="002B109E">
      <w:pPr>
        <w:spacing w:before="0"/>
      </w:pPr>
      <w:r>
        <w:separator/>
      </w:r>
    </w:p>
  </w:footnote>
  <w:footnote w:type="continuationSeparator" w:id="0">
    <w:p w14:paraId="65A4EA9F" w14:textId="77777777" w:rsidR="002B109E" w:rsidRDefault="002B109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124727" w14:paraId="21E39DBD" w14:textId="77777777">
      <w:trPr>
        <w:trHeight w:val="1104"/>
        <w:jc w:val="center"/>
      </w:trPr>
      <w:tc>
        <w:tcPr>
          <w:tcW w:w="4390" w:type="dxa"/>
          <w:vAlign w:val="center"/>
        </w:tcPr>
        <w:p w14:paraId="3DE72795" w14:textId="77777777" w:rsidR="00124727" w:rsidRDefault="00DB54AA">
          <w:pPr>
            <w:pStyle w:val="Header"/>
            <w:jc w:val="left"/>
            <w:rPr>
              <w:rFonts w:ascii="Arial" w:eastAsiaTheme="minorHAnsi" w:hAnsi="Arial" w:cs="Arial"/>
              <w:b/>
              <w:bCs/>
              <w:color w:val="009CD6"/>
              <w:sz w:val="36"/>
              <w:szCs w:val="36"/>
              <w14:textFill>
                <w14:solidFill>
                  <w14:srgbClr w14:val="009CD6">
                    <w14:lumMod w14:val="50000"/>
                    <w14:lumOff w14:val="50000"/>
                  </w14:srgbClr>
                </w14:solidFill>
              </w14:textFill>
            </w:rPr>
          </w:pPr>
          <w:bookmarkStart w:id="12" w:name="_Hlk133422111"/>
          <w:r>
            <w:rPr>
              <w:rFonts w:ascii="Arial" w:eastAsiaTheme="minorHAnsi" w:hAnsi="Arial" w:cs="Arial"/>
              <w:b/>
              <w:bCs/>
              <w:noProof/>
              <w:color w:val="009CD6"/>
              <w:sz w:val="36"/>
              <w:szCs w:val="36"/>
              <w14:textFill>
                <w14:solidFill>
                  <w14:srgbClr w14:val="009CD6">
                    <w14:lumMod w14:val="50000"/>
                    <w14:lumOff w14:val="50000"/>
                  </w14:srgbClr>
                </w14:solidFill>
              </w14:textFill>
            </w:rPr>
            <w:drawing>
              <wp:inline distT="0" distB="0" distL="0" distR="0" wp14:anchorId="021E560C" wp14:editId="60D7BF2F">
                <wp:extent cx="3671570" cy="611505"/>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67E660D5" w14:textId="77777777" w:rsidR="00124727" w:rsidRDefault="00124727">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0C1DC631" w14:textId="77777777" w:rsidR="00124727" w:rsidRDefault="00124727">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6D48EE1C" w14:textId="77777777" w:rsidR="00124727" w:rsidRDefault="00DB54AA">
          <w:pPr>
            <w:pStyle w:val="Header"/>
            <w:jc w:val="right"/>
            <w:rPr>
              <w:rFonts w:ascii="Arial" w:eastAsiaTheme="minorHAnsi" w:hAnsi="Arial" w:cs="Arial"/>
              <w:color w:val="009CD6"/>
              <w:szCs w:val="18"/>
              <w14:textFill>
                <w14:solidFill>
                  <w14:srgbClr w14:val="009CD6">
                    <w14:lumMod w14:val="50000"/>
                    <w14:lumOff w14:val="50000"/>
                  </w14:srgbClr>
                </w14:solidFill>
              </w14:textFill>
            </w:rPr>
          </w:pPr>
          <w:r>
            <w:rPr>
              <w:rFonts w:ascii="Arial" w:eastAsiaTheme="minorHAnsi" w:hAnsi="Arial" w:cs="Arial"/>
              <w:b/>
              <w:bCs/>
              <w:color w:val="009CD6"/>
              <w:szCs w:val="18"/>
              <w14:textFill>
                <w14:solidFill>
                  <w14:srgbClr w14:val="009CD6">
                    <w14:lumMod w14:val="50000"/>
                    <w14:lumOff w14:val="50000"/>
                  </w14:srgbClr>
                </w14:solidFill>
              </w14:textFill>
            </w:rPr>
            <w:t xml:space="preserve"> </w:t>
          </w:r>
        </w:p>
      </w:tc>
    </w:tr>
  </w:tbl>
  <w:bookmarkEnd w:id="12"/>
  <w:p w14:paraId="34270EFD" w14:textId="77777777" w:rsidR="00124727" w:rsidRDefault="00DB54AA">
    <w:pPr>
      <w:pStyle w:val="Header"/>
    </w:pPr>
    <w:r>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FCE4A16" wp14:editId="37FD20EF">
              <wp:simplePos x="0" y="0"/>
              <wp:positionH relativeFrom="page">
                <wp:posOffset>3810</wp:posOffset>
              </wp:positionH>
              <wp:positionV relativeFrom="topMargin">
                <wp:posOffset>600710</wp:posOffset>
              </wp:positionV>
              <wp:extent cx="107950" cy="39624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wps:spPr>
                    <wps:bodyPr rot="0" vert="horz" wrap="square" lIns="91440" tIns="45720" rIns="91440" bIns="45720" anchor="t" anchorCtr="0" upright="1">
                      <a:noAutofit/>
                    </wps:bodyPr>
                  </wps:wsp>
                </a:graphicData>
              </a:graphic>
            </wp:anchor>
          </w:drawing>
        </mc:Choice>
        <mc:Fallback>
          <w:pict>
            <v:rect w14:anchorId="1D321620" id="Rectangle 5" o:spid="_x0000_s1026" style="position:absolute;margin-left:.3pt;margin-top:47.3pt;width:8.5pt;height:31.2pt;z-index:251659264;visibility:visible;mso-wrap-style:square;mso-wrap-distance-left:9pt;mso-wrap-distance-top:0;mso-wrap-distance-right:9pt;mso-wrap-distance-bottom:0;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lUuptsAAAAGAQAADwAAAGRycy9kb3ducmV2LnhtbEyOMU/DMBCF&#10;dyT+g3VIbNQhggZCnAohGKoylNKlmxsfSSA+h/japvx6rhNMn07v6d1XzEbfqT0OsQ1k4HqSgEKq&#10;gmupNrB+f7m6AxXZkrNdIDRwxAiz8vyssLkLB3rD/YprJSMUc2ugYe5zrWPVoLdxEnokyT7C4C3L&#10;OdTaDfYg477TaZJMtbctyYfG9vjUYPW12nkDvEnr7LhccLp+Xny/fs7n7Y/bGHN5MT4+gGIc+a8M&#10;J31Rh1KctmFHLqrOwFR6Bu5vhKc0E26Ft1kCuiz0f/3yFwAA//8DAFBLAQItABQABgAIAAAAIQC2&#10;gziS/gAAAOEBAAATAAAAAAAAAAAAAAAAAAAAAABbQ29udGVudF9UeXBlc10ueG1sUEsBAi0AFAAG&#10;AAgAAAAhADj9If/WAAAAlAEAAAsAAAAAAAAAAAAAAAAALwEAAF9yZWxzLy5yZWxzUEsBAi0AFAAG&#10;AAgAAAAhAESeaKPlAQAAtAMAAA4AAAAAAAAAAAAAAAAALgIAAGRycy9lMm9Eb2MueG1sUEsBAi0A&#10;FAAGAAgAAAAhAP5VLqbbAAAABgEAAA8AAAAAAAAAAAAAAAAAPwQAAGRycy9kb3ducmV2LnhtbFBL&#10;BQYAAAAABAAEAPMAAABH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7FF888"/>
    <w:multiLevelType w:val="singleLevel"/>
    <w:tmpl w:val="A47FF888"/>
    <w:lvl w:ilvl="0">
      <w:start w:val="1"/>
      <w:numFmt w:val="decimal"/>
      <w:suff w:val="space"/>
      <w:lvlText w:val="%1."/>
      <w:lvlJc w:val="left"/>
    </w:lvl>
  </w:abstractNum>
  <w:abstractNum w:abstractNumId="1" w15:restartNumberingAfterBreak="0">
    <w:nsid w:val="C3A435BF"/>
    <w:multiLevelType w:val="singleLevel"/>
    <w:tmpl w:val="C3A435BF"/>
    <w:lvl w:ilvl="0">
      <w:start w:val="1"/>
      <w:numFmt w:val="decimal"/>
      <w:suff w:val="space"/>
      <w:lvlText w:val="(%1)"/>
      <w:lvlJc w:val="left"/>
    </w:lvl>
  </w:abstractNum>
  <w:abstractNum w:abstractNumId="2" w15:restartNumberingAfterBreak="0">
    <w:nsid w:val="4C48D5FC"/>
    <w:multiLevelType w:val="singleLevel"/>
    <w:tmpl w:val="4C48D5FC"/>
    <w:lvl w:ilvl="0">
      <w:start w:val="1"/>
      <w:numFmt w:val="decimal"/>
      <w:suff w:val="space"/>
      <w:lvlText w:val="(%1)"/>
      <w:lvlJc w:val="left"/>
    </w:lvl>
  </w:abstractNum>
  <w:abstractNum w:abstractNumId="3" w15:restartNumberingAfterBreak="0">
    <w:nsid w:val="6DE30554"/>
    <w:multiLevelType w:val="singleLevel"/>
    <w:tmpl w:val="6DE30554"/>
    <w:lvl w:ilvl="0">
      <w:start w:val="3"/>
      <w:numFmt w:val="decimal"/>
      <w:suff w:val="space"/>
      <w:lvlText w:val="%1."/>
      <w:lvlJc w:val="left"/>
    </w:lvl>
  </w:abstractNum>
  <w:num w:numId="1" w16cid:durableId="523055506">
    <w:abstractNumId w:val="0"/>
  </w:num>
  <w:num w:numId="2" w16cid:durableId="308484274">
    <w:abstractNumId w:val="1"/>
  </w:num>
  <w:num w:numId="3" w16cid:durableId="2094231819">
    <w:abstractNumId w:val="3"/>
  </w:num>
  <w:num w:numId="4" w16cid:durableId="1213496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ZjODNkYjgzYjc4NTVlMTcyNThmYWNlMTIzYTI4YmUifQ=="/>
  </w:docVars>
  <w:rsids>
    <w:rsidRoot w:val="004811F8"/>
    <w:rsid w:val="000210D4"/>
    <w:rsid w:val="00032FC7"/>
    <w:rsid w:val="0006007D"/>
    <w:rsid w:val="00063016"/>
    <w:rsid w:val="00066795"/>
    <w:rsid w:val="000745AB"/>
    <w:rsid w:val="00076AF6"/>
    <w:rsid w:val="00085CF2"/>
    <w:rsid w:val="000A5BD7"/>
    <w:rsid w:val="000B1705"/>
    <w:rsid w:val="000D75B2"/>
    <w:rsid w:val="000F5DDB"/>
    <w:rsid w:val="000F7289"/>
    <w:rsid w:val="001121F5"/>
    <w:rsid w:val="00124727"/>
    <w:rsid w:val="001400DC"/>
    <w:rsid w:val="0014067F"/>
    <w:rsid w:val="00140CE1"/>
    <w:rsid w:val="0017539C"/>
    <w:rsid w:val="00175AC2"/>
    <w:rsid w:val="0017609F"/>
    <w:rsid w:val="001835D7"/>
    <w:rsid w:val="001A3154"/>
    <w:rsid w:val="001A7D1D"/>
    <w:rsid w:val="001B51DD"/>
    <w:rsid w:val="001C628E"/>
    <w:rsid w:val="001E0F7B"/>
    <w:rsid w:val="001F5569"/>
    <w:rsid w:val="002119FD"/>
    <w:rsid w:val="00212721"/>
    <w:rsid w:val="002130E0"/>
    <w:rsid w:val="00221F46"/>
    <w:rsid w:val="00240B32"/>
    <w:rsid w:val="00264425"/>
    <w:rsid w:val="00265875"/>
    <w:rsid w:val="0027303B"/>
    <w:rsid w:val="0028109B"/>
    <w:rsid w:val="002A2188"/>
    <w:rsid w:val="002B109E"/>
    <w:rsid w:val="002B1F58"/>
    <w:rsid w:val="002C1C7A"/>
    <w:rsid w:val="002C54E2"/>
    <w:rsid w:val="0030160F"/>
    <w:rsid w:val="00320223"/>
    <w:rsid w:val="00322D0D"/>
    <w:rsid w:val="00361465"/>
    <w:rsid w:val="00384F74"/>
    <w:rsid w:val="003877F5"/>
    <w:rsid w:val="003936D3"/>
    <w:rsid w:val="003942D4"/>
    <w:rsid w:val="003958A8"/>
    <w:rsid w:val="003B29C2"/>
    <w:rsid w:val="003C2533"/>
    <w:rsid w:val="003D5A7F"/>
    <w:rsid w:val="0040435A"/>
    <w:rsid w:val="00404AF7"/>
    <w:rsid w:val="00416A24"/>
    <w:rsid w:val="00427BFF"/>
    <w:rsid w:val="00431D9E"/>
    <w:rsid w:val="00433CE8"/>
    <w:rsid w:val="00434A5C"/>
    <w:rsid w:val="00453079"/>
    <w:rsid w:val="004544D9"/>
    <w:rsid w:val="00466584"/>
    <w:rsid w:val="00472BAD"/>
    <w:rsid w:val="004811F8"/>
    <w:rsid w:val="00484009"/>
    <w:rsid w:val="00490E72"/>
    <w:rsid w:val="00491157"/>
    <w:rsid w:val="00491BA9"/>
    <w:rsid w:val="004921C8"/>
    <w:rsid w:val="00495B0B"/>
    <w:rsid w:val="004A1B8B"/>
    <w:rsid w:val="004B25A1"/>
    <w:rsid w:val="004D1851"/>
    <w:rsid w:val="004D599D"/>
    <w:rsid w:val="004E2EA5"/>
    <w:rsid w:val="004E3AEB"/>
    <w:rsid w:val="0050223C"/>
    <w:rsid w:val="005243FF"/>
    <w:rsid w:val="00564FBC"/>
    <w:rsid w:val="005800BC"/>
    <w:rsid w:val="00582442"/>
    <w:rsid w:val="005F3269"/>
    <w:rsid w:val="00623AE3"/>
    <w:rsid w:val="00630C4D"/>
    <w:rsid w:val="00644EC6"/>
    <w:rsid w:val="0064737F"/>
    <w:rsid w:val="006535F1"/>
    <w:rsid w:val="0065557D"/>
    <w:rsid w:val="00660D50"/>
    <w:rsid w:val="00662984"/>
    <w:rsid w:val="006716BB"/>
    <w:rsid w:val="006B1859"/>
    <w:rsid w:val="006B6680"/>
    <w:rsid w:val="006B6DCC"/>
    <w:rsid w:val="006B77F1"/>
    <w:rsid w:val="006C5ECF"/>
    <w:rsid w:val="00702DEF"/>
    <w:rsid w:val="00706861"/>
    <w:rsid w:val="00722551"/>
    <w:rsid w:val="007249F0"/>
    <w:rsid w:val="0075051B"/>
    <w:rsid w:val="00764DAB"/>
    <w:rsid w:val="0077110E"/>
    <w:rsid w:val="00793188"/>
    <w:rsid w:val="00794D34"/>
    <w:rsid w:val="007A3FCD"/>
    <w:rsid w:val="007B19CF"/>
    <w:rsid w:val="007D01AF"/>
    <w:rsid w:val="00813E5E"/>
    <w:rsid w:val="0083581B"/>
    <w:rsid w:val="00863874"/>
    <w:rsid w:val="00864AFF"/>
    <w:rsid w:val="00865925"/>
    <w:rsid w:val="008B4A6A"/>
    <w:rsid w:val="008C7E27"/>
    <w:rsid w:val="008F7448"/>
    <w:rsid w:val="0090147A"/>
    <w:rsid w:val="009173EF"/>
    <w:rsid w:val="00932906"/>
    <w:rsid w:val="00945CC6"/>
    <w:rsid w:val="00961B0B"/>
    <w:rsid w:val="00962D33"/>
    <w:rsid w:val="00964749"/>
    <w:rsid w:val="009B38C3"/>
    <w:rsid w:val="009E17BD"/>
    <w:rsid w:val="009E485A"/>
    <w:rsid w:val="00A04CEC"/>
    <w:rsid w:val="00A27F92"/>
    <w:rsid w:val="00A32257"/>
    <w:rsid w:val="00A36D20"/>
    <w:rsid w:val="00A514A4"/>
    <w:rsid w:val="00A55622"/>
    <w:rsid w:val="00A83502"/>
    <w:rsid w:val="00A94BAB"/>
    <w:rsid w:val="00AD15B3"/>
    <w:rsid w:val="00AD3606"/>
    <w:rsid w:val="00AD4A3D"/>
    <w:rsid w:val="00AD677D"/>
    <w:rsid w:val="00AF6E49"/>
    <w:rsid w:val="00B04A67"/>
    <w:rsid w:val="00B0583C"/>
    <w:rsid w:val="00B40A81"/>
    <w:rsid w:val="00B44910"/>
    <w:rsid w:val="00B518E3"/>
    <w:rsid w:val="00B72267"/>
    <w:rsid w:val="00B76EB6"/>
    <w:rsid w:val="00B7737B"/>
    <w:rsid w:val="00B824C8"/>
    <w:rsid w:val="00B84B9D"/>
    <w:rsid w:val="00B9131F"/>
    <w:rsid w:val="00BB0646"/>
    <w:rsid w:val="00BC251A"/>
    <w:rsid w:val="00BD032B"/>
    <w:rsid w:val="00BE01C6"/>
    <w:rsid w:val="00BE2640"/>
    <w:rsid w:val="00BF1FDE"/>
    <w:rsid w:val="00C01189"/>
    <w:rsid w:val="00C0458D"/>
    <w:rsid w:val="00C374DE"/>
    <w:rsid w:val="00C47AD4"/>
    <w:rsid w:val="00C52D81"/>
    <w:rsid w:val="00C55198"/>
    <w:rsid w:val="00C6520B"/>
    <w:rsid w:val="00C763AC"/>
    <w:rsid w:val="00CA6393"/>
    <w:rsid w:val="00CA7995"/>
    <w:rsid w:val="00CB18FF"/>
    <w:rsid w:val="00CB3A44"/>
    <w:rsid w:val="00CD0C08"/>
    <w:rsid w:val="00CE03FB"/>
    <w:rsid w:val="00CE433C"/>
    <w:rsid w:val="00CF0161"/>
    <w:rsid w:val="00CF33F3"/>
    <w:rsid w:val="00CF4A2B"/>
    <w:rsid w:val="00D024CA"/>
    <w:rsid w:val="00D06183"/>
    <w:rsid w:val="00D22C42"/>
    <w:rsid w:val="00D65041"/>
    <w:rsid w:val="00D83783"/>
    <w:rsid w:val="00DB1936"/>
    <w:rsid w:val="00DB384B"/>
    <w:rsid w:val="00DB54AA"/>
    <w:rsid w:val="00DD11ED"/>
    <w:rsid w:val="00DF0189"/>
    <w:rsid w:val="00DF26C9"/>
    <w:rsid w:val="00DF78EE"/>
    <w:rsid w:val="00E06FD5"/>
    <w:rsid w:val="00E10E80"/>
    <w:rsid w:val="00E124F0"/>
    <w:rsid w:val="00E227F3"/>
    <w:rsid w:val="00E322D2"/>
    <w:rsid w:val="00E545C6"/>
    <w:rsid w:val="00E60F04"/>
    <w:rsid w:val="00E65B24"/>
    <w:rsid w:val="00E854E4"/>
    <w:rsid w:val="00E86DBF"/>
    <w:rsid w:val="00E95109"/>
    <w:rsid w:val="00E969AF"/>
    <w:rsid w:val="00EB0D6F"/>
    <w:rsid w:val="00EB2232"/>
    <w:rsid w:val="00EC5337"/>
    <w:rsid w:val="00EE49E8"/>
    <w:rsid w:val="00EF2CFE"/>
    <w:rsid w:val="00F16BAB"/>
    <w:rsid w:val="00F2150A"/>
    <w:rsid w:val="00F231D8"/>
    <w:rsid w:val="00F23857"/>
    <w:rsid w:val="00F41209"/>
    <w:rsid w:val="00F44C00"/>
    <w:rsid w:val="00F45D2C"/>
    <w:rsid w:val="00F46C5F"/>
    <w:rsid w:val="00F632C0"/>
    <w:rsid w:val="00F641E1"/>
    <w:rsid w:val="00F94A63"/>
    <w:rsid w:val="00FA1C28"/>
    <w:rsid w:val="00FB1279"/>
    <w:rsid w:val="00FB6B76"/>
    <w:rsid w:val="00FB7596"/>
    <w:rsid w:val="00FD7B3C"/>
    <w:rsid w:val="00FE4077"/>
    <w:rsid w:val="00FE500D"/>
    <w:rsid w:val="00FE77D2"/>
    <w:rsid w:val="00FF39B1"/>
    <w:rsid w:val="02BC028B"/>
    <w:rsid w:val="0FEA3B24"/>
    <w:rsid w:val="180C1C44"/>
    <w:rsid w:val="225B0B4B"/>
    <w:rsid w:val="30545311"/>
    <w:rsid w:val="31C1400B"/>
    <w:rsid w:val="32BE33B5"/>
    <w:rsid w:val="369B240B"/>
    <w:rsid w:val="39B57AA1"/>
    <w:rsid w:val="3C1D131B"/>
    <w:rsid w:val="420250EE"/>
    <w:rsid w:val="4B410561"/>
    <w:rsid w:val="56073261"/>
    <w:rsid w:val="59B600F1"/>
    <w:rsid w:val="5C09140A"/>
    <w:rsid w:val="64C115D9"/>
    <w:rsid w:val="795B20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7857B"/>
  <w15:docId w15:val="{AD0C68F6-D86F-4BC5-884C-C655713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unhideWhenUsed="1"/>
    <w:lsdException w:name="header" w:uiPriority="99" w:qFormat="1"/>
    <w:lsdException w:name="foot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qFormat/>
    <w:pPr>
      <w:keepNext/>
      <w:keepLines/>
      <w:spacing w:before="360"/>
      <w:ind w:left="567" w:hanging="567"/>
      <w:outlineLvl w:val="0"/>
    </w:pPr>
    <w:rPr>
      <w:b/>
      <w:sz w:val="28"/>
    </w:rPr>
  </w:style>
  <w:style w:type="paragraph" w:styleId="Heading2">
    <w:name w:val="heading 2"/>
    <w:basedOn w:val="Heading1"/>
    <w:next w:val="Normal"/>
    <w:qFormat/>
    <w:pPr>
      <w:spacing w:before="24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NormalIndent">
    <w:name w:val="Normal Indent"/>
    <w:basedOn w:val="Normal"/>
    <w:qFormat/>
    <w:pPr>
      <w:ind w:left="567"/>
    </w:pPr>
  </w:style>
  <w:style w:type="paragraph" w:styleId="Index5">
    <w:name w:val="index 5"/>
    <w:basedOn w:val="Normal"/>
    <w:next w:val="Normal"/>
    <w:qFormat/>
    <w:pPr>
      <w:ind w:left="1132"/>
    </w:pPr>
  </w:style>
  <w:style w:type="paragraph" w:styleId="Index6">
    <w:name w:val="index 6"/>
    <w:basedOn w:val="Normal"/>
    <w:next w:val="Normal"/>
    <w:qFormat/>
    <w:pPr>
      <w:ind w:left="1415"/>
    </w:pPr>
  </w:style>
  <w:style w:type="paragraph" w:styleId="Index4">
    <w:name w:val="index 4"/>
    <w:basedOn w:val="Normal"/>
    <w:next w:val="Normal"/>
    <w:qFormat/>
    <w:pPr>
      <w:ind w:left="849"/>
    </w:pPr>
  </w:style>
  <w:style w:type="paragraph" w:styleId="TOC5">
    <w:name w:val="toc 5"/>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3">
    <w:name w:val="index 3"/>
    <w:basedOn w:val="Normal"/>
    <w:next w:val="Normal"/>
    <w:qFormat/>
    <w:pPr>
      <w:ind w:left="566"/>
    </w:pPr>
  </w:style>
  <w:style w:type="paragraph" w:styleId="Footer">
    <w:name w:val="footer"/>
    <w:basedOn w:val="Normal"/>
    <w:qFormat/>
    <w:pPr>
      <w:tabs>
        <w:tab w:val="clear" w:pos="567"/>
        <w:tab w:val="clear" w:pos="1134"/>
        <w:tab w:val="clear" w:pos="1701"/>
        <w:tab w:val="clear" w:pos="2268"/>
        <w:tab w:val="clear" w:pos="2835"/>
        <w:tab w:val="left" w:pos="5954"/>
        <w:tab w:val="right" w:pos="9639"/>
      </w:tabs>
      <w:spacing w:before="0"/>
    </w:pPr>
    <w:rPr>
      <w:caps/>
      <w:sz w:val="16"/>
    </w:rPr>
  </w:style>
  <w:style w:type="paragraph" w:styleId="Header">
    <w:name w:val="header"/>
    <w:basedOn w:val="Normal"/>
    <w:link w:val="HeaderChar"/>
    <w:uiPriority w:val="99"/>
    <w:qFormat/>
    <w:pPr>
      <w:tabs>
        <w:tab w:val="clear" w:pos="567"/>
        <w:tab w:val="clear" w:pos="1134"/>
        <w:tab w:val="clear" w:pos="1701"/>
        <w:tab w:val="clear" w:pos="2268"/>
        <w:tab w:val="clear" w:pos="2835"/>
      </w:tabs>
      <w:spacing w:before="0"/>
      <w:jc w:val="center"/>
    </w:pPr>
    <w:rPr>
      <w:color w:val="7F7F7F" w:themeColor="text1" w:themeTint="80"/>
      <w:sz w:val="18"/>
    </w:rPr>
  </w:style>
  <w:style w:type="paragraph" w:styleId="TOC1">
    <w:name w:val="toc 1"/>
    <w:basedOn w:val="Normal"/>
    <w:qFormat/>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 w:val="left" w:pos="964"/>
        <w:tab w:val="left" w:pos="8789"/>
        <w:tab w:val="right" w:pos="9639"/>
      </w:tabs>
      <w:ind w:left="964" w:hanging="964"/>
    </w:pPr>
  </w:style>
  <w:style w:type="paragraph" w:styleId="IndexHeading">
    <w:name w:val="index heading"/>
    <w:basedOn w:val="Normal"/>
    <w:next w:val="Index1"/>
    <w:qFormat/>
  </w:style>
  <w:style w:type="paragraph" w:styleId="Index1">
    <w:name w:val="index 1"/>
    <w:basedOn w:val="Normal"/>
    <w:next w:val="Normal"/>
    <w:qFormat/>
  </w:style>
  <w:style w:type="paragraph" w:styleId="List">
    <w:name w:val="List"/>
    <w:basedOn w:val="Normal"/>
    <w:qFormat/>
    <w:pPr>
      <w:tabs>
        <w:tab w:val="left" w:pos="2127"/>
      </w:tabs>
      <w:ind w:left="2127" w:hanging="2127"/>
    </w:pPr>
  </w:style>
  <w:style w:type="paragraph" w:styleId="FootnoteText">
    <w:name w:val="footnote text"/>
    <w:basedOn w:val="Normal"/>
    <w:qFormat/>
    <w:pPr>
      <w:keepLines/>
      <w:tabs>
        <w:tab w:val="left" w:pos="284"/>
      </w:tabs>
      <w:ind w:left="284" w:hanging="284"/>
    </w:pPr>
    <w:rPr>
      <w:sz w:val="22"/>
    </w:rPr>
  </w:style>
  <w:style w:type="paragraph" w:styleId="TOC6">
    <w:name w:val="toc 6"/>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qFormat/>
    <w:pPr>
      <w:ind w:left="1698"/>
    </w:pPr>
  </w:style>
  <w:style w:type="paragraph" w:styleId="TOC2">
    <w:name w:val="toc 2"/>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9">
    <w:name w:val="toc 9"/>
    <w:basedOn w:val="TOC4"/>
    <w:qFormat/>
  </w:style>
  <w:style w:type="paragraph" w:styleId="Index2">
    <w:name w:val="index 2"/>
    <w:basedOn w:val="Normal"/>
    <w:next w:val="Normal"/>
    <w:qFormat/>
    <w:pPr>
      <w:ind w:left="283"/>
    </w:pPr>
  </w:style>
  <w:style w:type="table" w:styleId="TableGrid">
    <w:name w:val="Table Grid"/>
    <w:basedOn w:val="TableNormal"/>
    <w:uiPriority w:val="39"/>
    <w:qFormat/>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rFonts w:ascii="Calibri" w:hAnsi="Calibri"/>
    </w:rPr>
  </w:style>
  <w:style w:type="character" w:styleId="FollowedHyperlink">
    <w:name w:val="FollowedHyperlink"/>
    <w:basedOn w:val="DefaultParagraphFont"/>
    <w:qFormat/>
    <w:rPr>
      <w:color w:val="800080"/>
      <w:u w:val="single"/>
    </w:rPr>
  </w:style>
  <w:style w:type="character" w:styleId="LineNumber">
    <w:name w:val="line number"/>
    <w:basedOn w:val="DefaultParagraphFont"/>
    <w:qFormat/>
    <w:rPr>
      <w:rFonts w:asciiTheme="minorHAnsi" w:hAnsiTheme="minorHAnsi"/>
      <w:sz w:val="24"/>
    </w:rPr>
  </w:style>
  <w:style w:type="character" w:styleId="Hyperlink">
    <w:name w:val="Hyperlink"/>
    <w:basedOn w:val="DefaultParagraphFont"/>
    <w:qFormat/>
    <w:rPr>
      <w:color w:val="4F81BD" w:themeColor="accent1"/>
      <w:u w:val="single"/>
    </w:rPr>
  </w:style>
  <w:style w:type="character" w:styleId="FootnoteReference">
    <w:name w:val="footnote reference"/>
    <w:basedOn w:val="DefaultParagraphFont"/>
    <w:qFormat/>
    <w:rPr>
      <w:rFonts w:ascii="Calibri" w:hAnsi="Calibri"/>
      <w:position w:val="6"/>
      <w:sz w:val="16"/>
    </w:rPr>
  </w:style>
  <w:style w:type="paragraph" w:customStyle="1" w:styleId="enumlev1">
    <w:name w:val="enumlev1"/>
    <w:basedOn w:val="Normal"/>
    <w:qFormat/>
    <w:pPr>
      <w:spacing w:before="80"/>
      <w:ind w:left="567" w:hanging="567"/>
    </w:pPr>
  </w:style>
  <w:style w:type="paragraph" w:customStyle="1" w:styleId="enumlev2">
    <w:name w:val="enumlev2"/>
    <w:basedOn w:val="enumlev1"/>
    <w:qFormat/>
    <w:pPr>
      <w:ind w:left="1134"/>
    </w:pPr>
  </w:style>
  <w:style w:type="paragraph" w:customStyle="1" w:styleId="enumlev3">
    <w:name w:val="enumlev3"/>
    <w:basedOn w:val="enumlev2"/>
    <w:qFormat/>
    <w:pPr>
      <w:ind w:left="1701"/>
    </w:pPr>
  </w:style>
  <w:style w:type="paragraph" w:customStyle="1" w:styleId="Normalaftertitle">
    <w:name w:val="Normal after title"/>
    <w:basedOn w:val="Normal"/>
    <w:next w:val="Normal"/>
    <w:qFormat/>
    <w:pPr>
      <w:spacing w:before="240"/>
    </w:pPr>
  </w:style>
  <w:style w:type="character" w:customStyle="1" w:styleId="HeaderChar">
    <w:name w:val="Header Char"/>
    <w:basedOn w:val="DefaultParagraphFont"/>
    <w:link w:val="Header"/>
    <w:uiPriority w:val="99"/>
    <w:qFormat/>
    <w:rPr>
      <w:rFonts w:ascii="Calibri" w:hAnsi="Calibri"/>
      <w:color w:val="7F7F7F" w:themeColor="text1" w:themeTint="80"/>
      <w:sz w:val="18"/>
      <w:lang w:val="en-GB" w:eastAsia="en-US"/>
    </w:r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qFormat/>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Normal"/>
    <w:autoRedefine/>
    <w:qFormat/>
    <w:pPr>
      <w:framePr w:hSpace="180" w:wrap="around" w:vAnchor="page" w:hAnchor="page" w:x="1821" w:y="2317"/>
      <w:spacing w:before="840"/>
    </w:pPr>
    <w:rPr>
      <w:b/>
      <w:sz w:val="32"/>
      <w:szCs w:val="32"/>
    </w:rPr>
  </w:style>
  <w:style w:type="paragraph" w:customStyle="1" w:styleId="Title1">
    <w:name w:val="Title 1"/>
    <w:basedOn w:val="Source"/>
    <w:next w:val="Title2"/>
    <w:qFormat/>
    <w:pPr>
      <w:framePr w:wrap="around"/>
      <w:spacing w:before="240"/>
    </w:pPr>
    <w:rPr>
      <w:b w:val="0"/>
    </w:rPr>
  </w:style>
  <w:style w:type="paragraph" w:customStyle="1" w:styleId="Title2">
    <w:name w:val="Title 2"/>
    <w:basedOn w:val="Source"/>
    <w:next w:val="Title3"/>
    <w:qFormat/>
    <w:pPr>
      <w:framePr w:wrap="around"/>
      <w:spacing w:before="240"/>
    </w:pPr>
    <w:rPr>
      <w:b w:val="0"/>
      <w:caps/>
    </w:rPr>
  </w:style>
  <w:style w:type="paragraph" w:customStyle="1" w:styleId="Title3">
    <w:name w:val="Title 3"/>
    <w:basedOn w:val="Title2"/>
    <w:next w:val="Title4"/>
    <w:qFormat/>
    <w:pPr>
      <w:framePr w:wrap="around"/>
    </w:pPr>
    <w:rPr>
      <w:caps w:val="0"/>
    </w:rPr>
  </w:style>
  <w:style w:type="paragraph" w:customStyle="1" w:styleId="Title4">
    <w:name w:val="Title 4"/>
    <w:basedOn w:val="Title3"/>
    <w:next w:val="Heading1"/>
    <w:qFormat/>
    <w:pPr>
      <w:framePr w:wrap="around"/>
    </w:pPr>
    <w:rPr>
      <w:b/>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FirstFooter">
    <w:name w:val="FirstFooter"/>
    <w:basedOn w:val="Footer"/>
    <w:qFormat/>
    <w:rPr>
      <w:caps w:val="0"/>
    </w:rPr>
  </w:style>
  <w:style w:type="paragraph" w:customStyle="1" w:styleId="Note">
    <w:name w:val="Note"/>
    <w:basedOn w:val="Normal"/>
    <w:qFormat/>
    <w:pPr>
      <w:tabs>
        <w:tab w:val="clear" w:pos="567"/>
        <w:tab w:val="left" w:pos="851"/>
      </w:tabs>
    </w:pPr>
  </w:style>
  <w:style w:type="paragraph" w:customStyle="1" w:styleId="Headingb">
    <w:name w:val="Heading_b"/>
    <w:basedOn w:val="Heading3"/>
    <w:next w:val="Normal"/>
    <w:qFormat/>
    <w:pPr>
      <w:spacing w:before="160"/>
      <w:ind w:left="0" w:firstLine="0"/>
      <w:outlineLvl w:val="0"/>
    </w:pPr>
  </w:style>
  <w:style w:type="paragraph" w:customStyle="1" w:styleId="dnum">
    <w:name w:val="dnum"/>
    <w:basedOn w:val="Normal"/>
    <w:qFormat/>
    <w:pPr>
      <w:framePr w:hSpace="181" w:wrap="around" w:vAnchor="page" w:hAnchor="margin" w:y="852"/>
      <w:shd w:val="solid" w:color="FFFFFF" w:fill="FFFFFF"/>
      <w:tabs>
        <w:tab w:val="left" w:pos="1871"/>
      </w:tabs>
    </w:pPr>
    <w:rPr>
      <w:b/>
      <w:bCs/>
    </w:rPr>
  </w:style>
  <w:style w:type="paragraph" w:customStyle="1" w:styleId="ddate">
    <w:name w:val="ddate"/>
    <w:basedOn w:val="Normal"/>
    <w:qFormat/>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pPr>
      <w:keepNext/>
      <w:keepLines/>
      <w:spacing w:before="720"/>
      <w:jc w:val="center"/>
    </w:pPr>
    <w:rPr>
      <w:caps/>
      <w:sz w:val="28"/>
    </w:rPr>
  </w:style>
  <w:style w:type="paragraph" w:customStyle="1" w:styleId="Annexref">
    <w:name w:val="Annex_ref"/>
    <w:basedOn w:val="Normal"/>
    <w:next w:val="Annextitle"/>
    <w:qFormat/>
    <w:pPr>
      <w:keepNext/>
      <w:keepLines/>
      <w:jc w:val="center"/>
    </w:pPr>
  </w:style>
  <w:style w:type="paragraph" w:customStyle="1" w:styleId="Annextitle">
    <w:name w:val="Annex_title"/>
    <w:basedOn w:val="Normal"/>
    <w:next w:val="Normal"/>
    <w:qFormat/>
    <w:pPr>
      <w:keepNext/>
      <w:keepLines/>
      <w:spacing w:after="240"/>
      <w:jc w:val="center"/>
    </w:pPr>
    <w:rPr>
      <w:b/>
      <w:sz w:val="28"/>
    </w:rPr>
  </w:style>
  <w:style w:type="paragraph" w:customStyle="1" w:styleId="Call">
    <w:name w:val="Call"/>
    <w:basedOn w:val="Normal"/>
    <w:next w:val="Normal"/>
    <w:qFormat/>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text"/>
      <w:spacing w:before="120" w:after="160"/>
    </w:pPr>
  </w:style>
  <w:style w:type="paragraph" w:customStyle="1" w:styleId="Figure">
    <w:name w:val="Figure"/>
    <w:basedOn w:val="Normal"/>
    <w:next w:val="Figuretitle"/>
    <w:qFormat/>
    <w:pPr>
      <w:spacing w:after="240"/>
      <w:jc w:val="center"/>
    </w:pPr>
  </w:style>
  <w:style w:type="paragraph" w:customStyle="1" w:styleId="Figuretitle">
    <w:name w:val="Figure_title"/>
    <w:basedOn w:val="Tabletitle"/>
    <w:next w:val="Normalaftertitle"/>
    <w:qFormat/>
    <w:pPr>
      <w:spacing w:before="120" w:after="0"/>
    </w:pPr>
  </w:style>
  <w:style w:type="paragraph" w:customStyle="1" w:styleId="Tabletitle">
    <w:name w:val="Table_title"/>
    <w:basedOn w:val="TableNo"/>
    <w:next w:val="Tabletext"/>
    <w:qFormat/>
    <w:pPr>
      <w:tabs>
        <w:tab w:val="left" w:pos="2948"/>
        <w:tab w:val="left" w:pos="4082"/>
      </w:tabs>
      <w:spacing w:before="0"/>
    </w:pPr>
    <w:rPr>
      <w:b/>
      <w:caps w:val="0"/>
    </w:rPr>
  </w:style>
  <w:style w:type="paragraph" w:customStyle="1" w:styleId="TableNo">
    <w:name w:val="Table_No"/>
    <w:basedOn w:val="Normal"/>
    <w:next w:val="Tabletitle"/>
    <w:qFormat/>
    <w:pPr>
      <w:keepNext/>
      <w:spacing w:before="560" w:after="120"/>
      <w:jc w:val="center"/>
    </w:pPr>
    <w:rPr>
      <w:caps/>
    </w:rPr>
  </w:style>
  <w:style w:type="paragraph" w:customStyle="1" w:styleId="Tabletext">
    <w:name w:val="Table_text"/>
    <w:basedOn w:val="Normal"/>
    <w:qFormat/>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pPr>
      <w:spacing w:before="20" w:after="240"/>
    </w:pPr>
    <w:rPr>
      <w:sz w:val="20"/>
    </w:rPr>
  </w:style>
  <w:style w:type="paragraph" w:customStyle="1" w:styleId="FigureNo">
    <w:name w:val="Figure_No"/>
    <w:basedOn w:val="Normal"/>
    <w:next w:val="Figuretitle"/>
    <w:qFormat/>
    <w:pPr>
      <w:keepNext/>
      <w:keepLines/>
      <w:spacing w:before="480"/>
      <w:jc w:val="center"/>
    </w:pPr>
    <w:rPr>
      <w:caps/>
    </w:rPr>
  </w:style>
  <w:style w:type="paragraph" w:customStyle="1" w:styleId="Figurewithouttitle">
    <w:name w:val="Figure_without_title"/>
    <w:basedOn w:val="Figure"/>
    <w:next w:val="Normalaftertitle"/>
    <w:qFormat/>
  </w:style>
  <w:style w:type="paragraph" w:customStyle="1" w:styleId="Headingi">
    <w:name w:val="Heading_i"/>
    <w:basedOn w:val="Heading3"/>
    <w:next w:val="Normal"/>
    <w:qFormat/>
    <w:pPr>
      <w:spacing w:before="160"/>
      <w:ind w:left="0" w:firstLine="0"/>
      <w:outlineLvl w:val="0"/>
    </w:pPr>
    <w:rPr>
      <w:rFonts w:asciiTheme="minorHAnsi" w:hAnsiTheme="minorHAnsi"/>
      <w:b w:val="0"/>
      <w:i/>
    </w:rPr>
  </w:style>
  <w:style w:type="paragraph" w:customStyle="1" w:styleId="PartNo">
    <w:name w:val="Part_No"/>
    <w:basedOn w:val="AnnexNo"/>
    <w:next w:val="Parttitle"/>
    <w:qFormat/>
  </w:style>
  <w:style w:type="paragraph" w:customStyle="1" w:styleId="Parttitle">
    <w:name w:val="Part_title"/>
    <w:basedOn w:val="Annextitle"/>
    <w:next w:val="Partref"/>
    <w:qFormat/>
  </w:style>
  <w:style w:type="paragraph" w:customStyle="1" w:styleId="Partref">
    <w:name w:val="Part_ref"/>
    <w:basedOn w:val="Annexref"/>
    <w:next w:val="Normalaftertitle"/>
    <w:qFormat/>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sdate">
    <w:name w:val="Res_date"/>
    <w:basedOn w:val="Recdate"/>
    <w:next w:val="Normalaftertitle"/>
    <w:qFormat/>
  </w:style>
  <w:style w:type="paragraph" w:customStyle="1" w:styleId="ResNo">
    <w:name w:val="Res_No"/>
    <w:basedOn w:val="AnnexNo"/>
    <w:next w:val="Restitle"/>
    <w:qFormat/>
  </w:style>
  <w:style w:type="paragraph" w:customStyle="1" w:styleId="Restitle">
    <w:name w:val="Res_title"/>
    <w:basedOn w:val="Annextitle"/>
    <w:next w:val="Normal"/>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Tablehead">
    <w:name w:val="Table_head"/>
    <w:basedOn w:val="Tabletext"/>
    <w:qFormat/>
    <w:pPr>
      <w:spacing w:before="120" w:after="12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666666"/>
    </w:rPr>
  </w:style>
  <w:style w:type="paragraph" w:customStyle="1" w:styleId="Reasons">
    <w:name w:val="Reasons"/>
    <w:basedOn w:val="Normal"/>
    <w:qFormat/>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EF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tu.int/md/S25-CL-C-0050/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md/S25-CWGFHR20-C-0032/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tu.int/md/S25-CL-C-0069/en" TargetMode="External"/><Relationship Id="rId4" Type="http://schemas.openxmlformats.org/officeDocument/2006/relationships/styles" Target="styles.xml"/><Relationship Id="rId9" Type="http://schemas.openxmlformats.org/officeDocument/2006/relationships/hyperlink" Target="https://www.itu.int/md/S25-CL-C-0050/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952</Words>
  <Characters>6142</Characters>
  <Application>Microsoft Office Word</Application>
  <DocSecurity>0</DocSecurity>
  <Lines>102</Lines>
  <Paragraphs>32</Paragraphs>
  <ScaleCrop>false</ScaleCrop>
  <HeadingPairs>
    <vt:vector size="2" baseType="variant">
      <vt:variant>
        <vt:lpstr>Title</vt:lpstr>
      </vt:variant>
      <vt:variant>
        <vt:i4>1</vt:i4>
      </vt:variant>
    </vt:vector>
  </HeadingPairs>
  <TitlesOfParts>
    <vt:vector size="1" baseType="lpstr">
      <vt:lpstr>Council 2025</vt:lpstr>
    </vt:vector>
  </TitlesOfParts>
  <Manager>General Secretariat</Manager>
  <Company>International Telecommunication Union (ITU)</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proposal on the review of Regional presence</dc:title>
  <dc:subject>Council 2025</dc:subject>
  <cp:keywords>C25; C2025; Council 2025; ITU160</cp:keywords>
  <cp:lastPrinted>2000-07-18T13:30:00Z</cp:lastPrinted>
  <dcterms:created xsi:type="dcterms:W3CDTF">2025-06-04T08:04:00Z</dcterms:created>
  <dcterms:modified xsi:type="dcterms:W3CDTF">2025-06-04T16:00:00Z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KSOProductBuildVer">
    <vt:lpwstr>2052-12.1.0.18276</vt:lpwstr>
  </property>
  <property fmtid="{D5CDD505-2E9C-101B-9397-08002B2CF9AE}" pid="10" name="ICV">
    <vt:lpwstr>F39216ABEB1C49E49B8BA7D180EF66C9_13</vt:lpwstr>
  </property>
</Properties>
</file>