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35E598F9"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3F44E5" w:rsidRPr="003F44E5">
              <w:rPr>
                <w:rFonts w:cstheme="minorHAnsi"/>
                <w:b/>
                <w:bCs/>
              </w:rPr>
              <w:t>ADM 1</w:t>
            </w:r>
          </w:p>
        </w:tc>
        <w:tc>
          <w:tcPr>
            <w:tcW w:w="5245" w:type="dxa"/>
          </w:tcPr>
          <w:p w14:paraId="64410F78" w14:textId="0888E20C"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003F44E5" w:rsidRPr="003F44E5">
              <w:rPr>
                <w:b/>
              </w:rPr>
              <w:t>C25</w:t>
            </w:r>
            <w:proofErr w:type="spellEnd"/>
            <w:r w:rsidR="003F44E5" w:rsidRPr="003F44E5">
              <w:rPr>
                <w:b/>
              </w:rPr>
              <w:t>/93-</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67365F9F" w:rsidR="00E24D59" w:rsidRPr="00E85629" w:rsidRDefault="003F44E5"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6</w:t>
            </w:r>
            <w:r>
              <w:rPr>
                <w:rFonts w:hint="eastAsia"/>
                <w:b/>
                <w:lang w:eastAsia="zh-CN"/>
              </w:rPr>
              <w:t>月</w:t>
            </w:r>
            <w:r>
              <w:rPr>
                <w:rFonts w:hint="eastAsia"/>
                <w:b/>
                <w:lang w:eastAsia="zh-CN"/>
              </w:rPr>
              <w:t>3</w:t>
            </w:r>
            <w:r>
              <w:rPr>
                <w:rFonts w:hint="eastAsia"/>
                <w:b/>
                <w:lang w:eastAsia="zh-CN"/>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31456B82"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3F44E5">
              <w:rPr>
                <w:rFonts w:cstheme="minorHAnsi" w:hint="eastAsia"/>
                <w:b/>
                <w:bCs/>
                <w:lang w:val="ru-RU" w:eastAsia="zh-CN"/>
              </w:rPr>
              <w:t>英文</w:t>
            </w:r>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45759A51" w:rsidR="00E24D59" w:rsidRPr="00E24D59" w:rsidRDefault="009432A6" w:rsidP="00DA0E66">
            <w:pPr>
              <w:pStyle w:val="Source"/>
              <w:spacing w:before="840"/>
              <w:jc w:val="left"/>
              <w:rPr>
                <w:sz w:val="34"/>
                <w:szCs w:val="34"/>
                <w:lang w:eastAsia="zh-CN"/>
              </w:rPr>
            </w:pPr>
            <w:bookmarkStart w:id="5" w:name="dsource" w:colFirst="0" w:colLast="0"/>
            <w:bookmarkEnd w:id="4"/>
            <w:r w:rsidRPr="009432A6">
              <w:rPr>
                <w:rFonts w:cstheme="minorHAnsi" w:hint="eastAsia"/>
                <w:sz w:val="34"/>
                <w:szCs w:val="34"/>
                <w:lang w:eastAsia="zh-CN"/>
              </w:rPr>
              <w:t>南非</w:t>
            </w:r>
            <w:r>
              <w:rPr>
                <w:rFonts w:cstheme="minorHAnsi" w:hint="eastAsia"/>
                <w:sz w:val="34"/>
                <w:szCs w:val="34"/>
                <w:lang w:eastAsia="zh-CN"/>
              </w:rPr>
              <w:t>（</w:t>
            </w:r>
            <w:r w:rsidRPr="009432A6">
              <w:rPr>
                <w:rFonts w:cstheme="minorHAnsi" w:hint="eastAsia"/>
                <w:sz w:val="34"/>
                <w:szCs w:val="34"/>
                <w:lang w:eastAsia="zh-CN"/>
              </w:rPr>
              <w:t>共和国</w:t>
            </w:r>
            <w:r>
              <w:rPr>
                <w:rFonts w:cstheme="minorHAnsi" w:hint="eastAsia"/>
                <w:sz w:val="34"/>
                <w:szCs w:val="34"/>
                <w:lang w:eastAsia="zh-CN"/>
              </w:rPr>
              <w:t>）、（</w:t>
            </w:r>
            <w:r w:rsidRPr="009432A6">
              <w:rPr>
                <w:rFonts w:cstheme="minorHAnsi" w:hint="eastAsia"/>
                <w:sz w:val="34"/>
                <w:szCs w:val="34"/>
                <w:lang w:eastAsia="zh-CN"/>
              </w:rPr>
              <w:t>阿拉伯</w:t>
            </w:r>
            <w:r>
              <w:rPr>
                <w:rFonts w:cstheme="minorHAnsi" w:hint="eastAsia"/>
                <w:sz w:val="34"/>
                <w:szCs w:val="34"/>
                <w:lang w:eastAsia="zh-CN"/>
              </w:rPr>
              <w:t>）</w:t>
            </w:r>
            <w:r w:rsidRPr="009432A6">
              <w:rPr>
                <w:rFonts w:cstheme="minorHAnsi" w:hint="eastAsia"/>
                <w:sz w:val="34"/>
                <w:szCs w:val="34"/>
                <w:lang w:eastAsia="zh-CN"/>
              </w:rPr>
              <w:t>埃及</w:t>
            </w:r>
            <w:r>
              <w:rPr>
                <w:rFonts w:cstheme="minorHAnsi" w:hint="eastAsia"/>
                <w:sz w:val="34"/>
                <w:szCs w:val="34"/>
                <w:lang w:eastAsia="zh-CN"/>
              </w:rPr>
              <w:t>（</w:t>
            </w:r>
            <w:r w:rsidRPr="009432A6">
              <w:rPr>
                <w:rFonts w:cstheme="minorHAnsi" w:hint="eastAsia"/>
                <w:sz w:val="34"/>
                <w:szCs w:val="34"/>
                <w:lang w:eastAsia="zh-CN"/>
              </w:rPr>
              <w:t>共和国</w:t>
            </w:r>
            <w:r>
              <w:rPr>
                <w:rFonts w:cstheme="minorHAnsi" w:hint="eastAsia"/>
                <w:sz w:val="34"/>
                <w:szCs w:val="34"/>
                <w:lang w:eastAsia="zh-CN"/>
              </w:rPr>
              <w:t>）</w:t>
            </w:r>
            <w:r w:rsidR="003F44E5" w:rsidRPr="003F44E5">
              <w:rPr>
                <w:rFonts w:cstheme="minorHAnsi" w:hint="eastAsia"/>
                <w:sz w:val="34"/>
                <w:szCs w:val="34"/>
                <w:lang w:eastAsia="zh-CN"/>
              </w:rPr>
              <w:t>和</w:t>
            </w:r>
            <w:r w:rsidR="00C32B60">
              <w:rPr>
                <w:rFonts w:cstheme="minorHAnsi"/>
                <w:sz w:val="34"/>
                <w:szCs w:val="34"/>
                <w:lang w:eastAsia="zh-CN"/>
              </w:rPr>
              <w:br/>
            </w:r>
            <w:r w:rsidRPr="009432A6">
              <w:rPr>
                <w:rFonts w:cstheme="minorHAnsi" w:hint="eastAsia"/>
                <w:sz w:val="34"/>
                <w:szCs w:val="34"/>
                <w:lang w:eastAsia="zh-CN"/>
              </w:rPr>
              <w:t>肯尼亚</w:t>
            </w:r>
            <w:r>
              <w:rPr>
                <w:rFonts w:cstheme="minorHAnsi" w:hint="eastAsia"/>
                <w:sz w:val="34"/>
                <w:szCs w:val="34"/>
                <w:lang w:eastAsia="zh-CN"/>
              </w:rPr>
              <w:t>（</w:t>
            </w:r>
            <w:r w:rsidRPr="009432A6">
              <w:rPr>
                <w:rFonts w:cstheme="minorHAnsi" w:hint="eastAsia"/>
                <w:sz w:val="34"/>
                <w:szCs w:val="34"/>
                <w:lang w:eastAsia="zh-CN"/>
              </w:rPr>
              <w:t>共和国</w:t>
            </w:r>
            <w:r>
              <w:rPr>
                <w:rFonts w:cstheme="minorHAnsi" w:hint="eastAsia"/>
                <w:sz w:val="34"/>
                <w:szCs w:val="34"/>
                <w:lang w:eastAsia="zh-CN"/>
              </w:rPr>
              <w:t>）</w:t>
            </w:r>
            <w:r w:rsidR="003F44E5" w:rsidRPr="003F44E5">
              <w:rPr>
                <w:rFonts w:cstheme="minorHAnsi" w:hint="eastAsia"/>
                <w:sz w:val="34"/>
                <w:szCs w:val="34"/>
                <w:lang w:eastAsia="zh-CN"/>
              </w:rPr>
              <w:t>的文稿</w:t>
            </w:r>
          </w:p>
        </w:tc>
      </w:tr>
      <w:tr w:rsidR="00E24D59" w:rsidRPr="00813E5E" w14:paraId="3F851478" w14:textId="77777777" w:rsidTr="00E31DCE">
        <w:trPr>
          <w:cantSplit/>
        </w:trPr>
        <w:tc>
          <w:tcPr>
            <w:tcW w:w="9214" w:type="dxa"/>
            <w:gridSpan w:val="2"/>
            <w:tcMar>
              <w:left w:w="0" w:type="dxa"/>
            </w:tcMar>
          </w:tcPr>
          <w:p w14:paraId="152174A8" w14:textId="2E7FDA20" w:rsidR="00E24D59" w:rsidRPr="00477D57" w:rsidRDefault="009432A6" w:rsidP="009432A6">
            <w:pPr>
              <w:pStyle w:val="Subtitle"/>
              <w:framePr w:hSpace="0" w:wrap="auto" w:hAnchor="text" w:xAlign="left" w:yAlign="inline"/>
              <w:rPr>
                <w:rFonts w:eastAsia="SimSun"/>
                <w:lang w:eastAsia="zh-CN"/>
              </w:rPr>
            </w:pPr>
            <w:bookmarkStart w:id="6" w:name="dtitle1" w:colFirst="0" w:colLast="0"/>
            <w:bookmarkEnd w:id="5"/>
            <w:r w:rsidRPr="003F44E5">
              <w:rPr>
                <w:rFonts w:eastAsia="SimSun" w:hint="eastAsia"/>
                <w:lang w:eastAsia="zh-CN"/>
              </w:rPr>
              <w:t>关于</w:t>
            </w:r>
            <w:r w:rsidRPr="009432A6">
              <w:rPr>
                <w:rFonts w:eastAsia="SimSun" w:hint="eastAsia"/>
                <w:lang w:eastAsia="zh-CN"/>
              </w:rPr>
              <w:t>审查国际电</w:t>
            </w:r>
            <w:proofErr w:type="gramStart"/>
            <w:r w:rsidRPr="009432A6">
              <w:rPr>
                <w:rFonts w:eastAsia="SimSun" w:hint="eastAsia"/>
                <w:lang w:eastAsia="zh-CN"/>
              </w:rPr>
              <w:t>联区域</w:t>
            </w:r>
            <w:proofErr w:type="gramEnd"/>
            <w:r w:rsidRPr="009432A6">
              <w:rPr>
                <w:rFonts w:eastAsia="SimSun" w:hint="eastAsia"/>
                <w:lang w:eastAsia="zh-CN"/>
              </w:rPr>
              <w:t>代表处的</w:t>
            </w:r>
            <w:r w:rsidRPr="003F44E5">
              <w:rPr>
                <w:rFonts w:eastAsia="SimSun" w:hint="eastAsia"/>
                <w:lang w:eastAsia="zh-CN"/>
              </w:rPr>
              <w:t>提案</w:t>
            </w:r>
          </w:p>
        </w:tc>
      </w:tr>
      <w:tr w:rsidR="00E24D59"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1DD28892" w:rsidR="003F086E" w:rsidRPr="00477D57" w:rsidRDefault="003F086E" w:rsidP="00477D57">
            <w:pPr>
              <w:rPr>
                <w:b/>
                <w:bCs/>
                <w:lang w:eastAsia="zh-CN"/>
              </w:rPr>
            </w:pPr>
            <w:r w:rsidRPr="00477D57">
              <w:rPr>
                <w:b/>
                <w:bCs/>
                <w:lang w:eastAsia="zh-CN"/>
              </w:rPr>
              <w:t>目的</w:t>
            </w:r>
          </w:p>
          <w:p w14:paraId="112D2BA9" w14:textId="69EEE5C5" w:rsidR="003F086E" w:rsidRPr="003F44E5" w:rsidRDefault="003F44E5" w:rsidP="0075406A">
            <w:pPr>
              <w:ind w:firstLineChars="200" w:firstLine="480"/>
              <w:jc w:val="both"/>
              <w:rPr>
                <w:rFonts w:eastAsiaTheme="majorEastAsia" w:cs="Calibri"/>
                <w:lang w:eastAsia="zh-CN"/>
              </w:rPr>
            </w:pPr>
            <w:r w:rsidRPr="00984012">
              <w:rPr>
                <w:rFonts w:eastAsiaTheme="majorEastAsia" w:cs="Calibri" w:hint="eastAsia"/>
                <w:lang w:val="en-US" w:eastAsia="zh-CN"/>
              </w:rPr>
              <w:t>本文稿</w:t>
            </w:r>
            <w:r w:rsidR="00C942F4" w:rsidRPr="00984012">
              <w:rPr>
                <w:rFonts w:eastAsiaTheme="majorEastAsia" w:cs="Calibri" w:hint="eastAsia"/>
                <w:lang w:val="en-US" w:eastAsia="zh-CN"/>
              </w:rPr>
              <w:t>旨在对</w:t>
            </w:r>
            <w:r w:rsidR="00CD2F4F" w:rsidRPr="00984012">
              <w:rPr>
                <w:rFonts w:eastAsiaTheme="majorEastAsia" w:cs="Calibri" w:hint="eastAsia"/>
                <w:lang w:val="en-US" w:eastAsia="zh-CN"/>
              </w:rPr>
              <w:t>区域代表处</w:t>
            </w:r>
            <w:r w:rsidR="002B3DBC" w:rsidRPr="00984012">
              <w:rPr>
                <w:rFonts w:eastAsiaTheme="majorEastAsia" w:cs="Calibri" w:hint="eastAsia"/>
                <w:lang w:val="en-US" w:eastAsia="zh-CN"/>
              </w:rPr>
              <w:t>情况</w:t>
            </w:r>
            <w:r w:rsidR="00FA0667" w:rsidRPr="00984012">
              <w:rPr>
                <w:rFonts w:eastAsiaTheme="majorEastAsia" w:cs="Calibri" w:hint="eastAsia"/>
                <w:lang w:val="en-US" w:eastAsia="zh-CN"/>
              </w:rPr>
              <w:t>审查工作</w:t>
            </w:r>
            <w:r w:rsidR="00CD2F4F" w:rsidRPr="00984012">
              <w:rPr>
                <w:rFonts w:eastAsiaTheme="majorEastAsia" w:cs="Calibri" w:hint="eastAsia"/>
                <w:lang w:val="en-US" w:eastAsia="zh-CN"/>
              </w:rPr>
              <w:t>的</w:t>
            </w:r>
            <w:r w:rsidRPr="00984012">
              <w:rPr>
                <w:rFonts w:eastAsiaTheme="majorEastAsia" w:cs="Calibri" w:hint="eastAsia"/>
                <w:lang w:val="en-US" w:eastAsia="zh-CN"/>
              </w:rPr>
              <w:t>职责范围</w:t>
            </w:r>
            <w:r w:rsidR="00C942F4">
              <w:rPr>
                <w:rFonts w:eastAsiaTheme="majorEastAsia" w:cs="Calibri" w:hint="eastAsia"/>
                <w:lang w:val="en-US" w:eastAsia="zh-CN"/>
              </w:rPr>
              <w:t>表示</w:t>
            </w:r>
            <w:r w:rsidR="00FA0667">
              <w:rPr>
                <w:rFonts w:eastAsiaTheme="majorEastAsia" w:cs="Calibri" w:hint="eastAsia"/>
                <w:lang w:val="en-US" w:eastAsia="zh-CN"/>
              </w:rPr>
              <w:t>支持</w:t>
            </w:r>
            <w:r w:rsidR="00CD2F4F">
              <w:rPr>
                <w:rFonts w:eastAsiaTheme="majorEastAsia" w:cs="Calibri" w:hint="eastAsia"/>
                <w:lang w:val="en-US" w:eastAsia="zh-CN"/>
              </w:rPr>
              <w:t>。</w:t>
            </w:r>
            <w:r w:rsidRPr="003F44E5">
              <w:rPr>
                <w:rFonts w:eastAsiaTheme="majorEastAsia" w:cs="Calibri" w:hint="eastAsia"/>
                <w:lang w:val="en-US" w:eastAsia="zh-CN"/>
              </w:rPr>
              <w:t>全权代表大会第</w:t>
            </w:r>
            <w:r w:rsidR="00CD2F4F" w:rsidRPr="003F44E5">
              <w:rPr>
                <w:rFonts w:eastAsiaTheme="majorEastAsia" w:cs="Calibri"/>
                <w:lang w:val="en-US" w:eastAsia="zh-CN"/>
              </w:rPr>
              <w:t>25</w:t>
            </w:r>
            <w:r w:rsidRPr="003F44E5">
              <w:rPr>
                <w:rFonts w:eastAsiaTheme="majorEastAsia" w:cs="Calibri" w:hint="eastAsia"/>
                <w:lang w:val="en-US" w:eastAsia="zh-CN"/>
              </w:rPr>
              <w:t>号决议</w:t>
            </w:r>
            <w:r w:rsidR="00CD2F4F">
              <w:rPr>
                <w:rFonts w:eastAsiaTheme="majorEastAsia" w:cs="Calibri" w:hint="eastAsia"/>
                <w:lang w:val="en-US" w:eastAsia="zh-CN"/>
              </w:rPr>
              <w:t>（</w:t>
            </w:r>
            <w:r w:rsidR="00CD2F4F" w:rsidRPr="003F44E5">
              <w:rPr>
                <w:rFonts w:eastAsiaTheme="majorEastAsia" w:cs="Calibri"/>
                <w:lang w:val="en-US" w:eastAsia="zh-CN"/>
              </w:rPr>
              <w:t>2022</w:t>
            </w:r>
            <w:r w:rsidR="00CD2F4F" w:rsidRPr="003F44E5">
              <w:rPr>
                <w:rFonts w:eastAsiaTheme="majorEastAsia" w:cs="Calibri" w:hint="eastAsia"/>
                <w:lang w:val="en-US" w:eastAsia="zh-CN"/>
              </w:rPr>
              <w:t>年</w:t>
            </w:r>
            <w:r w:rsidR="00CD2F4F">
              <w:rPr>
                <w:rFonts w:eastAsiaTheme="majorEastAsia" w:cs="Calibri" w:hint="eastAsia"/>
                <w:lang w:val="en-US" w:eastAsia="zh-CN"/>
              </w:rPr>
              <w:t>，</w:t>
            </w:r>
            <w:r w:rsidR="00CD2F4F" w:rsidRPr="003F44E5">
              <w:rPr>
                <w:rFonts w:eastAsiaTheme="majorEastAsia" w:cs="Calibri" w:hint="eastAsia"/>
                <w:lang w:val="en-US" w:eastAsia="zh-CN"/>
              </w:rPr>
              <w:t>布加勒斯特</w:t>
            </w:r>
            <w:r w:rsidR="00CD2F4F">
              <w:rPr>
                <w:rFonts w:eastAsiaTheme="majorEastAsia" w:cs="Calibri" w:hint="eastAsia"/>
                <w:lang w:val="en-US" w:eastAsia="zh-CN"/>
              </w:rPr>
              <w:t>，</w:t>
            </w:r>
            <w:r w:rsidR="00CD2F4F" w:rsidRPr="003F44E5">
              <w:rPr>
                <w:rFonts w:eastAsiaTheme="majorEastAsia" w:cs="Calibri" w:hint="eastAsia"/>
                <w:lang w:val="en-US" w:eastAsia="zh-CN"/>
              </w:rPr>
              <w:t>修订版</w:t>
            </w:r>
            <w:r w:rsidR="00CD2F4F">
              <w:rPr>
                <w:rFonts w:eastAsiaTheme="majorEastAsia" w:cs="Calibri" w:hint="eastAsia"/>
                <w:lang w:val="en-US" w:eastAsia="zh-CN"/>
              </w:rPr>
              <w:t>）承认</w:t>
            </w:r>
            <w:r w:rsidR="00CD2F4F" w:rsidRPr="00CD2F4F">
              <w:rPr>
                <w:rFonts w:eastAsiaTheme="majorEastAsia" w:cs="Calibri" w:hint="eastAsia"/>
                <w:lang w:val="en-US" w:eastAsia="zh-CN"/>
              </w:rPr>
              <w:t>许多国家</w:t>
            </w:r>
            <w:r w:rsidR="00CD2F4F">
              <w:rPr>
                <w:rFonts w:eastAsiaTheme="majorEastAsia" w:cs="Calibri" w:hint="eastAsia"/>
                <w:lang w:val="en-US" w:eastAsia="zh-CN"/>
              </w:rPr>
              <w:t>，</w:t>
            </w:r>
            <w:r w:rsidR="00CD2F4F" w:rsidRPr="00CD2F4F">
              <w:rPr>
                <w:rFonts w:eastAsiaTheme="majorEastAsia" w:cs="Calibri" w:hint="eastAsia"/>
                <w:lang w:val="en-US" w:eastAsia="zh-CN"/>
              </w:rPr>
              <w:t>特别是</w:t>
            </w:r>
            <w:r w:rsidR="00377B17" w:rsidRPr="003F44E5">
              <w:rPr>
                <w:rFonts w:eastAsiaTheme="majorEastAsia" w:cs="Calibri" w:hint="eastAsia"/>
                <w:lang w:val="en-US" w:eastAsia="zh-CN"/>
              </w:rPr>
              <w:t>发展中国家</w:t>
            </w:r>
            <w:r w:rsidR="00377B17">
              <w:rPr>
                <w:rFonts w:eastAsiaTheme="majorEastAsia" w:cs="Calibri" w:hint="eastAsia"/>
                <w:lang w:val="en-US" w:eastAsia="zh-CN"/>
              </w:rPr>
              <w:t>，</w:t>
            </w:r>
            <w:r w:rsidR="00377B17" w:rsidRPr="003F44E5">
              <w:rPr>
                <w:rFonts w:eastAsiaTheme="majorEastAsia" w:cs="Calibri" w:hint="eastAsia"/>
                <w:lang w:val="en-US" w:eastAsia="zh-CN"/>
              </w:rPr>
              <w:t>在</w:t>
            </w:r>
            <w:r w:rsidR="00984012">
              <w:rPr>
                <w:rFonts w:eastAsiaTheme="majorEastAsia" w:cs="Calibri" w:hint="eastAsia"/>
                <w:lang w:val="en-US" w:eastAsia="zh-CN"/>
              </w:rPr>
              <w:t>为</w:t>
            </w:r>
            <w:r w:rsidR="00377B17" w:rsidRPr="003F44E5">
              <w:rPr>
                <w:rFonts w:eastAsiaTheme="majorEastAsia" w:cs="Calibri" w:hint="eastAsia"/>
                <w:lang w:val="en-US" w:eastAsia="zh-CN"/>
              </w:rPr>
              <w:t>国际电联活动</w:t>
            </w:r>
            <w:r w:rsidR="00984012">
              <w:rPr>
                <w:rFonts w:eastAsiaTheme="majorEastAsia" w:cs="Calibri" w:hint="eastAsia"/>
                <w:lang w:val="en-US" w:eastAsia="zh-CN"/>
              </w:rPr>
              <w:t>做出贡献</w:t>
            </w:r>
            <w:r w:rsidR="00FA0667">
              <w:rPr>
                <w:rFonts w:eastAsiaTheme="majorEastAsia" w:cs="Calibri" w:hint="eastAsia"/>
                <w:lang w:val="en-US" w:eastAsia="zh-CN"/>
              </w:rPr>
              <w:t>时</w:t>
            </w:r>
            <w:r w:rsidR="00377B17" w:rsidRPr="003F44E5">
              <w:rPr>
                <w:rFonts w:eastAsiaTheme="majorEastAsia" w:cs="Calibri" w:hint="eastAsia"/>
                <w:lang w:val="en-US" w:eastAsia="zh-CN"/>
              </w:rPr>
              <w:t>面临</w:t>
            </w:r>
            <w:r w:rsidR="00C942F4">
              <w:rPr>
                <w:rFonts w:eastAsiaTheme="majorEastAsia" w:cs="Calibri" w:hint="eastAsia"/>
                <w:lang w:val="en-US" w:eastAsia="zh-CN"/>
              </w:rPr>
              <w:t>财政</w:t>
            </w:r>
            <w:r w:rsidR="00984012">
              <w:rPr>
                <w:rFonts w:eastAsiaTheme="majorEastAsia" w:cs="Calibri" w:hint="eastAsia"/>
                <w:lang w:val="en-US" w:eastAsia="zh-CN"/>
              </w:rPr>
              <w:t>限制</w:t>
            </w:r>
            <w:r w:rsidR="00377B17">
              <w:rPr>
                <w:rFonts w:eastAsiaTheme="majorEastAsia" w:cs="Calibri" w:hint="eastAsia"/>
                <w:lang w:val="en-US" w:eastAsia="zh-CN"/>
              </w:rPr>
              <w:t>。</w:t>
            </w:r>
            <w:r w:rsidRPr="003F44E5">
              <w:rPr>
                <w:rFonts w:eastAsiaTheme="majorEastAsia" w:cs="Calibri" w:hint="eastAsia"/>
                <w:lang w:val="en-US" w:eastAsia="zh-CN"/>
              </w:rPr>
              <w:t>国际电联区域代表处</w:t>
            </w:r>
            <w:r w:rsidR="004D4A7A">
              <w:rPr>
                <w:rFonts w:eastAsiaTheme="majorEastAsia" w:cs="Calibri" w:hint="eastAsia"/>
                <w:lang w:val="en-US" w:eastAsia="zh-CN"/>
              </w:rPr>
              <w:t>有助于</w:t>
            </w:r>
            <w:r w:rsidR="00377B17">
              <w:rPr>
                <w:rFonts w:eastAsiaTheme="majorEastAsia" w:cs="Calibri" w:hint="eastAsia"/>
                <w:lang w:val="en-US" w:eastAsia="zh-CN"/>
              </w:rPr>
              <w:t>加强</w:t>
            </w:r>
            <w:r w:rsidRPr="003F44E5">
              <w:rPr>
                <w:rFonts w:eastAsiaTheme="majorEastAsia" w:cs="Calibri" w:hint="eastAsia"/>
                <w:lang w:val="en-US" w:eastAsia="zh-CN"/>
              </w:rPr>
              <w:t>与成员的密切联系</w:t>
            </w:r>
            <w:r w:rsidR="00377B17">
              <w:rPr>
                <w:rFonts w:eastAsiaTheme="majorEastAsia" w:cs="Calibri" w:hint="eastAsia"/>
                <w:lang w:val="en-US" w:eastAsia="zh-CN"/>
              </w:rPr>
              <w:t>、</w:t>
            </w:r>
            <w:r w:rsidR="00C942F4" w:rsidRPr="003F44E5">
              <w:rPr>
                <w:rFonts w:eastAsiaTheme="majorEastAsia" w:cs="Calibri" w:hint="eastAsia"/>
                <w:lang w:val="en-US" w:eastAsia="zh-CN"/>
              </w:rPr>
              <w:t>实施</w:t>
            </w:r>
            <w:r w:rsidRPr="003F44E5">
              <w:rPr>
                <w:rFonts w:eastAsiaTheme="majorEastAsia" w:cs="Calibri" w:hint="eastAsia"/>
                <w:lang w:val="en-US" w:eastAsia="zh-CN"/>
              </w:rPr>
              <w:t>项目</w:t>
            </w:r>
            <w:r w:rsidR="00377B17">
              <w:rPr>
                <w:rFonts w:eastAsiaTheme="majorEastAsia" w:cs="Calibri" w:hint="eastAsia"/>
                <w:lang w:val="en-US" w:eastAsia="zh-CN"/>
              </w:rPr>
              <w:t>、</w:t>
            </w:r>
            <w:r w:rsidR="00C942F4" w:rsidRPr="003F44E5">
              <w:rPr>
                <w:rFonts w:eastAsiaTheme="majorEastAsia" w:cs="Calibri" w:hint="eastAsia"/>
                <w:lang w:val="en-US" w:eastAsia="zh-CN"/>
              </w:rPr>
              <w:t>传播</w:t>
            </w:r>
            <w:r w:rsidRPr="003F44E5">
              <w:rPr>
                <w:rFonts w:eastAsiaTheme="majorEastAsia" w:cs="Calibri" w:hint="eastAsia"/>
                <w:lang w:val="en-US" w:eastAsia="zh-CN"/>
              </w:rPr>
              <w:t>信息</w:t>
            </w:r>
            <w:r w:rsidR="00377B17">
              <w:rPr>
                <w:rFonts w:eastAsiaTheme="majorEastAsia" w:cs="Calibri" w:hint="eastAsia"/>
                <w:lang w:val="en-US" w:eastAsia="zh-CN"/>
              </w:rPr>
              <w:t>、</w:t>
            </w:r>
            <w:r w:rsidRPr="003F44E5">
              <w:rPr>
                <w:rFonts w:eastAsiaTheme="majorEastAsia" w:cs="Calibri" w:hint="eastAsia"/>
                <w:lang w:val="en-US" w:eastAsia="zh-CN"/>
              </w:rPr>
              <w:t>与区域性组织建立关系</w:t>
            </w:r>
            <w:r w:rsidR="00FA0667">
              <w:rPr>
                <w:rFonts w:eastAsiaTheme="majorEastAsia" w:cs="Calibri" w:hint="eastAsia"/>
                <w:lang w:val="en-US" w:eastAsia="zh-CN"/>
              </w:rPr>
              <w:t>以及向</w:t>
            </w:r>
            <w:r w:rsidRPr="003F44E5">
              <w:rPr>
                <w:rFonts w:eastAsiaTheme="majorEastAsia" w:cs="Calibri" w:hint="eastAsia"/>
                <w:lang w:val="en-US" w:eastAsia="zh-CN"/>
              </w:rPr>
              <w:t>有</w:t>
            </w:r>
            <w:r w:rsidR="00FA0667">
              <w:rPr>
                <w:rFonts w:eastAsiaTheme="majorEastAsia" w:cs="Calibri" w:hint="eastAsia"/>
                <w:lang w:val="en-US" w:eastAsia="zh-CN"/>
              </w:rPr>
              <w:t>需要</w:t>
            </w:r>
            <w:r w:rsidRPr="003F44E5">
              <w:rPr>
                <w:rFonts w:eastAsiaTheme="majorEastAsia" w:cs="Calibri" w:hint="eastAsia"/>
                <w:lang w:val="en-US" w:eastAsia="zh-CN"/>
              </w:rPr>
              <w:t>的国家提供技术支持</w:t>
            </w:r>
            <w:r w:rsidR="00377B17">
              <w:rPr>
                <w:rFonts w:eastAsiaTheme="majorEastAsia" w:cs="Calibri" w:hint="eastAsia"/>
                <w:lang w:val="en-US" w:eastAsia="zh-CN"/>
              </w:rPr>
              <w:t>。</w:t>
            </w:r>
            <w:r w:rsidR="004D4A7A">
              <w:rPr>
                <w:rFonts w:eastAsiaTheme="majorEastAsia" w:cs="Calibri" w:hint="eastAsia"/>
                <w:lang w:val="en-US" w:eastAsia="zh-CN"/>
              </w:rPr>
              <w:t>因此，</w:t>
            </w:r>
            <w:r w:rsidRPr="004D4A7A">
              <w:rPr>
                <w:rFonts w:eastAsiaTheme="majorEastAsia" w:cs="Calibri" w:hint="eastAsia"/>
                <w:lang w:val="en-US" w:eastAsia="zh-CN"/>
              </w:rPr>
              <w:t>要求</w:t>
            </w:r>
            <w:r w:rsidR="00377B17" w:rsidRPr="004D4A7A">
              <w:rPr>
                <w:rFonts w:eastAsiaTheme="majorEastAsia" w:cs="Calibri" w:hint="eastAsia"/>
                <w:lang w:val="en-US" w:eastAsia="zh-CN"/>
              </w:rPr>
              <w:t>对区域代表处</w:t>
            </w:r>
            <w:r w:rsidR="004D4A7A">
              <w:rPr>
                <w:rFonts w:eastAsiaTheme="majorEastAsia" w:cs="Calibri" w:hint="eastAsia"/>
                <w:lang w:val="en-US" w:eastAsia="zh-CN"/>
              </w:rPr>
              <w:t>的</w:t>
            </w:r>
            <w:r w:rsidR="00377B17" w:rsidRPr="004D4A7A">
              <w:rPr>
                <w:rFonts w:eastAsiaTheme="majorEastAsia" w:cs="Calibri" w:hint="eastAsia"/>
                <w:lang w:val="en-US" w:eastAsia="zh-CN"/>
              </w:rPr>
              <w:t>审查</w:t>
            </w:r>
            <w:r w:rsidR="004D4A7A">
              <w:rPr>
                <w:rFonts w:eastAsiaTheme="majorEastAsia" w:cs="Calibri" w:hint="eastAsia"/>
                <w:lang w:val="en-US" w:eastAsia="zh-CN"/>
              </w:rPr>
              <w:t>工作</w:t>
            </w:r>
            <w:r w:rsidR="008C348E" w:rsidRPr="004D4A7A">
              <w:rPr>
                <w:rFonts w:eastAsiaTheme="majorEastAsia" w:cs="Calibri" w:hint="eastAsia"/>
                <w:lang w:val="en-US" w:eastAsia="zh-CN"/>
              </w:rPr>
              <w:t>适当</w:t>
            </w:r>
            <w:r w:rsidRPr="004D4A7A">
              <w:rPr>
                <w:rFonts w:eastAsiaTheme="majorEastAsia" w:cs="Calibri" w:hint="eastAsia"/>
                <w:lang w:val="en-US" w:eastAsia="zh-CN"/>
              </w:rPr>
              <w:t>考虑第</w:t>
            </w:r>
            <w:r w:rsidR="00377B17" w:rsidRPr="004D4A7A">
              <w:rPr>
                <w:rFonts w:eastAsiaTheme="majorEastAsia" w:cs="Calibri"/>
                <w:lang w:val="en-US" w:eastAsia="zh-CN"/>
              </w:rPr>
              <w:t>25</w:t>
            </w:r>
            <w:r w:rsidRPr="004D4A7A">
              <w:rPr>
                <w:rFonts w:eastAsiaTheme="majorEastAsia" w:cs="Calibri" w:hint="eastAsia"/>
                <w:lang w:val="en-US" w:eastAsia="zh-CN"/>
              </w:rPr>
              <w:t>号决议</w:t>
            </w:r>
            <w:r w:rsidR="00C942F4" w:rsidRPr="004D4A7A">
              <w:rPr>
                <w:rFonts w:eastAsiaTheme="majorEastAsia" w:cs="Calibri" w:hint="eastAsia"/>
                <w:lang w:val="en-US" w:eastAsia="zh-CN"/>
              </w:rPr>
              <w:t>设定的</w:t>
            </w:r>
            <w:r w:rsidRPr="004D4A7A">
              <w:rPr>
                <w:rFonts w:eastAsiaTheme="majorEastAsia" w:cs="Calibri" w:hint="eastAsia"/>
                <w:lang w:val="en-US" w:eastAsia="zh-CN"/>
              </w:rPr>
              <w:t>加强</w:t>
            </w:r>
            <w:r w:rsidRPr="003F44E5">
              <w:rPr>
                <w:rFonts w:eastAsiaTheme="majorEastAsia" w:cs="Calibri" w:hint="eastAsia"/>
                <w:lang w:val="en-US" w:eastAsia="zh-CN"/>
              </w:rPr>
              <w:t>和扩大区域代表处</w:t>
            </w:r>
            <w:r w:rsidR="00C942F4">
              <w:rPr>
                <w:rFonts w:eastAsiaTheme="majorEastAsia" w:cs="Calibri" w:hint="eastAsia"/>
                <w:lang w:val="en-US" w:eastAsia="zh-CN"/>
              </w:rPr>
              <w:t>的</w:t>
            </w:r>
            <w:r w:rsidRPr="003F44E5">
              <w:rPr>
                <w:rFonts w:eastAsiaTheme="majorEastAsia" w:cs="Calibri" w:hint="eastAsia"/>
                <w:lang w:val="en-US" w:eastAsia="zh-CN"/>
              </w:rPr>
              <w:t>目标</w:t>
            </w:r>
            <w:r w:rsidR="00FA0667">
              <w:rPr>
                <w:rFonts w:eastAsiaTheme="majorEastAsia" w:cs="Calibri" w:hint="eastAsia"/>
                <w:lang w:val="en-US" w:eastAsia="zh-CN"/>
              </w:rPr>
              <w:t>。</w:t>
            </w:r>
          </w:p>
          <w:p w14:paraId="0CF09D7B" w14:textId="77777777" w:rsidR="003F086E" w:rsidRPr="00477D57" w:rsidRDefault="003F086E" w:rsidP="00477D57">
            <w:pPr>
              <w:rPr>
                <w:b/>
                <w:bCs/>
                <w:lang w:eastAsia="zh-CN"/>
              </w:rPr>
            </w:pPr>
            <w:r w:rsidRPr="00477D57">
              <w:rPr>
                <w:b/>
                <w:bCs/>
                <w:lang w:eastAsia="zh-CN"/>
              </w:rPr>
              <w:t>理事会需采取的行动</w:t>
            </w:r>
          </w:p>
          <w:p w14:paraId="05D63C2C" w14:textId="6F850F8E" w:rsidR="003F086E" w:rsidRPr="00477D57" w:rsidRDefault="003F44E5" w:rsidP="00D62844">
            <w:pPr>
              <w:ind w:firstLineChars="200" w:firstLine="480"/>
              <w:rPr>
                <w:rFonts w:asciiTheme="majorEastAsia" w:eastAsiaTheme="majorEastAsia" w:hAnsiTheme="majorEastAsia"/>
                <w:lang w:eastAsia="zh-CN"/>
              </w:rPr>
            </w:pPr>
            <w:r w:rsidRPr="003F44E5">
              <w:rPr>
                <w:rFonts w:asciiTheme="majorEastAsia" w:eastAsiaTheme="majorEastAsia" w:hAnsiTheme="majorEastAsia" w:hint="eastAsia"/>
                <w:lang w:eastAsia="zh-CN"/>
              </w:rPr>
              <w:t>请理事会</w:t>
            </w:r>
            <w:r w:rsidRPr="00FA0667">
              <w:rPr>
                <w:rFonts w:asciiTheme="majorEastAsia" w:eastAsiaTheme="majorEastAsia" w:hAnsiTheme="majorEastAsia" w:hint="eastAsia"/>
                <w:b/>
                <w:bCs/>
                <w:lang w:eastAsia="zh-CN"/>
              </w:rPr>
              <w:t>审议</w:t>
            </w:r>
            <w:r w:rsidRPr="003F44E5">
              <w:rPr>
                <w:rFonts w:asciiTheme="majorEastAsia" w:eastAsiaTheme="majorEastAsia" w:hAnsiTheme="majorEastAsia" w:hint="eastAsia"/>
                <w:lang w:eastAsia="zh-CN"/>
              </w:rPr>
              <w:t>本文件</w:t>
            </w:r>
            <w:r w:rsidR="00FA0667">
              <w:rPr>
                <w:rFonts w:asciiTheme="majorEastAsia" w:eastAsiaTheme="majorEastAsia" w:hAnsiTheme="majorEastAsia" w:hint="eastAsia"/>
                <w:lang w:eastAsia="zh-CN"/>
              </w:rPr>
              <w:t>。</w:t>
            </w:r>
          </w:p>
          <w:p w14:paraId="7DDF59B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81F24F" w14:textId="77777777" w:rsidR="00E24D59" w:rsidRPr="00477D57" w:rsidRDefault="00E24D59" w:rsidP="00477D57">
            <w:pPr>
              <w:rPr>
                <w:b/>
                <w:bCs/>
                <w:lang w:eastAsia="zh-CN"/>
              </w:rPr>
            </w:pPr>
            <w:r w:rsidRPr="00477D57">
              <w:rPr>
                <w:rFonts w:hint="eastAsia"/>
                <w:b/>
                <w:bCs/>
                <w:lang w:eastAsia="zh-CN"/>
              </w:rPr>
              <w:t>参考文件</w:t>
            </w:r>
          </w:p>
          <w:p w14:paraId="2039B451" w14:textId="40BBB89B" w:rsidR="00E24D59" w:rsidRPr="00C32B60" w:rsidRDefault="003F44E5" w:rsidP="00D62844">
            <w:pPr>
              <w:spacing w:after="120"/>
              <w:ind w:firstLineChars="200" w:firstLine="480"/>
              <w:rPr>
                <w:rFonts w:asciiTheme="majorEastAsia" w:eastAsiaTheme="majorEastAsia" w:hAnsiTheme="majorEastAsia"/>
                <w:szCs w:val="24"/>
                <w:lang w:eastAsia="zh-CN"/>
              </w:rPr>
            </w:pPr>
            <w:r w:rsidRPr="00C32B60">
              <w:rPr>
                <w:rFonts w:ascii="STKaiti" w:eastAsia="STKaiti" w:hAnsi="STKaiti" w:hint="eastAsia"/>
                <w:szCs w:val="24"/>
                <w:lang w:eastAsia="zh-CN"/>
              </w:rPr>
              <w:t>全权代表大会</w:t>
            </w:r>
            <w:r w:rsidR="00591A31" w:rsidRPr="00C32B60">
              <w:rPr>
                <w:szCs w:val="24"/>
              </w:rPr>
              <w:fldChar w:fldCharType="begin"/>
            </w:r>
            <w:r w:rsidR="00683D02">
              <w:rPr>
                <w:szCs w:val="24"/>
                <w:lang w:eastAsia="zh-CN"/>
              </w:rPr>
              <w:instrText>HYPERLINK "https://www.itu.int/en/council/Documents/basic-texts-2023/RES-025-C.pdf"</w:instrText>
            </w:r>
            <w:r w:rsidR="00591A31" w:rsidRPr="00C32B60">
              <w:rPr>
                <w:szCs w:val="24"/>
              </w:rPr>
            </w:r>
            <w:r w:rsidR="00591A31" w:rsidRPr="00C32B60">
              <w:rPr>
                <w:szCs w:val="24"/>
              </w:rPr>
              <w:fldChar w:fldCharType="separate"/>
            </w:r>
            <w:r w:rsidR="00591A31" w:rsidRPr="00C32B60">
              <w:rPr>
                <w:rStyle w:val="Hyperlink"/>
                <w:rFonts w:ascii="STKaiti" w:eastAsia="STKaiti" w:hAnsi="STKaiti" w:cs="Calibri" w:hint="eastAsia"/>
                <w:noProof w:val="0"/>
                <w:szCs w:val="24"/>
                <w:lang w:eastAsia="zh-CN"/>
              </w:rPr>
              <w:t>第</w:t>
            </w:r>
            <w:r w:rsidR="00591A31" w:rsidRPr="00C32B60">
              <w:rPr>
                <w:rStyle w:val="Hyperlink"/>
                <w:rFonts w:eastAsiaTheme="majorEastAsia" w:cs="Calibri"/>
                <w:noProof w:val="0"/>
                <w:szCs w:val="24"/>
                <w:lang w:eastAsia="zh-CN"/>
              </w:rPr>
              <w:t>25</w:t>
            </w:r>
            <w:r w:rsidR="00591A31" w:rsidRPr="00C32B60">
              <w:rPr>
                <w:rStyle w:val="Hyperlink"/>
                <w:rFonts w:ascii="STKaiti" w:eastAsia="STKaiti" w:hAnsi="STKaiti" w:cs="Calibri" w:hint="eastAsia"/>
                <w:noProof w:val="0"/>
                <w:szCs w:val="24"/>
                <w:lang w:eastAsia="zh-CN"/>
              </w:rPr>
              <w:t>号决议（</w:t>
            </w:r>
            <w:r w:rsidR="00591A31" w:rsidRPr="00C32B60">
              <w:rPr>
                <w:rStyle w:val="Hyperlink"/>
                <w:rFonts w:eastAsiaTheme="majorEastAsia" w:cs="Calibri"/>
                <w:noProof w:val="0"/>
                <w:szCs w:val="24"/>
                <w:lang w:eastAsia="zh-CN"/>
              </w:rPr>
              <w:t>2022</w:t>
            </w:r>
            <w:r w:rsidR="00591A31" w:rsidRPr="00C32B60">
              <w:rPr>
                <w:rStyle w:val="Hyperlink"/>
                <w:rFonts w:ascii="STKaiti" w:eastAsia="STKaiti" w:hAnsi="STKaiti" w:cs="Calibri" w:hint="eastAsia"/>
                <w:noProof w:val="0"/>
                <w:szCs w:val="24"/>
                <w:lang w:eastAsia="zh-CN"/>
              </w:rPr>
              <w:t>年，布加勒斯特，修订版）</w:t>
            </w:r>
            <w:r w:rsidR="00591A31" w:rsidRPr="00C32B60">
              <w:rPr>
                <w:szCs w:val="24"/>
              </w:rPr>
              <w:fldChar w:fldCharType="end"/>
            </w:r>
            <w:r w:rsidR="00591A31" w:rsidRPr="00C32B60">
              <w:rPr>
                <w:rFonts w:ascii="STKaiti" w:eastAsia="STKaiti" w:hAnsi="STKaiti" w:hint="eastAsia"/>
                <w:szCs w:val="24"/>
                <w:lang w:eastAsia="zh-CN"/>
              </w:rPr>
              <w:t>；</w:t>
            </w:r>
            <w:r w:rsidRPr="00C32B60">
              <w:rPr>
                <w:rFonts w:ascii="STKaiti" w:eastAsia="STKaiti" w:hAnsi="STKaiti" w:hint="eastAsia"/>
                <w:szCs w:val="24"/>
                <w:lang w:eastAsia="zh-CN"/>
              </w:rPr>
              <w:t>理事会</w:t>
            </w:r>
            <w:hyperlink r:id="rId8" w:history="1">
              <w:proofErr w:type="spellStart"/>
              <w:r w:rsidR="00591A31" w:rsidRPr="00C32B60">
                <w:rPr>
                  <w:rStyle w:val="Hyperlink"/>
                  <w:rFonts w:eastAsiaTheme="majorEastAsia" w:cs="Calibri"/>
                  <w:noProof w:val="0"/>
                  <w:szCs w:val="24"/>
                  <w:lang w:eastAsia="zh-CN"/>
                </w:rPr>
                <w:t>C25</w:t>
              </w:r>
              <w:proofErr w:type="spellEnd"/>
              <w:r w:rsidR="00591A31" w:rsidRPr="00C32B60">
                <w:rPr>
                  <w:rStyle w:val="Hyperlink"/>
                  <w:rFonts w:eastAsiaTheme="majorEastAsia" w:cs="Calibri"/>
                  <w:noProof w:val="0"/>
                  <w:szCs w:val="24"/>
                  <w:lang w:eastAsia="zh-CN"/>
                </w:rPr>
                <w:t>/50</w:t>
              </w:r>
            </w:hyperlink>
            <w:r w:rsidR="00591A31" w:rsidRPr="00C32B60">
              <w:rPr>
                <w:rFonts w:ascii="STKaiti" w:eastAsia="STKaiti" w:hAnsi="STKaiti" w:hint="eastAsia"/>
                <w:szCs w:val="24"/>
                <w:lang w:eastAsia="zh-CN"/>
              </w:rPr>
              <w:t>和</w:t>
            </w:r>
            <w:r w:rsidR="00591A31" w:rsidRPr="00C32B60">
              <w:rPr>
                <w:szCs w:val="24"/>
              </w:rPr>
              <w:fldChar w:fldCharType="begin"/>
            </w:r>
            <w:r w:rsidR="00591A31" w:rsidRPr="00C32B60">
              <w:rPr>
                <w:szCs w:val="24"/>
                <w:lang w:eastAsia="zh-CN"/>
              </w:rPr>
              <w:instrText>HYPERLINK "https://www.itu.int/md/S25-CL-C-0069/en"</w:instrText>
            </w:r>
            <w:r w:rsidR="00591A31" w:rsidRPr="00C32B60">
              <w:rPr>
                <w:szCs w:val="24"/>
              </w:rPr>
            </w:r>
            <w:r w:rsidR="00591A31" w:rsidRPr="00C32B60">
              <w:rPr>
                <w:szCs w:val="24"/>
              </w:rPr>
              <w:fldChar w:fldCharType="separate"/>
            </w:r>
            <w:proofErr w:type="spellStart"/>
            <w:r w:rsidR="00591A31" w:rsidRPr="00C32B60">
              <w:rPr>
                <w:rStyle w:val="Hyperlink"/>
                <w:rFonts w:eastAsiaTheme="majorEastAsia" w:cs="Calibri"/>
                <w:noProof w:val="0"/>
                <w:szCs w:val="24"/>
                <w:lang w:eastAsia="zh-CN"/>
              </w:rPr>
              <w:t>C25</w:t>
            </w:r>
            <w:proofErr w:type="spellEnd"/>
            <w:r w:rsidR="00591A31" w:rsidRPr="00C32B60">
              <w:rPr>
                <w:rStyle w:val="Hyperlink"/>
                <w:rFonts w:eastAsiaTheme="majorEastAsia" w:cs="Calibri"/>
                <w:noProof w:val="0"/>
                <w:szCs w:val="24"/>
                <w:lang w:eastAsia="zh-CN"/>
              </w:rPr>
              <w:t>/69</w:t>
            </w:r>
            <w:r w:rsidR="00591A31" w:rsidRPr="00C32B60">
              <w:rPr>
                <w:szCs w:val="24"/>
              </w:rPr>
              <w:fldChar w:fldCharType="end"/>
            </w:r>
            <w:r w:rsidRPr="00C32B60">
              <w:rPr>
                <w:rFonts w:ascii="STKaiti" w:eastAsia="STKaiti" w:hAnsi="STKaiti" w:hint="eastAsia"/>
                <w:szCs w:val="24"/>
                <w:lang w:eastAsia="zh-CN"/>
              </w:rPr>
              <w:t>号文件</w:t>
            </w:r>
            <w:r w:rsidR="00591A31" w:rsidRPr="00C32B60">
              <w:rPr>
                <w:rFonts w:ascii="STKaiti" w:eastAsia="STKaiti" w:hAnsi="STKaiti" w:hint="eastAsia"/>
                <w:szCs w:val="24"/>
                <w:lang w:eastAsia="zh-CN"/>
              </w:rPr>
              <w:t>。</w:t>
            </w:r>
          </w:p>
        </w:tc>
      </w:tr>
      <w:bookmarkEnd w:id="2"/>
      <w:bookmarkEnd w:id="6"/>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73FED5B" w14:textId="7DE40C39" w:rsidR="003F44E5" w:rsidRPr="003F44E5" w:rsidRDefault="003F44E5" w:rsidP="00BA2D3E">
      <w:pPr>
        <w:pStyle w:val="Headingb"/>
        <w:rPr>
          <w:lang w:eastAsia="zh-CN"/>
        </w:rPr>
      </w:pPr>
      <w:r w:rsidRPr="003F44E5">
        <w:rPr>
          <w:rFonts w:hint="eastAsia"/>
          <w:lang w:val="en-US" w:eastAsia="zh-CN"/>
        </w:rPr>
        <w:lastRenderedPageBreak/>
        <w:t>背景</w:t>
      </w:r>
    </w:p>
    <w:p w14:paraId="7A8188DB" w14:textId="40A2C4EC" w:rsidR="003F44E5" w:rsidRPr="003F44E5" w:rsidRDefault="003F44E5" w:rsidP="0075406A">
      <w:pPr>
        <w:ind w:firstLineChars="200" w:firstLine="480"/>
        <w:jc w:val="both"/>
        <w:rPr>
          <w:lang w:val="en-US" w:eastAsia="zh-CN"/>
        </w:rPr>
      </w:pPr>
      <w:r w:rsidRPr="003F44E5">
        <w:rPr>
          <w:rFonts w:hint="eastAsia"/>
          <w:lang w:val="en-US" w:eastAsia="zh-CN"/>
        </w:rPr>
        <w:t>我们感谢理事会财务和人力资源工作组</w:t>
      </w:r>
      <w:r w:rsidR="002B3DBC">
        <w:rPr>
          <w:rFonts w:hint="eastAsia"/>
          <w:lang w:val="en-US" w:eastAsia="zh-CN"/>
        </w:rPr>
        <w:t>（</w:t>
      </w:r>
      <w:r w:rsidR="002B3DBC" w:rsidRPr="003F44E5">
        <w:rPr>
          <w:lang w:val="en-US" w:eastAsia="zh-CN"/>
        </w:rPr>
        <w:t>CWG-FHR</w:t>
      </w:r>
      <w:r w:rsidR="002B3DBC">
        <w:rPr>
          <w:rFonts w:hint="eastAsia"/>
          <w:lang w:val="en-US" w:eastAsia="zh-CN"/>
        </w:rPr>
        <w:t>）</w:t>
      </w:r>
      <w:r w:rsidRPr="003F44E5">
        <w:rPr>
          <w:rFonts w:hint="eastAsia"/>
          <w:lang w:val="en-US" w:eastAsia="zh-CN"/>
        </w:rPr>
        <w:t>主席</w:t>
      </w:r>
      <w:r w:rsidR="004C5097">
        <w:rPr>
          <w:rFonts w:hint="eastAsia"/>
          <w:lang w:val="en-US" w:eastAsia="zh-CN"/>
        </w:rPr>
        <w:t>提交对</w:t>
      </w:r>
      <w:r w:rsidR="002B3DBC" w:rsidRPr="002B3DBC">
        <w:rPr>
          <w:lang w:eastAsia="zh-CN"/>
        </w:rPr>
        <w:t>国际电</w:t>
      </w:r>
      <w:proofErr w:type="gramStart"/>
      <w:r w:rsidR="002B3DBC" w:rsidRPr="002B3DBC">
        <w:rPr>
          <w:lang w:eastAsia="zh-CN"/>
        </w:rPr>
        <w:t>联区域代表处情况</w:t>
      </w:r>
      <w:proofErr w:type="gramEnd"/>
      <w:r w:rsidR="002B3DBC">
        <w:rPr>
          <w:rFonts w:hint="eastAsia"/>
          <w:lang w:eastAsia="zh-CN"/>
        </w:rPr>
        <w:t>审查工作</w:t>
      </w:r>
      <w:r w:rsidRPr="003F44E5">
        <w:rPr>
          <w:rFonts w:hint="eastAsia"/>
          <w:lang w:val="en-US" w:eastAsia="zh-CN"/>
        </w:rPr>
        <w:t>职责范围</w:t>
      </w:r>
      <w:r w:rsidR="004C5097">
        <w:rPr>
          <w:rFonts w:hint="eastAsia"/>
          <w:lang w:val="en-US" w:eastAsia="zh-CN"/>
        </w:rPr>
        <w:t>（</w:t>
      </w:r>
      <w:proofErr w:type="spellStart"/>
      <w:r w:rsidR="004C5097" w:rsidRPr="003F44E5">
        <w:rPr>
          <w:lang w:val="en-US" w:eastAsia="zh-CN"/>
        </w:rPr>
        <w:t>ToR</w:t>
      </w:r>
      <w:proofErr w:type="spellEnd"/>
      <w:r w:rsidR="004C5097">
        <w:rPr>
          <w:rFonts w:hint="eastAsia"/>
          <w:lang w:val="en-US" w:eastAsia="zh-CN"/>
        </w:rPr>
        <w:t>）的</w:t>
      </w:r>
      <w:r w:rsidRPr="003F44E5">
        <w:rPr>
          <w:rFonts w:hint="eastAsia"/>
          <w:lang w:val="en-US" w:eastAsia="zh-CN"/>
        </w:rPr>
        <w:t>输入意见</w:t>
      </w:r>
      <w:r w:rsidR="004C5097">
        <w:rPr>
          <w:rFonts w:hint="eastAsia"/>
          <w:lang w:val="en-US" w:eastAsia="zh-CN"/>
        </w:rPr>
        <w:t>，如</w:t>
      </w:r>
      <w:hyperlink r:id="rId9" w:history="1">
        <w:r w:rsidR="004C5097" w:rsidRPr="003F44E5">
          <w:rPr>
            <w:rStyle w:val="Hyperlink"/>
            <w:rFonts w:eastAsia="SimSun"/>
            <w:noProof w:val="0"/>
            <w:lang w:val="en-US" w:eastAsia="zh-CN"/>
          </w:rPr>
          <w:t>CWG-FHR-20/32</w:t>
        </w:r>
      </w:hyperlink>
      <w:r w:rsidR="004C5097">
        <w:rPr>
          <w:rFonts w:hint="eastAsia"/>
          <w:lang w:val="en-US" w:eastAsia="zh-CN"/>
        </w:rPr>
        <w:t>号文件所述</w:t>
      </w:r>
      <w:r w:rsidR="002B3DBC">
        <w:rPr>
          <w:rFonts w:hint="eastAsia"/>
          <w:lang w:val="en-US" w:eastAsia="zh-CN"/>
        </w:rPr>
        <w:t>。</w:t>
      </w:r>
    </w:p>
    <w:p w14:paraId="566C40BA" w14:textId="3633339E" w:rsidR="003F44E5" w:rsidRPr="003F44E5" w:rsidRDefault="003F44E5" w:rsidP="0075406A">
      <w:pPr>
        <w:ind w:firstLineChars="200" w:firstLine="480"/>
        <w:jc w:val="both"/>
        <w:rPr>
          <w:lang w:val="en-US" w:eastAsia="zh-CN"/>
        </w:rPr>
      </w:pPr>
      <w:r w:rsidRPr="002A4D4C">
        <w:rPr>
          <w:rFonts w:hint="eastAsia"/>
          <w:lang w:val="en-US" w:eastAsia="zh-CN"/>
        </w:rPr>
        <w:t>本文稿的共同签署国</w:t>
      </w:r>
      <w:r w:rsidRPr="003F44E5">
        <w:rPr>
          <w:rFonts w:hint="eastAsia"/>
          <w:lang w:val="en-US" w:eastAsia="zh-CN"/>
        </w:rPr>
        <w:t>支持国际电联区域代表处</w:t>
      </w:r>
      <w:r w:rsidR="00787CD0">
        <w:rPr>
          <w:rFonts w:hint="eastAsia"/>
          <w:lang w:val="en-US" w:eastAsia="zh-CN"/>
        </w:rPr>
        <w:t>情况</w:t>
      </w:r>
      <w:r w:rsidR="00787CD0" w:rsidRPr="003F44E5">
        <w:rPr>
          <w:rFonts w:hint="eastAsia"/>
          <w:lang w:val="en-US" w:eastAsia="zh-CN"/>
        </w:rPr>
        <w:t>审查</w:t>
      </w:r>
      <w:r w:rsidR="00787CD0">
        <w:rPr>
          <w:rFonts w:hint="eastAsia"/>
          <w:lang w:val="en-US" w:eastAsia="zh-CN"/>
        </w:rPr>
        <w:t>工作</w:t>
      </w:r>
      <w:r w:rsidRPr="003F44E5">
        <w:rPr>
          <w:rFonts w:hint="eastAsia"/>
          <w:lang w:val="en-US" w:eastAsia="zh-CN"/>
        </w:rPr>
        <w:t>的职责范围</w:t>
      </w:r>
      <w:r w:rsidR="00787CD0">
        <w:rPr>
          <w:rFonts w:hint="eastAsia"/>
          <w:lang w:val="en-US" w:eastAsia="zh-CN"/>
        </w:rPr>
        <w:t>，</w:t>
      </w:r>
      <w:r w:rsidR="008C348E">
        <w:rPr>
          <w:rFonts w:hint="eastAsia"/>
          <w:lang w:val="en-US" w:eastAsia="zh-CN"/>
        </w:rPr>
        <w:t>认识到</w:t>
      </w:r>
      <w:r w:rsidRPr="003F44E5">
        <w:rPr>
          <w:rFonts w:hint="eastAsia"/>
          <w:lang w:val="en-US" w:eastAsia="zh-CN"/>
        </w:rPr>
        <w:t>国际电联</w:t>
      </w:r>
      <w:r w:rsidR="00787CD0" w:rsidRPr="00787CD0">
        <w:rPr>
          <w:rFonts w:hint="eastAsia"/>
          <w:lang w:val="en-US" w:eastAsia="zh-CN"/>
        </w:rPr>
        <w:t>区域代表处和地区办事处</w:t>
      </w:r>
      <w:r w:rsidRPr="003F44E5">
        <w:rPr>
          <w:rFonts w:hint="eastAsia"/>
          <w:lang w:val="en-US" w:eastAsia="zh-CN"/>
        </w:rPr>
        <w:t>通过</w:t>
      </w:r>
      <w:r w:rsidR="008C348E" w:rsidRPr="003F44E5">
        <w:rPr>
          <w:rFonts w:hint="eastAsia"/>
          <w:lang w:val="en-US" w:eastAsia="zh-CN"/>
        </w:rPr>
        <w:t>实施</w:t>
      </w:r>
      <w:r w:rsidRPr="003F44E5">
        <w:rPr>
          <w:rFonts w:hint="eastAsia"/>
          <w:lang w:val="en-US" w:eastAsia="zh-CN"/>
        </w:rPr>
        <w:t>项目</w:t>
      </w:r>
      <w:r w:rsidR="00787CD0">
        <w:rPr>
          <w:rFonts w:hint="eastAsia"/>
          <w:lang w:val="en-US" w:eastAsia="zh-CN"/>
        </w:rPr>
        <w:t>、</w:t>
      </w:r>
      <w:r w:rsidR="008C348E" w:rsidRPr="003F44E5">
        <w:rPr>
          <w:rFonts w:hint="eastAsia"/>
          <w:lang w:val="en-US" w:eastAsia="zh-CN"/>
        </w:rPr>
        <w:t>开发</w:t>
      </w:r>
      <w:r w:rsidRPr="003F44E5">
        <w:rPr>
          <w:rFonts w:hint="eastAsia"/>
          <w:lang w:val="en-US" w:eastAsia="zh-CN"/>
        </w:rPr>
        <w:t>能力</w:t>
      </w:r>
      <w:r w:rsidR="00787CD0">
        <w:rPr>
          <w:rFonts w:hint="eastAsia"/>
          <w:lang w:val="en-US" w:eastAsia="zh-CN"/>
        </w:rPr>
        <w:t>、</w:t>
      </w:r>
      <w:r w:rsidRPr="003F44E5">
        <w:rPr>
          <w:rFonts w:hint="eastAsia"/>
          <w:lang w:val="en-US" w:eastAsia="zh-CN"/>
        </w:rPr>
        <w:t>开展区域</w:t>
      </w:r>
      <w:r w:rsidR="00787CD0">
        <w:rPr>
          <w:rFonts w:hint="eastAsia"/>
          <w:lang w:val="en-US" w:eastAsia="zh-CN"/>
        </w:rPr>
        <w:t>性</w:t>
      </w:r>
      <w:r w:rsidRPr="003F44E5">
        <w:rPr>
          <w:rFonts w:hint="eastAsia"/>
          <w:lang w:val="en-US" w:eastAsia="zh-CN"/>
        </w:rPr>
        <w:t>活动</w:t>
      </w:r>
      <w:r w:rsidR="008C348E">
        <w:rPr>
          <w:rFonts w:hint="eastAsia"/>
          <w:lang w:val="en-US" w:eastAsia="zh-CN"/>
        </w:rPr>
        <w:t>以及</w:t>
      </w:r>
      <w:r w:rsidRPr="003F44E5">
        <w:rPr>
          <w:rFonts w:hint="eastAsia"/>
          <w:lang w:val="en-US" w:eastAsia="zh-CN"/>
        </w:rPr>
        <w:t>促进与区域性电信组织</w:t>
      </w:r>
      <w:r w:rsidR="00787CD0">
        <w:rPr>
          <w:rFonts w:hint="eastAsia"/>
          <w:lang w:val="en-US" w:eastAsia="zh-CN"/>
        </w:rPr>
        <w:t>（</w:t>
      </w:r>
      <w:r w:rsidR="00787CD0" w:rsidRPr="003F44E5">
        <w:rPr>
          <w:lang w:val="en-US" w:eastAsia="zh-CN"/>
        </w:rPr>
        <w:t>RTO</w:t>
      </w:r>
      <w:r w:rsidR="00787CD0">
        <w:rPr>
          <w:rFonts w:hint="eastAsia"/>
          <w:lang w:val="en-US" w:eastAsia="zh-CN"/>
        </w:rPr>
        <w:t>）</w:t>
      </w:r>
      <w:r w:rsidRPr="003F44E5">
        <w:rPr>
          <w:rFonts w:hint="eastAsia"/>
          <w:lang w:val="en-US" w:eastAsia="zh-CN"/>
        </w:rPr>
        <w:t>的协调</w:t>
      </w:r>
      <w:r w:rsidR="008C348E">
        <w:rPr>
          <w:rFonts w:hint="eastAsia"/>
          <w:lang w:val="en-US" w:eastAsia="zh-CN"/>
        </w:rPr>
        <w:t>，在</w:t>
      </w:r>
      <w:r w:rsidRPr="003F44E5">
        <w:rPr>
          <w:rFonts w:hint="eastAsia"/>
          <w:lang w:val="en-US" w:eastAsia="zh-CN"/>
        </w:rPr>
        <w:t>代表成员国</w:t>
      </w:r>
      <w:r w:rsidR="002A4D4C">
        <w:rPr>
          <w:rFonts w:hint="eastAsia"/>
          <w:lang w:val="en-US" w:eastAsia="zh-CN"/>
        </w:rPr>
        <w:t>采取行动</w:t>
      </w:r>
      <w:r w:rsidRPr="003F44E5">
        <w:rPr>
          <w:rFonts w:hint="eastAsia"/>
          <w:lang w:val="en-US" w:eastAsia="zh-CN"/>
        </w:rPr>
        <w:t>方面发挥</w:t>
      </w:r>
      <w:r w:rsidR="008C348E">
        <w:rPr>
          <w:rFonts w:hint="eastAsia"/>
          <w:lang w:val="en-US" w:eastAsia="zh-CN"/>
        </w:rPr>
        <w:t>着至关重要的</w:t>
      </w:r>
      <w:r w:rsidRPr="003F44E5">
        <w:rPr>
          <w:rFonts w:hint="eastAsia"/>
          <w:lang w:val="en-US" w:eastAsia="zh-CN"/>
        </w:rPr>
        <w:t>作用</w:t>
      </w:r>
      <w:r w:rsidR="00787CD0">
        <w:rPr>
          <w:rFonts w:hint="eastAsia"/>
          <w:lang w:val="en-US" w:eastAsia="zh-CN"/>
        </w:rPr>
        <w:t>。</w:t>
      </w:r>
      <w:r w:rsidRPr="003F44E5">
        <w:rPr>
          <w:rFonts w:hint="eastAsia"/>
          <w:lang w:val="en-US" w:eastAsia="zh-CN"/>
        </w:rPr>
        <w:t>正如第</w:t>
      </w:r>
      <w:r w:rsidR="00787CD0" w:rsidRPr="003F44E5">
        <w:rPr>
          <w:lang w:val="en-US" w:eastAsia="zh-CN"/>
        </w:rPr>
        <w:t>25</w:t>
      </w:r>
      <w:r w:rsidRPr="003F44E5">
        <w:rPr>
          <w:rFonts w:hint="eastAsia"/>
          <w:lang w:val="en-US" w:eastAsia="zh-CN"/>
        </w:rPr>
        <w:t>号决议</w:t>
      </w:r>
      <w:r w:rsidR="00787CD0">
        <w:rPr>
          <w:rFonts w:hint="eastAsia"/>
          <w:lang w:val="en-US" w:eastAsia="zh-CN"/>
        </w:rPr>
        <w:t>（</w:t>
      </w:r>
      <w:r w:rsidR="00787CD0" w:rsidRPr="003F44E5">
        <w:rPr>
          <w:lang w:val="en-US" w:eastAsia="zh-CN"/>
        </w:rPr>
        <w:t>2022</w:t>
      </w:r>
      <w:r w:rsidR="00787CD0" w:rsidRPr="003F44E5">
        <w:rPr>
          <w:rFonts w:hint="eastAsia"/>
          <w:lang w:val="en-US" w:eastAsia="zh-CN"/>
        </w:rPr>
        <w:t>年</w:t>
      </w:r>
      <w:r w:rsidR="00787CD0">
        <w:rPr>
          <w:rFonts w:hint="eastAsia"/>
          <w:lang w:val="en-US" w:eastAsia="zh-CN"/>
        </w:rPr>
        <w:t>，</w:t>
      </w:r>
      <w:r w:rsidR="00787CD0" w:rsidRPr="003F44E5">
        <w:rPr>
          <w:rFonts w:hint="eastAsia"/>
          <w:lang w:val="en-US" w:eastAsia="zh-CN"/>
        </w:rPr>
        <w:t>布加勒斯特</w:t>
      </w:r>
      <w:r w:rsidR="00787CD0">
        <w:rPr>
          <w:rFonts w:hint="eastAsia"/>
          <w:lang w:val="en-US" w:eastAsia="zh-CN"/>
        </w:rPr>
        <w:t>，</w:t>
      </w:r>
      <w:r w:rsidR="00787CD0" w:rsidRPr="003F44E5">
        <w:rPr>
          <w:rFonts w:hint="eastAsia"/>
          <w:lang w:val="en-US" w:eastAsia="zh-CN"/>
        </w:rPr>
        <w:t>修订版</w:t>
      </w:r>
      <w:r w:rsidR="00787CD0">
        <w:rPr>
          <w:rFonts w:hint="eastAsia"/>
          <w:lang w:val="en-US" w:eastAsia="zh-CN"/>
        </w:rPr>
        <w:t>）</w:t>
      </w:r>
      <w:r w:rsidR="00B925F8">
        <w:rPr>
          <w:rFonts w:hint="eastAsia"/>
          <w:lang w:val="en-US" w:eastAsia="zh-CN"/>
        </w:rPr>
        <w:t>所</w:t>
      </w:r>
      <w:r w:rsidRPr="003F44E5">
        <w:rPr>
          <w:rFonts w:hint="eastAsia"/>
          <w:lang w:val="en-US" w:eastAsia="zh-CN"/>
        </w:rPr>
        <w:t>重申的</w:t>
      </w:r>
      <w:r w:rsidR="002A4D4C">
        <w:rPr>
          <w:rFonts w:hint="eastAsia"/>
          <w:lang w:val="en-US" w:eastAsia="zh-CN"/>
        </w:rPr>
        <w:t>那样</w:t>
      </w:r>
      <w:r w:rsidR="00B925F8">
        <w:rPr>
          <w:rFonts w:hint="eastAsia"/>
          <w:lang w:val="en-US" w:eastAsia="zh-CN"/>
        </w:rPr>
        <w:t>，</w:t>
      </w:r>
      <w:r w:rsidRPr="003F44E5">
        <w:rPr>
          <w:rFonts w:hint="eastAsia"/>
          <w:lang w:val="en-US" w:eastAsia="zh-CN"/>
        </w:rPr>
        <w:t>这些代表处</w:t>
      </w:r>
      <w:r w:rsidR="00787CD0">
        <w:rPr>
          <w:rFonts w:hint="eastAsia"/>
          <w:lang w:val="en-US" w:eastAsia="zh-CN"/>
        </w:rPr>
        <w:t>和办事处</w:t>
      </w:r>
      <w:r w:rsidRPr="003F44E5">
        <w:rPr>
          <w:rFonts w:hint="eastAsia"/>
          <w:lang w:val="en-US" w:eastAsia="zh-CN"/>
        </w:rPr>
        <w:t>作为</w:t>
      </w:r>
      <w:r w:rsidR="00440A54">
        <w:rPr>
          <w:rFonts w:hint="eastAsia"/>
          <w:lang w:val="en-US" w:eastAsia="zh-CN"/>
        </w:rPr>
        <w:t>落实</w:t>
      </w:r>
      <w:r w:rsidRPr="003F44E5">
        <w:rPr>
          <w:rFonts w:hint="eastAsia"/>
          <w:lang w:val="en-US" w:eastAsia="zh-CN"/>
        </w:rPr>
        <w:t>国际电</w:t>
      </w:r>
      <w:proofErr w:type="gramStart"/>
      <w:r w:rsidRPr="003F44E5">
        <w:rPr>
          <w:rFonts w:hint="eastAsia"/>
          <w:lang w:val="en-US" w:eastAsia="zh-CN"/>
        </w:rPr>
        <w:t>联战略</w:t>
      </w:r>
      <w:proofErr w:type="gramEnd"/>
      <w:r w:rsidRPr="003F44E5">
        <w:rPr>
          <w:rFonts w:hint="eastAsia"/>
          <w:lang w:val="en-US" w:eastAsia="zh-CN"/>
        </w:rPr>
        <w:t>目标</w:t>
      </w:r>
      <w:r w:rsidR="00440A54">
        <w:rPr>
          <w:rFonts w:hint="eastAsia"/>
          <w:lang w:val="en-US" w:eastAsia="zh-CN"/>
        </w:rPr>
        <w:t>、</w:t>
      </w:r>
      <w:r w:rsidR="002A4D4C">
        <w:rPr>
          <w:rFonts w:hint="eastAsia"/>
          <w:lang w:val="en-US" w:eastAsia="zh-CN"/>
        </w:rPr>
        <w:t>促进</w:t>
      </w:r>
      <w:r w:rsidRPr="003F44E5">
        <w:rPr>
          <w:rFonts w:hint="eastAsia"/>
          <w:lang w:val="en-US" w:eastAsia="zh-CN"/>
        </w:rPr>
        <w:t>成员参与</w:t>
      </w:r>
      <w:r w:rsidR="00B925F8">
        <w:rPr>
          <w:rFonts w:hint="eastAsia"/>
          <w:lang w:val="en-US" w:eastAsia="zh-CN"/>
        </w:rPr>
        <w:t>以及</w:t>
      </w:r>
      <w:r w:rsidRPr="003F44E5">
        <w:rPr>
          <w:rFonts w:hint="eastAsia"/>
          <w:lang w:val="en-US" w:eastAsia="zh-CN"/>
        </w:rPr>
        <w:t>确保支持</w:t>
      </w:r>
      <w:r w:rsidR="00440A54">
        <w:rPr>
          <w:rFonts w:hint="eastAsia"/>
          <w:lang w:val="en-US" w:eastAsia="zh-CN"/>
        </w:rPr>
        <w:t>“</w:t>
      </w:r>
      <w:r w:rsidR="00440A54" w:rsidRPr="00440A54">
        <w:rPr>
          <w:rFonts w:hint="eastAsia"/>
          <w:lang w:val="en-US" w:eastAsia="zh-CN"/>
        </w:rPr>
        <w:t>国际电联是一家</w:t>
      </w:r>
      <w:r w:rsidR="00440A54">
        <w:rPr>
          <w:rFonts w:hint="eastAsia"/>
          <w:lang w:val="en-US" w:eastAsia="zh-CN"/>
        </w:rPr>
        <w:t>”</w:t>
      </w:r>
      <w:proofErr w:type="gramStart"/>
      <w:r w:rsidRPr="003F44E5">
        <w:rPr>
          <w:rFonts w:hint="eastAsia"/>
          <w:lang w:val="en-US" w:eastAsia="zh-CN"/>
        </w:rPr>
        <w:t>愿景的</w:t>
      </w:r>
      <w:proofErr w:type="gramEnd"/>
      <w:r w:rsidRPr="003F44E5">
        <w:rPr>
          <w:rFonts w:hint="eastAsia"/>
          <w:lang w:val="en-US" w:eastAsia="zh-CN"/>
        </w:rPr>
        <w:t>渠道</w:t>
      </w:r>
      <w:r w:rsidR="00B925F8">
        <w:rPr>
          <w:rFonts w:hint="eastAsia"/>
          <w:lang w:val="en-US" w:eastAsia="zh-CN"/>
        </w:rPr>
        <w:t>，</w:t>
      </w:r>
      <w:r w:rsidRPr="003F44E5">
        <w:rPr>
          <w:rFonts w:hint="eastAsia"/>
          <w:lang w:val="en-US" w:eastAsia="zh-CN"/>
        </w:rPr>
        <w:t>发挥着关键作用</w:t>
      </w:r>
      <w:r w:rsidR="00440A54">
        <w:rPr>
          <w:rFonts w:hint="eastAsia"/>
          <w:lang w:val="en-US" w:eastAsia="zh-CN"/>
        </w:rPr>
        <w:t>。</w:t>
      </w:r>
    </w:p>
    <w:p w14:paraId="11FC137D" w14:textId="47B2B4B3" w:rsidR="003F44E5" w:rsidRPr="003F44E5" w:rsidRDefault="003F44E5" w:rsidP="0075406A">
      <w:pPr>
        <w:ind w:firstLineChars="200" w:firstLine="480"/>
        <w:jc w:val="both"/>
        <w:rPr>
          <w:lang w:val="en-US" w:eastAsia="zh-CN"/>
        </w:rPr>
      </w:pPr>
      <w:r w:rsidRPr="002A4D4C">
        <w:rPr>
          <w:rFonts w:hint="eastAsia"/>
          <w:lang w:val="en-US" w:eastAsia="zh-CN"/>
        </w:rPr>
        <w:t>第</w:t>
      </w:r>
      <w:r w:rsidR="00520710" w:rsidRPr="002A4D4C">
        <w:rPr>
          <w:lang w:val="en-US" w:eastAsia="zh-CN"/>
        </w:rPr>
        <w:t>25</w:t>
      </w:r>
      <w:r w:rsidRPr="002A4D4C">
        <w:rPr>
          <w:rFonts w:hint="eastAsia"/>
          <w:lang w:val="en-US" w:eastAsia="zh-CN"/>
        </w:rPr>
        <w:t>号决议认识到</w:t>
      </w:r>
      <w:r w:rsidR="00520710" w:rsidRPr="002A4D4C">
        <w:rPr>
          <w:rFonts w:hint="eastAsia"/>
          <w:lang w:val="en-US" w:eastAsia="zh-CN"/>
        </w:rPr>
        <w:t>大多数国家，特别是预算受到严格限制的发展中国家在为国际电联各项活动做出贡献时面临的</w:t>
      </w:r>
      <w:r w:rsidR="00F424AC" w:rsidRPr="002A4D4C">
        <w:rPr>
          <w:rFonts w:hint="eastAsia"/>
          <w:lang w:val="en-US" w:eastAsia="zh-CN"/>
        </w:rPr>
        <w:t>财政限制</w:t>
      </w:r>
      <w:r w:rsidR="00520710" w:rsidRPr="002A4D4C">
        <w:rPr>
          <w:rFonts w:hint="eastAsia"/>
          <w:lang w:val="en-US" w:eastAsia="zh-CN"/>
        </w:rPr>
        <w:t>。</w:t>
      </w:r>
      <w:r w:rsidRPr="003F44E5">
        <w:rPr>
          <w:rFonts w:hint="eastAsia"/>
          <w:lang w:val="en-US" w:eastAsia="zh-CN"/>
        </w:rPr>
        <w:t>区域代表处使国际电联能够与成员保持密切联系</w:t>
      </w:r>
      <w:r w:rsidR="00520710">
        <w:rPr>
          <w:rFonts w:hint="eastAsia"/>
          <w:lang w:val="en-US" w:eastAsia="zh-CN"/>
        </w:rPr>
        <w:t>，</w:t>
      </w:r>
      <w:r w:rsidR="00CD04A5">
        <w:rPr>
          <w:rFonts w:hint="eastAsia"/>
          <w:lang w:val="en-US" w:eastAsia="zh-CN"/>
        </w:rPr>
        <w:t>成为</w:t>
      </w:r>
      <w:r w:rsidRPr="003F44E5">
        <w:rPr>
          <w:rFonts w:hint="eastAsia"/>
          <w:lang w:val="en-US" w:eastAsia="zh-CN"/>
        </w:rPr>
        <w:t>实施计划</w:t>
      </w:r>
      <w:r w:rsidR="00520710">
        <w:rPr>
          <w:rFonts w:hint="eastAsia"/>
          <w:lang w:val="en-US" w:eastAsia="zh-CN"/>
        </w:rPr>
        <w:t>、</w:t>
      </w:r>
      <w:r w:rsidRPr="003F44E5">
        <w:rPr>
          <w:rFonts w:hint="eastAsia"/>
          <w:lang w:val="en-US" w:eastAsia="zh-CN"/>
        </w:rPr>
        <w:t>项目和活动</w:t>
      </w:r>
      <w:r w:rsidR="00F424AC">
        <w:rPr>
          <w:rFonts w:hint="eastAsia"/>
          <w:lang w:val="en-US" w:eastAsia="zh-CN"/>
        </w:rPr>
        <w:t>的渠道，</w:t>
      </w:r>
      <w:r w:rsidRPr="003F44E5">
        <w:rPr>
          <w:rFonts w:hint="eastAsia"/>
          <w:lang w:val="en-US" w:eastAsia="zh-CN"/>
        </w:rPr>
        <w:t>传播与国际电联活动有关的信息</w:t>
      </w:r>
      <w:r w:rsidR="00F424AC">
        <w:rPr>
          <w:rFonts w:hint="eastAsia"/>
          <w:lang w:val="en-US" w:eastAsia="zh-CN"/>
        </w:rPr>
        <w:t>，</w:t>
      </w:r>
      <w:r w:rsidRPr="003F44E5">
        <w:rPr>
          <w:rFonts w:hint="eastAsia"/>
          <w:lang w:val="en-US" w:eastAsia="zh-CN"/>
        </w:rPr>
        <w:t>增进与区域性</w:t>
      </w:r>
      <w:r w:rsidR="00520710">
        <w:rPr>
          <w:rFonts w:hint="eastAsia"/>
          <w:lang w:val="en-US" w:eastAsia="zh-CN"/>
        </w:rPr>
        <w:t>组织</w:t>
      </w:r>
      <w:r w:rsidRPr="003F44E5">
        <w:rPr>
          <w:rFonts w:hint="eastAsia"/>
          <w:lang w:val="en-US" w:eastAsia="zh-CN"/>
        </w:rPr>
        <w:t>和次区域性组织的关系</w:t>
      </w:r>
      <w:r w:rsidR="00F424AC">
        <w:rPr>
          <w:rFonts w:hint="eastAsia"/>
          <w:lang w:val="en-US" w:eastAsia="zh-CN"/>
        </w:rPr>
        <w:t>，并</w:t>
      </w:r>
      <w:r w:rsidRPr="003F44E5">
        <w:rPr>
          <w:rFonts w:hint="eastAsia"/>
          <w:lang w:val="en-US" w:eastAsia="zh-CN"/>
        </w:rPr>
        <w:t>向有</w:t>
      </w:r>
      <w:r w:rsidR="00520710">
        <w:rPr>
          <w:rFonts w:hint="eastAsia"/>
          <w:lang w:val="en-US" w:eastAsia="zh-CN"/>
        </w:rPr>
        <w:t>具体</w:t>
      </w:r>
      <w:r w:rsidRPr="003F44E5">
        <w:rPr>
          <w:rFonts w:hint="eastAsia"/>
          <w:lang w:val="en-US" w:eastAsia="zh-CN"/>
        </w:rPr>
        <w:t>需求的国家提供技术支持</w:t>
      </w:r>
      <w:r w:rsidR="00382390">
        <w:rPr>
          <w:rFonts w:hint="eastAsia"/>
          <w:lang w:val="en-US" w:eastAsia="zh-CN"/>
        </w:rPr>
        <w:t>。在</w:t>
      </w:r>
      <w:r w:rsidRPr="003F44E5">
        <w:rPr>
          <w:rFonts w:hint="eastAsia"/>
          <w:lang w:val="en-US" w:eastAsia="zh-CN"/>
        </w:rPr>
        <w:t>秘书长</w:t>
      </w:r>
      <w:r w:rsidR="00382390" w:rsidRPr="003F44E5">
        <w:rPr>
          <w:rFonts w:hint="eastAsia"/>
          <w:lang w:val="en-US" w:eastAsia="zh-CN"/>
        </w:rPr>
        <w:t>与电信发展局</w:t>
      </w:r>
      <w:r w:rsidR="00382390">
        <w:rPr>
          <w:rFonts w:hint="eastAsia"/>
          <w:lang w:val="en-US" w:eastAsia="zh-CN"/>
        </w:rPr>
        <w:t>、</w:t>
      </w:r>
      <w:r w:rsidR="00382390" w:rsidRPr="003F44E5">
        <w:rPr>
          <w:rFonts w:hint="eastAsia"/>
          <w:lang w:val="en-US" w:eastAsia="zh-CN"/>
        </w:rPr>
        <w:t>无线电通信局和电信标准化局主任</w:t>
      </w:r>
      <w:r w:rsidR="00CD04A5">
        <w:rPr>
          <w:rFonts w:hint="eastAsia"/>
          <w:lang w:val="en-US" w:eastAsia="zh-CN"/>
        </w:rPr>
        <w:t>协商</w:t>
      </w:r>
      <w:r w:rsidR="00382390">
        <w:rPr>
          <w:rFonts w:hint="eastAsia"/>
          <w:lang w:val="en-US" w:eastAsia="zh-CN"/>
        </w:rPr>
        <w:t>对</w:t>
      </w:r>
      <w:r w:rsidRPr="003F44E5">
        <w:rPr>
          <w:rFonts w:hint="eastAsia"/>
          <w:lang w:val="en-US" w:eastAsia="zh-CN"/>
        </w:rPr>
        <w:t>区域代表处</w:t>
      </w:r>
      <w:r w:rsidR="00382390">
        <w:rPr>
          <w:rFonts w:hint="eastAsia"/>
          <w:lang w:val="en-US" w:eastAsia="zh-CN"/>
        </w:rPr>
        <w:t>进行审查</w:t>
      </w:r>
      <w:r w:rsidRPr="003F44E5">
        <w:rPr>
          <w:rFonts w:hint="eastAsia"/>
          <w:lang w:val="en-US" w:eastAsia="zh-CN"/>
        </w:rPr>
        <w:t>时</w:t>
      </w:r>
      <w:r w:rsidR="00382390">
        <w:rPr>
          <w:rFonts w:hint="eastAsia"/>
          <w:lang w:val="en-US" w:eastAsia="zh-CN"/>
        </w:rPr>
        <w:t>，</w:t>
      </w:r>
      <w:r w:rsidR="00CD04A5">
        <w:rPr>
          <w:rFonts w:hint="eastAsia"/>
          <w:lang w:val="en-US" w:eastAsia="zh-CN"/>
        </w:rPr>
        <w:t>必须</w:t>
      </w:r>
      <w:r w:rsidRPr="003F44E5">
        <w:rPr>
          <w:rFonts w:hint="eastAsia"/>
          <w:lang w:val="en-US" w:eastAsia="zh-CN"/>
        </w:rPr>
        <w:t>适当考虑第</w:t>
      </w:r>
      <w:r w:rsidRPr="003F44E5">
        <w:rPr>
          <w:rFonts w:hint="eastAsia"/>
          <w:lang w:val="en-US" w:eastAsia="zh-CN"/>
        </w:rPr>
        <w:t>25</w:t>
      </w:r>
      <w:r w:rsidRPr="003F44E5">
        <w:rPr>
          <w:rFonts w:hint="eastAsia"/>
          <w:lang w:val="en-US" w:eastAsia="zh-CN"/>
        </w:rPr>
        <w:t>号决议</w:t>
      </w:r>
      <w:r w:rsidR="00382390">
        <w:rPr>
          <w:rFonts w:hint="eastAsia"/>
          <w:lang w:val="en-US" w:eastAsia="zh-CN"/>
        </w:rPr>
        <w:t>所述</w:t>
      </w:r>
      <w:r w:rsidRPr="003F44E5">
        <w:rPr>
          <w:rFonts w:hint="eastAsia"/>
          <w:lang w:val="en-US" w:eastAsia="zh-CN"/>
        </w:rPr>
        <w:t>的区域代表处的重要</w:t>
      </w:r>
      <w:r w:rsidR="00F84A3A">
        <w:rPr>
          <w:rFonts w:hint="eastAsia"/>
          <w:lang w:val="en-US" w:eastAsia="zh-CN"/>
        </w:rPr>
        <w:t>意义。</w:t>
      </w:r>
    </w:p>
    <w:p w14:paraId="0E8455D0" w14:textId="276581BC" w:rsidR="003F44E5" w:rsidRPr="003F44E5" w:rsidRDefault="003F44E5" w:rsidP="0075406A">
      <w:pPr>
        <w:ind w:firstLineChars="200" w:firstLine="480"/>
        <w:jc w:val="both"/>
        <w:rPr>
          <w:lang w:val="en-US" w:eastAsia="zh-CN"/>
        </w:rPr>
      </w:pPr>
      <w:r w:rsidRPr="003F44E5">
        <w:rPr>
          <w:rFonts w:hint="eastAsia"/>
          <w:lang w:val="en-US" w:eastAsia="zh-CN"/>
        </w:rPr>
        <w:t>我们注意到</w:t>
      </w:r>
      <w:r w:rsidR="00ED7160">
        <w:rPr>
          <w:rFonts w:hint="eastAsia"/>
          <w:lang w:val="en-US" w:eastAsia="zh-CN"/>
        </w:rPr>
        <w:t>，</w:t>
      </w:r>
      <w:r w:rsidR="00ED7160" w:rsidRPr="00ED7160">
        <w:rPr>
          <w:rFonts w:hint="eastAsia"/>
          <w:lang w:val="en-US" w:eastAsia="zh-CN"/>
        </w:rPr>
        <w:t>电信发展顾问组</w:t>
      </w:r>
      <w:r w:rsidR="00ED7160">
        <w:rPr>
          <w:rFonts w:hint="eastAsia"/>
          <w:lang w:val="en-US" w:eastAsia="zh-CN"/>
        </w:rPr>
        <w:t>（</w:t>
      </w:r>
      <w:r w:rsidR="00ED7160" w:rsidRPr="003F44E5">
        <w:rPr>
          <w:lang w:val="en-US" w:eastAsia="zh-CN"/>
        </w:rPr>
        <w:t>TDAG</w:t>
      </w:r>
      <w:r w:rsidR="00ED7160">
        <w:rPr>
          <w:rFonts w:hint="eastAsia"/>
          <w:lang w:val="en-US" w:eastAsia="zh-CN"/>
        </w:rPr>
        <w:t>）也</w:t>
      </w:r>
      <w:r w:rsidRPr="003F44E5">
        <w:rPr>
          <w:rFonts w:hint="eastAsia"/>
          <w:lang w:val="en-US" w:eastAsia="zh-CN"/>
        </w:rPr>
        <w:t>确认区域代表处对于有效实施区域性举措和</w:t>
      </w:r>
      <w:r w:rsidR="00ED7160">
        <w:rPr>
          <w:rFonts w:hint="eastAsia"/>
          <w:lang w:val="en-US" w:eastAsia="zh-CN"/>
        </w:rPr>
        <w:t>《</w:t>
      </w:r>
      <w:r w:rsidR="00ED7160" w:rsidRPr="00ED7160">
        <w:rPr>
          <w:rFonts w:hint="eastAsia"/>
          <w:lang w:val="en-US" w:eastAsia="zh-CN"/>
        </w:rPr>
        <w:t>基加利行动计划</w:t>
      </w:r>
      <w:r w:rsidR="00ED7160">
        <w:rPr>
          <w:rFonts w:hint="eastAsia"/>
          <w:lang w:val="en-US" w:eastAsia="zh-CN"/>
        </w:rPr>
        <w:t>》</w:t>
      </w:r>
      <w:r w:rsidRPr="003F44E5">
        <w:rPr>
          <w:rFonts w:hint="eastAsia"/>
          <w:lang w:val="en-US" w:eastAsia="zh-CN"/>
        </w:rPr>
        <w:t>至关重要</w:t>
      </w:r>
      <w:r w:rsidR="00ED7160">
        <w:rPr>
          <w:rFonts w:hint="eastAsia"/>
          <w:lang w:val="en-US" w:eastAsia="zh-CN"/>
        </w:rPr>
        <w:t>，</w:t>
      </w:r>
      <w:r w:rsidRPr="003F44E5">
        <w:rPr>
          <w:rFonts w:hint="eastAsia"/>
          <w:lang w:val="en-US" w:eastAsia="zh-CN"/>
        </w:rPr>
        <w:t>并强调区域代表处在推进</w:t>
      </w:r>
      <w:r w:rsidR="00ED7160">
        <w:rPr>
          <w:rFonts w:hint="eastAsia"/>
          <w:lang w:val="en-US" w:eastAsia="zh-CN"/>
        </w:rPr>
        <w:t>具体</w:t>
      </w:r>
      <w:r w:rsidRPr="003F44E5">
        <w:rPr>
          <w:rFonts w:hint="eastAsia"/>
          <w:lang w:val="en-US" w:eastAsia="zh-CN"/>
        </w:rPr>
        <w:t>区域的发展目标方面</w:t>
      </w:r>
      <w:r w:rsidR="00CD04A5">
        <w:rPr>
          <w:rFonts w:hint="eastAsia"/>
          <w:lang w:val="en-US" w:eastAsia="zh-CN"/>
        </w:rPr>
        <w:t>发挥着</w:t>
      </w:r>
      <w:r w:rsidRPr="003F44E5">
        <w:rPr>
          <w:rFonts w:hint="eastAsia"/>
          <w:lang w:val="en-US" w:eastAsia="zh-CN"/>
        </w:rPr>
        <w:t>关键作用</w:t>
      </w:r>
      <w:r w:rsidR="00ED7160">
        <w:rPr>
          <w:rFonts w:hint="eastAsia"/>
          <w:lang w:val="en-US" w:eastAsia="zh-CN"/>
        </w:rPr>
        <w:t>。</w:t>
      </w:r>
      <w:r w:rsidR="00ED7160" w:rsidRPr="003F44E5">
        <w:rPr>
          <w:lang w:val="en-US" w:eastAsia="zh-CN"/>
        </w:rPr>
        <w:t>TDAG</w:t>
      </w:r>
      <w:r w:rsidRPr="003F44E5">
        <w:rPr>
          <w:rFonts w:hint="eastAsia"/>
          <w:lang w:val="en-US" w:eastAsia="zh-CN"/>
        </w:rPr>
        <w:t>认识到</w:t>
      </w:r>
      <w:r w:rsidR="00CD04A5">
        <w:rPr>
          <w:rFonts w:hint="eastAsia"/>
          <w:lang w:val="en-US" w:eastAsia="zh-CN"/>
        </w:rPr>
        <w:t>，</w:t>
      </w:r>
      <w:r w:rsidRPr="003F44E5">
        <w:rPr>
          <w:rFonts w:hint="eastAsia"/>
          <w:lang w:val="en-US" w:eastAsia="zh-CN"/>
        </w:rPr>
        <w:t>区域代表处在支持国际电联</w:t>
      </w:r>
      <w:r w:rsidR="00CD04A5">
        <w:rPr>
          <w:rFonts w:hint="eastAsia"/>
          <w:lang w:val="en-US" w:eastAsia="zh-CN"/>
        </w:rPr>
        <w:t>的</w:t>
      </w:r>
      <w:r w:rsidRPr="003F44E5">
        <w:rPr>
          <w:rFonts w:hint="eastAsia"/>
          <w:lang w:val="en-US" w:eastAsia="zh-CN"/>
        </w:rPr>
        <w:t>发展活动</w:t>
      </w:r>
      <w:r w:rsidR="0037474F">
        <w:rPr>
          <w:rFonts w:hint="eastAsia"/>
          <w:lang w:val="en-US" w:eastAsia="zh-CN"/>
        </w:rPr>
        <w:t>以及</w:t>
      </w:r>
      <w:r w:rsidRPr="003F44E5">
        <w:rPr>
          <w:rFonts w:hint="eastAsia"/>
          <w:lang w:val="en-US" w:eastAsia="zh-CN"/>
        </w:rPr>
        <w:t>与</w:t>
      </w:r>
      <w:r w:rsidR="00ED7160" w:rsidRPr="003F44E5">
        <w:rPr>
          <w:lang w:val="en-US" w:eastAsia="zh-CN"/>
        </w:rPr>
        <w:t>ITU-T</w:t>
      </w:r>
      <w:r w:rsidRPr="003F44E5">
        <w:rPr>
          <w:rFonts w:hint="eastAsia"/>
          <w:lang w:val="en-US" w:eastAsia="zh-CN"/>
        </w:rPr>
        <w:t>和</w:t>
      </w:r>
      <w:r w:rsidR="00ED7160" w:rsidRPr="003F44E5">
        <w:rPr>
          <w:lang w:val="en-US" w:eastAsia="zh-CN"/>
        </w:rPr>
        <w:t>ITU-R</w:t>
      </w:r>
      <w:r w:rsidR="0037474F">
        <w:rPr>
          <w:rFonts w:hint="eastAsia"/>
          <w:lang w:val="en-US" w:eastAsia="zh-CN"/>
        </w:rPr>
        <w:t>牵头</w:t>
      </w:r>
      <w:r w:rsidRPr="003F44E5">
        <w:rPr>
          <w:rFonts w:hint="eastAsia"/>
          <w:lang w:val="en-US" w:eastAsia="zh-CN"/>
        </w:rPr>
        <w:t>的</w:t>
      </w:r>
      <w:r w:rsidR="00795580">
        <w:rPr>
          <w:rFonts w:hint="eastAsia"/>
          <w:lang w:val="en-US" w:eastAsia="zh-CN"/>
        </w:rPr>
        <w:t>工作</w:t>
      </w:r>
      <w:r w:rsidR="00ED7160">
        <w:rPr>
          <w:rFonts w:hint="eastAsia"/>
          <w:lang w:val="en-US" w:eastAsia="zh-CN"/>
        </w:rPr>
        <w:t>协调</w:t>
      </w:r>
      <w:r w:rsidR="0037474F">
        <w:rPr>
          <w:rFonts w:hint="eastAsia"/>
          <w:lang w:val="en-US" w:eastAsia="zh-CN"/>
        </w:rPr>
        <w:t>统一</w:t>
      </w:r>
      <w:r w:rsidR="00CD04A5" w:rsidRPr="003F44E5">
        <w:rPr>
          <w:rFonts w:hint="eastAsia"/>
          <w:lang w:val="en-US" w:eastAsia="zh-CN"/>
        </w:rPr>
        <w:t>以确保技术</w:t>
      </w:r>
      <w:r w:rsidR="00CD04A5">
        <w:rPr>
          <w:rFonts w:hint="eastAsia"/>
          <w:lang w:val="en-US" w:eastAsia="zh-CN"/>
        </w:rPr>
        <w:t>部门</w:t>
      </w:r>
      <w:r w:rsidR="00CD04A5" w:rsidRPr="003F44E5">
        <w:rPr>
          <w:rFonts w:hint="eastAsia"/>
          <w:lang w:val="en-US" w:eastAsia="zh-CN"/>
        </w:rPr>
        <w:t>和业务部门</w:t>
      </w:r>
      <w:r w:rsidR="00CD04A5">
        <w:rPr>
          <w:rFonts w:hint="eastAsia"/>
          <w:lang w:val="en-US" w:eastAsia="zh-CN"/>
        </w:rPr>
        <w:t>的一致性</w:t>
      </w:r>
      <w:r w:rsidRPr="003F44E5">
        <w:rPr>
          <w:rFonts w:hint="eastAsia"/>
          <w:lang w:val="en-US" w:eastAsia="zh-CN"/>
        </w:rPr>
        <w:t>方面</w:t>
      </w:r>
      <w:r w:rsidR="00795580">
        <w:rPr>
          <w:rFonts w:hint="eastAsia"/>
          <w:lang w:val="en-US" w:eastAsia="zh-CN"/>
        </w:rPr>
        <w:t>发挥着补充</w:t>
      </w:r>
      <w:r w:rsidRPr="003F44E5">
        <w:rPr>
          <w:rFonts w:hint="eastAsia"/>
          <w:lang w:val="en-US" w:eastAsia="zh-CN"/>
        </w:rPr>
        <w:t>作用</w:t>
      </w:r>
      <w:r w:rsidR="00795580">
        <w:rPr>
          <w:rFonts w:hint="eastAsia"/>
          <w:lang w:val="en-US" w:eastAsia="zh-CN"/>
        </w:rPr>
        <w:t>。</w:t>
      </w:r>
      <w:r w:rsidRPr="003F44E5">
        <w:rPr>
          <w:rFonts w:hint="eastAsia"/>
          <w:lang w:val="en-US" w:eastAsia="zh-CN"/>
        </w:rPr>
        <w:t>此外</w:t>
      </w:r>
      <w:r w:rsidR="00795580">
        <w:rPr>
          <w:rFonts w:hint="eastAsia"/>
          <w:lang w:val="en-US" w:eastAsia="zh-CN"/>
        </w:rPr>
        <w:t>，</w:t>
      </w:r>
      <w:r w:rsidR="00795580" w:rsidRPr="003F44E5">
        <w:rPr>
          <w:lang w:val="en-US" w:eastAsia="zh-CN"/>
        </w:rPr>
        <w:t>TDAG</w:t>
      </w:r>
      <w:r w:rsidRPr="003F44E5">
        <w:rPr>
          <w:rFonts w:hint="eastAsia"/>
          <w:lang w:val="en-US" w:eastAsia="zh-CN"/>
        </w:rPr>
        <w:t>强调</w:t>
      </w:r>
      <w:r w:rsidR="00795580">
        <w:rPr>
          <w:rFonts w:hint="eastAsia"/>
          <w:lang w:val="en-US" w:eastAsia="zh-CN"/>
        </w:rPr>
        <w:t>，为</w:t>
      </w:r>
      <w:r w:rsidRPr="003F44E5">
        <w:rPr>
          <w:rFonts w:hint="eastAsia"/>
          <w:lang w:val="en-US" w:eastAsia="zh-CN"/>
        </w:rPr>
        <w:t>加强区域代表</w:t>
      </w:r>
      <w:r w:rsidR="00795580">
        <w:rPr>
          <w:rFonts w:hint="eastAsia"/>
          <w:lang w:val="en-US" w:eastAsia="zh-CN"/>
        </w:rPr>
        <w:t>处</w:t>
      </w:r>
      <w:r w:rsidR="00CD04A5">
        <w:rPr>
          <w:rFonts w:hint="eastAsia"/>
          <w:lang w:val="en-US" w:eastAsia="zh-CN"/>
        </w:rPr>
        <w:t>的</w:t>
      </w:r>
      <w:r w:rsidR="00795580">
        <w:rPr>
          <w:rFonts w:hint="eastAsia"/>
          <w:lang w:val="en-US" w:eastAsia="zh-CN"/>
        </w:rPr>
        <w:t>作用而进行的</w:t>
      </w:r>
      <w:r w:rsidRPr="003F44E5">
        <w:rPr>
          <w:rFonts w:hint="eastAsia"/>
          <w:lang w:val="en-US" w:eastAsia="zh-CN"/>
        </w:rPr>
        <w:t>审查必须遵守第</w:t>
      </w:r>
      <w:r w:rsidR="00795580" w:rsidRPr="003F44E5">
        <w:rPr>
          <w:lang w:val="en-US" w:eastAsia="zh-CN"/>
        </w:rPr>
        <w:t>25</w:t>
      </w:r>
      <w:r w:rsidR="00795580">
        <w:rPr>
          <w:rFonts w:hint="eastAsia"/>
          <w:lang w:val="en-US" w:eastAsia="zh-CN"/>
        </w:rPr>
        <w:t>号</w:t>
      </w:r>
      <w:r w:rsidRPr="003F44E5">
        <w:rPr>
          <w:rFonts w:hint="eastAsia"/>
          <w:lang w:val="en-US" w:eastAsia="zh-CN"/>
        </w:rPr>
        <w:t>决议</w:t>
      </w:r>
      <w:r w:rsidR="00795580">
        <w:rPr>
          <w:rFonts w:hint="eastAsia"/>
          <w:lang w:val="en-US" w:eastAsia="zh-CN"/>
        </w:rPr>
        <w:t>（</w:t>
      </w:r>
      <w:r w:rsidR="00795580" w:rsidRPr="003F44E5">
        <w:rPr>
          <w:lang w:val="en-US" w:eastAsia="zh-CN"/>
        </w:rPr>
        <w:t>2022</w:t>
      </w:r>
      <w:r w:rsidR="00795580" w:rsidRPr="003F44E5">
        <w:rPr>
          <w:rFonts w:hint="eastAsia"/>
          <w:lang w:val="en-US" w:eastAsia="zh-CN"/>
        </w:rPr>
        <w:t>年</w:t>
      </w:r>
      <w:r w:rsidR="00795580">
        <w:rPr>
          <w:rFonts w:hint="eastAsia"/>
          <w:lang w:val="en-US" w:eastAsia="zh-CN"/>
        </w:rPr>
        <w:t>，</w:t>
      </w:r>
      <w:r w:rsidR="00795580" w:rsidRPr="003F44E5">
        <w:rPr>
          <w:rFonts w:hint="eastAsia"/>
          <w:lang w:val="en-US" w:eastAsia="zh-CN"/>
        </w:rPr>
        <w:t>布加勒斯特</w:t>
      </w:r>
      <w:r w:rsidR="00795580">
        <w:rPr>
          <w:rFonts w:hint="eastAsia"/>
          <w:lang w:val="en-US" w:eastAsia="zh-CN"/>
        </w:rPr>
        <w:t>）</w:t>
      </w:r>
      <w:r w:rsidR="0031386F">
        <w:rPr>
          <w:rFonts w:hint="eastAsia"/>
          <w:lang w:val="en-US" w:eastAsia="zh-CN"/>
        </w:rPr>
        <w:t>规定</w:t>
      </w:r>
      <w:r w:rsidRPr="003F44E5">
        <w:rPr>
          <w:rFonts w:hint="eastAsia"/>
          <w:lang w:val="en-US" w:eastAsia="zh-CN"/>
        </w:rPr>
        <w:t>的</w:t>
      </w:r>
      <w:r w:rsidR="00054FBD">
        <w:rPr>
          <w:rFonts w:hint="eastAsia"/>
          <w:lang w:val="en-US" w:eastAsia="zh-CN"/>
        </w:rPr>
        <w:t>指导原则</w:t>
      </w:r>
      <w:r w:rsidR="00795580">
        <w:rPr>
          <w:rFonts w:hint="eastAsia"/>
          <w:lang w:val="en-US" w:eastAsia="zh-CN"/>
        </w:rPr>
        <w:t>，</w:t>
      </w:r>
      <w:r w:rsidRPr="003F44E5">
        <w:rPr>
          <w:rFonts w:hint="eastAsia"/>
          <w:lang w:val="en-US" w:eastAsia="zh-CN"/>
        </w:rPr>
        <w:t>确保与</w:t>
      </w:r>
      <w:r w:rsidR="0037474F">
        <w:rPr>
          <w:rFonts w:hint="eastAsia"/>
          <w:lang w:val="en-US" w:eastAsia="zh-CN"/>
        </w:rPr>
        <w:t>既定职责</w:t>
      </w:r>
      <w:r w:rsidRPr="003F44E5">
        <w:rPr>
          <w:rFonts w:hint="eastAsia"/>
          <w:lang w:val="en-US" w:eastAsia="zh-CN"/>
        </w:rPr>
        <w:t>和战略保持一致</w:t>
      </w:r>
      <w:r w:rsidR="00795580">
        <w:rPr>
          <w:rFonts w:hint="eastAsia"/>
          <w:lang w:val="en-US" w:eastAsia="zh-CN"/>
        </w:rPr>
        <w:t>。</w:t>
      </w:r>
    </w:p>
    <w:p w14:paraId="05DCD745" w14:textId="034692F3" w:rsidR="003F44E5" w:rsidRPr="00BA2D3E" w:rsidRDefault="003F44E5" w:rsidP="0075406A">
      <w:pPr>
        <w:pStyle w:val="Headingb"/>
        <w:jc w:val="both"/>
        <w:rPr>
          <w:lang w:val="en-US" w:eastAsia="zh-CN"/>
        </w:rPr>
      </w:pPr>
      <w:r w:rsidRPr="00BA2D3E">
        <w:rPr>
          <w:rFonts w:hint="eastAsia"/>
          <w:lang w:val="en-US" w:eastAsia="zh-CN"/>
        </w:rPr>
        <w:t>提案</w:t>
      </w:r>
    </w:p>
    <w:p w14:paraId="043B2938" w14:textId="2CDB1240" w:rsidR="003F44E5" w:rsidRPr="003F44E5" w:rsidRDefault="003F44E5" w:rsidP="0075406A">
      <w:pPr>
        <w:ind w:firstLineChars="200" w:firstLine="480"/>
        <w:jc w:val="both"/>
        <w:rPr>
          <w:lang w:val="en-US" w:eastAsia="zh-CN"/>
        </w:rPr>
      </w:pPr>
      <w:r w:rsidRPr="003F44E5">
        <w:rPr>
          <w:rFonts w:hint="eastAsia"/>
          <w:lang w:val="en-US" w:eastAsia="zh-CN"/>
        </w:rPr>
        <w:t>在此</w:t>
      </w:r>
      <w:r w:rsidR="0031386F">
        <w:rPr>
          <w:rFonts w:hint="eastAsia"/>
          <w:lang w:val="en-US" w:eastAsia="zh-CN"/>
        </w:rPr>
        <w:t>背景下</w:t>
      </w:r>
      <w:r w:rsidR="004E1E85">
        <w:rPr>
          <w:rFonts w:hint="eastAsia"/>
          <w:lang w:val="en-US" w:eastAsia="zh-CN"/>
        </w:rPr>
        <w:t>，</w:t>
      </w:r>
      <w:r w:rsidRPr="003F44E5">
        <w:rPr>
          <w:rFonts w:hint="eastAsia"/>
          <w:lang w:val="en-US" w:eastAsia="zh-CN"/>
        </w:rPr>
        <w:t>我们建议</w:t>
      </w:r>
      <w:r w:rsidR="00004E57">
        <w:rPr>
          <w:rFonts w:hint="eastAsia"/>
          <w:lang w:val="en-US" w:eastAsia="zh-CN"/>
        </w:rPr>
        <w:t>赋予</w:t>
      </w:r>
      <w:r w:rsidRPr="003F44E5">
        <w:rPr>
          <w:rFonts w:hint="eastAsia"/>
          <w:lang w:val="en-US" w:eastAsia="zh-CN"/>
        </w:rPr>
        <w:t>电信发展局</w:t>
      </w:r>
      <w:r w:rsidR="004E1E85">
        <w:rPr>
          <w:rFonts w:hint="eastAsia"/>
          <w:lang w:val="en-US" w:eastAsia="zh-CN"/>
        </w:rPr>
        <w:t>（</w:t>
      </w:r>
      <w:r w:rsidR="004E1E85" w:rsidRPr="003F44E5">
        <w:rPr>
          <w:lang w:val="en-US" w:eastAsia="zh-CN"/>
        </w:rPr>
        <w:t>BDT</w:t>
      </w:r>
      <w:r w:rsidR="004E1E85">
        <w:rPr>
          <w:rFonts w:hint="eastAsia"/>
          <w:lang w:val="en-US" w:eastAsia="zh-CN"/>
        </w:rPr>
        <w:t>）</w:t>
      </w:r>
      <w:r w:rsidRPr="003F44E5">
        <w:rPr>
          <w:rFonts w:hint="eastAsia"/>
          <w:lang w:val="en-US" w:eastAsia="zh-CN"/>
        </w:rPr>
        <w:t>在对国际电</w:t>
      </w:r>
      <w:proofErr w:type="gramStart"/>
      <w:r w:rsidRPr="003F44E5">
        <w:rPr>
          <w:rFonts w:hint="eastAsia"/>
          <w:lang w:val="en-US" w:eastAsia="zh-CN"/>
        </w:rPr>
        <w:t>联区域</w:t>
      </w:r>
      <w:proofErr w:type="gramEnd"/>
      <w:r w:rsidRPr="003F44E5">
        <w:rPr>
          <w:rFonts w:hint="eastAsia"/>
          <w:lang w:val="en-US" w:eastAsia="zh-CN"/>
        </w:rPr>
        <w:t>代表处的审查</w:t>
      </w:r>
      <w:r w:rsidR="00004E57">
        <w:rPr>
          <w:rFonts w:hint="eastAsia"/>
          <w:lang w:val="en-US" w:eastAsia="zh-CN"/>
        </w:rPr>
        <w:t>工作</w:t>
      </w:r>
      <w:r w:rsidRPr="003F44E5">
        <w:rPr>
          <w:rFonts w:hint="eastAsia"/>
          <w:lang w:val="en-US" w:eastAsia="zh-CN"/>
        </w:rPr>
        <w:t>中</w:t>
      </w:r>
      <w:r w:rsidR="00054FBD">
        <w:rPr>
          <w:rFonts w:hint="eastAsia"/>
          <w:lang w:val="en-US" w:eastAsia="zh-CN"/>
        </w:rPr>
        <w:t>担任</w:t>
      </w:r>
      <w:r w:rsidR="00004E57">
        <w:rPr>
          <w:rFonts w:hint="eastAsia"/>
          <w:lang w:val="en-US" w:eastAsia="zh-CN"/>
        </w:rPr>
        <w:t>主要职责</w:t>
      </w:r>
      <w:r w:rsidR="0031386F">
        <w:rPr>
          <w:rFonts w:hint="eastAsia"/>
          <w:lang w:val="en-US" w:eastAsia="zh-CN"/>
        </w:rPr>
        <w:t>，</w:t>
      </w:r>
      <w:r w:rsidR="00004E57">
        <w:rPr>
          <w:rFonts w:hint="eastAsia"/>
          <w:lang w:val="en-US" w:eastAsia="zh-CN"/>
        </w:rPr>
        <w:t>如</w:t>
      </w:r>
      <w:r w:rsidR="0031386F" w:rsidRPr="003F44E5">
        <w:rPr>
          <w:rFonts w:hint="eastAsia"/>
          <w:lang w:val="en-US" w:eastAsia="zh-CN"/>
        </w:rPr>
        <w:t>已通过的职责范围</w:t>
      </w:r>
      <w:r w:rsidR="0031386F">
        <w:rPr>
          <w:rFonts w:hint="eastAsia"/>
          <w:lang w:val="en-US" w:eastAsia="zh-CN"/>
        </w:rPr>
        <w:t>（</w:t>
      </w:r>
      <w:hyperlink r:id="rId10" w:history="1">
        <w:proofErr w:type="spellStart"/>
        <w:r w:rsidR="0031386F" w:rsidRPr="003F44E5">
          <w:rPr>
            <w:rStyle w:val="Hyperlink"/>
            <w:rFonts w:eastAsia="SimSun"/>
            <w:noProof w:val="0"/>
            <w:lang w:val="en-US" w:eastAsia="zh-CN"/>
          </w:rPr>
          <w:t>C25</w:t>
        </w:r>
        <w:proofErr w:type="spellEnd"/>
        <w:r w:rsidR="0031386F" w:rsidRPr="003F44E5">
          <w:rPr>
            <w:rStyle w:val="Hyperlink"/>
            <w:rFonts w:eastAsia="SimSun"/>
            <w:noProof w:val="0"/>
            <w:lang w:val="en-US" w:eastAsia="zh-CN"/>
          </w:rPr>
          <w:t>/50</w:t>
        </w:r>
      </w:hyperlink>
      <w:r w:rsidR="0031386F" w:rsidRPr="003F44E5">
        <w:rPr>
          <w:rFonts w:hint="eastAsia"/>
          <w:lang w:val="en-US" w:eastAsia="zh-CN"/>
        </w:rPr>
        <w:t>文件附件</w:t>
      </w:r>
      <w:r w:rsidR="0031386F" w:rsidRPr="003F44E5">
        <w:rPr>
          <w:lang w:val="en-US" w:eastAsia="zh-CN"/>
        </w:rPr>
        <w:t>A</w:t>
      </w:r>
      <w:r w:rsidR="0031386F">
        <w:rPr>
          <w:rFonts w:hint="eastAsia"/>
          <w:lang w:val="en-US" w:eastAsia="zh-CN"/>
        </w:rPr>
        <w:t>）</w:t>
      </w:r>
      <w:r w:rsidR="00004E57">
        <w:rPr>
          <w:rFonts w:hint="eastAsia"/>
          <w:lang w:val="en-US" w:eastAsia="zh-CN"/>
        </w:rPr>
        <w:t>所述</w:t>
      </w:r>
      <w:r w:rsidR="00982BAC">
        <w:rPr>
          <w:rFonts w:hint="eastAsia"/>
          <w:lang w:val="en-US" w:eastAsia="zh-CN"/>
        </w:rPr>
        <w:t>。</w:t>
      </w:r>
      <w:r w:rsidRPr="003F44E5">
        <w:rPr>
          <w:rFonts w:hint="eastAsia"/>
          <w:lang w:val="en-US" w:eastAsia="zh-CN"/>
        </w:rPr>
        <w:t>鉴于区域代表处和地区办事处由</w:t>
      </w:r>
      <w:r w:rsidR="00982BAC" w:rsidRPr="003F44E5">
        <w:rPr>
          <w:lang w:val="en-US" w:eastAsia="zh-CN"/>
        </w:rPr>
        <w:t>BDT</w:t>
      </w:r>
      <w:r w:rsidRPr="003F44E5">
        <w:rPr>
          <w:rFonts w:hint="eastAsia"/>
          <w:lang w:val="en-US" w:eastAsia="zh-CN"/>
        </w:rPr>
        <w:t>直接负责</w:t>
      </w:r>
      <w:r w:rsidR="00982BAC">
        <w:rPr>
          <w:rFonts w:hint="eastAsia"/>
          <w:lang w:val="en-US" w:eastAsia="zh-CN"/>
        </w:rPr>
        <w:t>，</w:t>
      </w:r>
      <w:r w:rsidRPr="003F44E5">
        <w:rPr>
          <w:rFonts w:hint="eastAsia"/>
          <w:lang w:val="en-US" w:eastAsia="zh-CN"/>
        </w:rPr>
        <w:t>电信发展局</w:t>
      </w:r>
      <w:r w:rsidR="00004E57">
        <w:rPr>
          <w:rFonts w:hint="eastAsia"/>
          <w:lang w:val="en-US" w:eastAsia="zh-CN"/>
        </w:rPr>
        <w:t>拥有</w:t>
      </w:r>
      <w:r w:rsidR="00004E57" w:rsidRPr="003F44E5">
        <w:rPr>
          <w:rFonts w:hint="eastAsia"/>
          <w:lang w:val="en-US" w:eastAsia="zh-CN"/>
        </w:rPr>
        <w:t>独特的优势</w:t>
      </w:r>
      <w:r w:rsidR="00004E57">
        <w:rPr>
          <w:rFonts w:hint="eastAsia"/>
          <w:lang w:val="en-US" w:eastAsia="zh-CN"/>
        </w:rPr>
        <w:t>，可以</w:t>
      </w:r>
      <w:r w:rsidRPr="003F44E5">
        <w:rPr>
          <w:rFonts w:hint="eastAsia"/>
          <w:lang w:val="en-US" w:eastAsia="zh-CN"/>
        </w:rPr>
        <w:t>为这项工作提供实质性支持</w:t>
      </w:r>
      <w:r w:rsidR="00004E57">
        <w:rPr>
          <w:rFonts w:hint="eastAsia"/>
          <w:lang w:val="en-US" w:eastAsia="zh-CN"/>
        </w:rPr>
        <w:t>。</w:t>
      </w:r>
      <w:r w:rsidR="00982BAC" w:rsidRPr="003F44E5">
        <w:rPr>
          <w:lang w:val="en-US" w:eastAsia="zh-CN"/>
        </w:rPr>
        <w:t>BDT</w:t>
      </w:r>
      <w:r w:rsidRPr="003F44E5">
        <w:rPr>
          <w:rFonts w:hint="eastAsia"/>
          <w:lang w:val="en-US" w:eastAsia="zh-CN"/>
        </w:rPr>
        <w:t>拥有</w:t>
      </w:r>
      <w:r w:rsidR="00004E57">
        <w:rPr>
          <w:rFonts w:hint="eastAsia"/>
          <w:lang w:val="en-US" w:eastAsia="zh-CN"/>
        </w:rPr>
        <w:t>机构</w:t>
      </w:r>
      <w:r w:rsidR="00982BAC" w:rsidRPr="00982BAC">
        <w:rPr>
          <w:rFonts w:hint="eastAsia"/>
          <w:lang w:val="en-US" w:eastAsia="zh-CN"/>
        </w:rPr>
        <w:t>知识</w:t>
      </w:r>
      <w:r w:rsidR="00E57EA0">
        <w:rPr>
          <w:rFonts w:hint="eastAsia"/>
          <w:lang w:val="en-US" w:eastAsia="zh-CN"/>
        </w:rPr>
        <w:t>、</w:t>
      </w:r>
      <w:r w:rsidRPr="003F44E5">
        <w:rPr>
          <w:rFonts w:hint="eastAsia"/>
          <w:lang w:val="en-US" w:eastAsia="zh-CN"/>
        </w:rPr>
        <w:t>业务监督和</w:t>
      </w:r>
      <w:r w:rsidR="00AD10FC">
        <w:rPr>
          <w:rFonts w:hint="eastAsia"/>
          <w:lang w:val="en-US" w:eastAsia="zh-CN"/>
        </w:rPr>
        <w:t>成熟的</w:t>
      </w:r>
      <w:r w:rsidRPr="003F44E5">
        <w:rPr>
          <w:rFonts w:hint="eastAsia"/>
          <w:lang w:val="en-US" w:eastAsia="zh-CN"/>
        </w:rPr>
        <w:t>机制</w:t>
      </w:r>
      <w:r w:rsidR="00E57EA0">
        <w:rPr>
          <w:rFonts w:hint="eastAsia"/>
          <w:lang w:val="en-US" w:eastAsia="zh-CN"/>
        </w:rPr>
        <w:t>，</w:t>
      </w:r>
      <w:r w:rsidR="00004E57">
        <w:rPr>
          <w:rFonts w:hint="eastAsia"/>
          <w:lang w:val="en-US" w:eastAsia="zh-CN"/>
        </w:rPr>
        <w:t>能够</w:t>
      </w:r>
      <w:r w:rsidRPr="003F44E5">
        <w:rPr>
          <w:rFonts w:hint="eastAsia"/>
          <w:lang w:val="en-US" w:eastAsia="zh-CN"/>
        </w:rPr>
        <w:t>确保</w:t>
      </w:r>
      <w:r w:rsidR="00AD10FC">
        <w:rPr>
          <w:rFonts w:hint="eastAsia"/>
          <w:lang w:val="en-US" w:eastAsia="zh-CN"/>
        </w:rPr>
        <w:t>进行有益且成本高效的</w:t>
      </w:r>
      <w:r w:rsidRPr="003F44E5">
        <w:rPr>
          <w:rFonts w:hint="eastAsia"/>
          <w:lang w:val="en-US" w:eastAsia="zh-CN"/>
        </w:rPr>
        <w:t>审查</w:t>
      </w:r>
      <w:r w:rsidR="00AD10FC">
        <w:rPr>
          <w:rFonts w:hint="eastAsia"/>
          <w:lang w:val="en-US" w:eastAsia="zh-CN"/>
        </w:rPr>
        <w:t>。</w:t>
      </w:r>
    </w:p>
    <w:p w14:paraId="6CA8F0D4" w14:textId="4D6C5C6A" w:rsidR="003F44E5" w:rsidRPr="003F44E5" w:rsidRDefault="003F44E5" w:rsidP="0075406A">
      <w:pPr>
        <w:ind w:firstLineChars="200" w:firstLine="480"/>
        <w:jc w:val="both"/>
        <w:rPr>
          <w:lang w:val="en-US" w:eastAsia="zh-CN"/>
        </w:rPr>
      </w:pPr>
      <w:r w:rsidRPr="003F44E5">
        <w:rPr>
          <w:rFonts w:hint="eastAsia"/>
          <w:lang w:val="en-US" w:eastAsia="zh-CN"/>
        </w:rPr>
        <w:t>支持</w:t>
      </w:r>
      <w:r w:rsidR="007C4D7F" w:rsidRPr="003F44E5">
        <w:rPr>
          <w:lang w:val="en-US" w:eastAsia="zh-CN"/>
        </w:rPr>
        <w:t>BDT</w:t>
      </w:r>
      <w:r w:rsidRPr="003F44E5">
        <w:rPr>
          <w:rFonts w:hint="eastAsia"/>
          <w:lang w:val="en-US" w:eastAsia="zh-CN"/>
        </w:rPr>
        <w:t>承担这一强化</w:t>
      </w:r>
      <w:r w:rsidR="007C4D7F">
        <w:rPr>
          <w:rFonts w:hint="eastAsia"/>
          <w:lang w:val="en-US" w:eastAsia="zh-CN"/>
        </w:rPr>
        <w:t>的职责，</w:t>
      </w:r>
      <w:r w:rsidRPr="003F44E5">
        <w:rPr>
          <w:rFonts w:hint="eastAsia"/>
          <w:lang w:val="en-US" w:eastAsia="zh-CN"/>
        </w:rPr>
        <w:t>不仅</w:t>
      </w:r>
      <w:r w:rsidR="007C4D7F">
        <w:rPr>
          <w:rFonts w:hint="eastAsia"/>
          <w:lang w:val="en-US" w:eastAsia="zh-CN"/>
        </w:rPr>
        <w:t>可以</w:t>
      </w:r>
      <w:r w:rsidRPr="003F44E5">
        <w:rPr>
          <w:rFonts w:hint="eastAsia"/>
          <w:lang w:val="en-US" w:eastAsia="zh-CN"/>
        </w:rPr>
        <w:t>充分利用其长期</w:t>
      </w:r>
      <w:r w:rsidR="007C4D7F">
        <w:rPr>
          <w:rFonts w:hint="eastAsia"/>
          <w:lang w:val="en-US" w:eastAsia="zh-CN"/>
        </w:rPr>
        <w:t>以来</w:t>
      </w:r>
      <w:r w:rsidR="002D3727">
        <w:rPr>
          <w:rFonts w:hint="eastAsia"/>
          <w:lang w:val="en-US" w:eastAsia="zh-CN"/>
        </w:rPr>
        <w:t>积累</w:t>
      </w:r>
      <w:r w:rsidRPr="003F44E5">
        <w:rPr>
          <w:rFonts w:hint="eastAsia"/>
          <w:lang w:val="en-US" w:eastAsia="zh-CN"/>
        </w:rPr>
        <w:t>的经验</w:t>
      </w:r>
      <w:r w:rsidR="007C4D7F">
        <w:rPr>
          <w:rFonts w:hint="eastAsia"/>
          <w:lang w:val="en-US" w:eastAsia="zh-CN"/>
        </w:rPr>
        <w:t>及其与</w:t>
      </w:r>
      <w:r w:rsidRPr="003F44E5">
        <w:rPr>
          <w:rFonts w:hint="eastAsia"/>
          <w:lang w:val="en-US" w:eastAsia="zh-CN"/>
        </w:rPr>
        <w:t>区域</w:t>
      </w:r>
      <w:r w:rsidR="00054FBD">
        <w:rPr>
          <w:rFonts w:hint="eastAsia"/>
          <w:lang w:val="en-US" w:eastAsia="zh-CN"/>
        </w:rPr>
        <w:t>性活动</w:t>
      </w:r>
      <w:r w:rsidR="007C4D7F">
        <w:rPr>
          <w:rFonts w:hint="eastAsia"/>
          <w:lang w:val="en-US" w:eastAsia="zh-CN"/>
        </w:rPr>
        <w:t>的密切联系，</w:t>
      </w:r>
      <w:r w:rsidRPr="003F44E5">
        <w:rPr>
          <w:rFonts w:hint="eastAsia"/>
          <w:lang w:val="en-US" w:eastAsia="zh-CN"/>
        </w:rPr>
        <w:t>还可</w:t>
      </w:r>
      <w:r w:rsidR="004B2A38">
        <w:rPr>
          <w:rFonts w:hint="eastAsia"/>
          <w:lang w:val="en-US" w:eastAsia="zh-CN"/>
        </w:rPr>
        <w:t>显著</w:t>
      </w:r>
      <w:r w:rsidRPr="003F44E5">
        <w:rPr>
          <w:rFonts w:hint="eastAsia"/>
          <w:lang w:val="en-US" w:eastAsia="zh-CN"/>
        </w:rPr>
        <w:t>减少</w:t>
      </w:r>
      <w:r w:rsidR="00FC760A">
        <w:rPr>
          <w:rFonts w:hint="eastAsia"/>
          <w:lang w:val="en-US" w:eastAsia="zh-CN"/>
        </w:rPr>
        <w:t>由</w:t>
      </w:r>
      <w:r w:rsidRPr="003F44E5">
        <w:rPr>
          <w:rFonts w:hint="eastAsia"/>
          <w:lang w:val="en-US" w:eastAsia="zh-CN"/>
        </w:rPr>
        <w:t>外部咨询机构或审计实体承担</w:t>
      </w:r>
      <w:r w:rsidR="00FC760A">
        <w:rPr>
          <w:rFonts w:hint="eastAsia"/>
          <w:lang w:val="en-US" w:eastAsia="zh-CN"/>
        </w:rPr>
        <w:t>此项</w:t>
      </w:r>
      <w:r w:rsidRPr="003F44E5">
        <w:rPr>
          <w:rFonts w:hint="eastAsia"/>
          <w:lang w:val="en-US" w:eastAsia="zh-CN"/>
        </w:rPr>
        <w:t>职能</w:t>
      </w:r>
      <w:r w:rsidR="007C4D7F">
        <w:rPr>
          <w:rFonts w:hint="eastAsia"/>
          <w:lang w:val="en-US" w:eastAsia="zh-CN"/>
        </w:rPr>
        <w:t>时</w:t>
      </w:r>
      <w:r w:rsidRPr="003F44E5">
        <w:rPr>
          <w:rFonts w:hint="eastAsia"/>
          <w:lang w:val="en-US" w:eastAsia="zh-CN"/>
        </w:rPr>
        <w:t>可能带来的潜在财务影响</w:t>
      </w:r>
      <w:r w:rsidR="007C4D7F">
        <w:rPr>
          <w:rFonts w:hint="eastAsia"/>
          <w:lang w:val="en-US" w:eastAsia="zh-CN"/>
        </w:rPr>
        <w:t>。</w:t>
      </w:r>
      <w:r w:rsidR="007C4D7F" w:rsidRPr="003F44E5">
        <w:rPr>
          <w:lang w:val="en-US" w:eastAsia="zh-CN"/>
        </w:rPr>
        <w:t>BDT</w:t>
      </w:r>
      <w:r w:rsidRPr="003F44E5">
        <w:rPr>
          <w:rFonts w:hint="eastAsia"/>
          <w:lang w:val="en-US" w:eastAsia="zh-CN"/>
        </w:rPr>
        <w:t>熟悉区域代表处和地区办事处的运作</w:t>
      </w:r>
      <w:r w:rsidR="007C4D7F">
        <w:rPr>
          <w:rFonts w:hint="eastAsia"/>
          <w:lang w:val="en-US" w:eastAsia="zh-CN"/>
        </w:rPr>
        <w:t>、</w:t>
      </w:r>
      <w:r w:rsidRPr="003F44E5">
        <w:rPr>
          <w:rFonts w:hint="eastAsia"/>
          <w:lang w:val="en-US" w:eastAsia="zh-CN"/>
        </w:rPr>
        <w:t>人员</w:t>
      </w:r>
      <w:r w:rsidR="004B2A38">
        <w:rPr>
          <w:rFonts w:hint="eastAsia"/>
          <w:lang w:val="en-US" w:eastAsia="zh-CN"/>
        </w:rPr>
        <w:t>配备</w:t>
      </w:r>
      <w:r w:rsidR="007C4D7F">
        <w:rPr>
          <w:rFonts w:hint="eastAsia"/>
          <w:lang w:val="en-US" w:eastAsia="zh-CN"/>
        </w:rPr>
        <w:t>、</w:t>
      </w:r>
      <w:r w:rsidRPr="003F44E5">
        <w:rPr>
          <w:rFonts w:hint="eastAsia"/>
          <w:lang w:val="en-US" w:eastAsia="zh-CN"/>
        </w:rPr>
        <w:t>资源筹措和</w:t>
      </w:r>
      <w:r w:rsidR="007C4D7F">
        <w:rPr>
          <w:rFonts w:hint="eastAsia"/>
          <w:lang w:val="en-US" w:eastAsia="zh-CN"/>
        </w:rPr>
        <w:t>计划</w:t>
      </w:r>
      <w:r w:rsidRPr="003F44E5">
        <w:rPr>
          <w:rFonts w:hint="eastAsia"/>
          <w:lang w:val="en-US" w:eastAsia="zh-CN"/>
        </w:rPr>
        <w:t>活动</w:t>
      </w:r>
      <w:r w:rsidR="007C4D7F">
        <w:rPr>
          <w:rFonts w:hint="eastAsia"/>
          <w:lang w:val="en-US" w:eastAsia="zh-CN"/>
        </w:rPr>
        <w:t>，</w:t>
      </w:r>
      <w:r w:rsidR="004B2A38">
        <w:rPr>
          <w:rFonts w:hint="eastAsia"/>
          <w:lang w:val="en-US" w:eastAsia="zh-CN"/>
        </w:rPr>
        <w:t>这</w:t>
      </w:r>
      <w:r w:rsidRPr="003F44E5">
        <w:rPr>
          <w:rFonts w:hint="eastAsia"/>
          <w:lang w:val="en-US" w:eastAsia="zh-CN"/>
        </w:rPr>
        <w:t>使其</w:t>
      </w:r>
      <w:r w:rsidR="004B2A38" w:rsidRPr="003F44E5">
        <w:rPr>
          <w:rFonts w:hint="eastAsia"/>
          <w:lang w:val="en-US" w:eastAsia="zh-CN"/>
        </w:rPr>
        <w:t>处于有利</w:t>
      </w:r>
      <w:r w:rsidR="004B2A38">
        <w:rPr>
          <w:rFonts w:hint="eastAsia"/>
          <w:lang w:val="en-US" w:eastAsia="zh-CN"/>
        </w:rPr>
        <w:t>的</w:t>
      </w:r>
      <w:r w:rsidR="004B2A38" w:rsidRPr="003F44E5">
        <w:rPr>
          <w:rFonts w:hint="eastAsia"/>
          <w:lang w:val="en-US" w:eastAsia="zh-CN"/>
        </w:rPr>
        <w:t>地位</w:t>
      </w:r>
      <w:r w:rsidR="004B2A38">
        <w:rPr>
          <w:rFonts w:hint="eastAsia"/>
          <w:lang w:val="en-US" w:eastAsia="zh-CN"/>
        </w:rPr>
        <w:t>，能够开展</w:t>
      </w:r>
      <w:r w:rsidR="00FC760A">
        <w:rPr>
          <w:rFonts w:hint="eastAsia"/>
          <w:lang w:val="en-US" w:eastAsia="zh-CN"/>
        </w:rPr>
        <w:t>与</w:t>
      </w:r>
      <w:r w:rsidRPr="003F44E5">
        <w:rPr>
          <w:rFonts w:hint="eastAsia"/>
          <w:lang w:val="en-US" w:eastAsia="zh-CN"/>
        </w:rPr>
        <w:t>第</w:t>
      </w:r>
      <w:r w:rsidR="007C4D7F" w:rsidRPr="003F44E5">
        <w:rPr>
          <w:lang w:val="en-US" w:eastAsia="zh-CN"/>
        </w:rPr>
        <w:t>25</w:t>
      </w:r>
      <w:r w:rsidRPr="003F44E5">
        <w:rPr>
          <w:rFonts w:hint="eastAsia"/>
          <w:lang w:val="en-US" w:eastAsia="zh-CN"/>
        </w:rPr>
        <w:t>号决议</w:t>
      </w:r>
      <w:r w:rsidR="007C4D7F">
        <w:rPr>
          <w:rFonts w:hint="eastAsia"/>
          <w:lang w:val="en-US" w:eastAsia="zh-CN"/>
        </w:rPr>
        <w:t>（</w:t>
      </w:r>
      <w:r w:rsidR="007C4D7F" w:rsidRPr="003F44E5">
        <w:rPr>
          <w:lang w:val="en-US" w:eastAsia="zh-CN"/>
        </w:rPr>
        <w:t>2022</w:t>
      </w:r>
      <w:r w:rsidR="007C4D7F" w:rsidRPr="003F44E5">
        <w:rPr>
          <w:rFonts w:hint="eastAsia"/>
          <w:lang w:val="en-US" w:eastAsia="zh-CN"/>
        </w:rPr>
        <w:t>年</w:t>
      </w:r>
      <w:r w:rsidR="007C4D7F">
        <w:rPr>
          <w:rFonts w:hint="eastAsia"/>
          <w:lang w:val="en-US" w:eastAsia="zh-CN"/>
        </w:rPr>
        <w:t>，</w:t>
      </w:r>
      <w:r w:rsidR="007C4D7F" w:rsidRPr="003F44E5">
        <w:rPr>
          <w:rFonts w:hint="eastAsia"/>
          <w:lang w:val="en-US" w:eastAsia="zh-CN"/>
        </w:rPr>
        <w:t>布加勒斯特</w:t>
      </w:r>
      <w:r w:rsidR="007C4D7F">
        <w:rPr>
          <w:rFonts w:hint="eastAsia"/>
          <w:lang w:val="en-US" w:eastAsia="zh-CN"/>
        </w:rPr>
        <w:t>，</w:t>
      </w:r>
      <w:r w:rsidR="007C4D7F" w:rsidRPr="003F44E5">
        <w:rPr>
          <w:rFonts w:hint="eastAsia"/>
          <w:lang w:val="en-US" w:eastAsia="zh-CN"/>
        </w:rPr>
        <w:t>修订版</w:t>
      </w:r>
      <w:r w:rsidR="007C4D7F">
        <w:rPr>
          <w:rFonts w:hint="eastAsia"/>
          <w:lang w:val="en-US" w:eastAsia="zh-CN"/>
        </w:rPr>
        <w:t>）</w:t>
      </w:r>
      <w:r w:rsidRPr="003F44E5">
        <w:rPr>
          <w:rFonts w:hint="eastAsia"/>
          <w:lang w:val="en-US" w:eastAsia="zh-CN"/>
        </w:rPr>
        <w:t>和国际电联</w:t>
      </w:r>
      <w:r w:rsidR="007C4D7F">
        <w:rPr>
          <w:rFonts w:hint="eastAsia"/>
          <w:lang w:val="en-US" w:eastAsia="zh-CN"/>
        </w:rPr>
        <w:t>《</w:t>
      </w:r>
      <w:r w:rsidR="007C4D7F" w:rsidRPr="003F44E5">
        <w:rPr>
          <w:rFonts w:hint="eastAsia"/>
          <w:lang w:val="en-US" w:eastAsia="zh-CN"/>
        </w:rPr>
        <w:t>战略规划</w:t>
      </w:r>
      <w:r w:rsidR="007C4D7F">
        <w:rPr>
          <w:rFonts w:hint="eastAsia"/>
          <w:lang w:val="en-US" w:eastAsia="zh-CN"/>
        </w:rPr>
        <w:t>》</w:t>
      </w:r>
      <w:r w:rsidR="00FC760A">
        <w:rPr>
          <w:rFonts w:hint="eastAsia"/>
          <w:lang w:val="en-US" w:eastAsia="zh-CN"/>
        </w:rPr>
        <w:t>中</w:t>
      </w:r>
      <w:r w:rsidR="004B2A38">
        <w:rPr>
          <w:rFonts w:hint="eastAsia"/>
          <w:lang w:val="en-US" w:eastAsia="zh-CN"/>
        </w:rPr>
        <w:t>规定</w:t>
      </w:r>
      <w:r w:rsidR="00FC760A">
        <w:rPr>
          <w:rFonts w:hint="eastAsia"/>
          <w:lang w:val="en-US" w:eastAsia="zh-CN"/>
        </w:rPr>
        <w:t>的</w:t>
      </w:r>
      <w:r w:rsidRPr="003F44E5">
        <w:rPr>
          <w:rFonts w:hint="eastAsia"/>
          <w:lang w:val="en-US" w:eastAsia="zh-CN"/>
        </w:rPr>
        <w:t>目标</w:t>
      </w:r>
      <w:r w:rsidR="00FC760A">
        <w:rPr>
          <w:rFonts w:hint="eastAsia"/>
          <w:lang w:val="en-US" w:eastAsia="zh-CN"/>
        </w:rPr>
        <w:t>相一致</w:t>
      </w:r>
      <w:r w:rsidR="004B2A38">
        <w:rPr>
          <w:rFonts w:hint="eastAsia"/>
          <w:lang w:val="en-US" w:eastAsia="zh-CN"/>
        </w:rPr>
        <w:t>的</w:t>
      </w:r>
      <w:r w:rsidR="002D3727">
        <w:rPr>
          <w:rFonts w:hint="eastAsia"/>
          <w:lang w:val="en-US" w:eastAsia="zh-CN"/>
        </w:rPr>
        <w:t>强有力的循证</w:t>
      </w:r>
      <w:r w:rsidRPr="003F44E5">
        <w:rPr>
          <w:rFonts w:hint="eastAsia"/>
          <w:lang w:val="en-US" w:eastAsia="zh-CN"/>
        </w:rPr>
        <w:t>评估</w:t>
      </w:r>
      <w:r w:rsidR="002D3727">
        <w:rPr>
          <w:rFonts w:hint="eastAsia"/>
          <w:lang w:val="en-US" w:eastAsia="zh-CN"/>
        </w:rPr>
        <w:t>。</w:t>
      </w:r>
    </w:p>
    <w:p w14:paraId="57D9BBBA" w14:textId="1EB899E5" w:rsidR="00857A82" w:rsidRPr="003F44E5" w:rsidRDefault="003F44E5" w:rsidP="0075406A">
      <w:pPr>
        <w:ind w:firstLineChars="200" w:firstLine="480"/>
        <w:jc w:val="both"/>
        <w:rPr>
          <w:lang w:val="en-US" w:eastAsia="zh-CN"/>
        </w:rPr>
      </w:pPr>
      <w:r w:rsidRPr="003F44E5">
        <w:rPr>
          <w:rFonts w:hint="eastAsia"/>
          <w:lang w:val="en-US" w:eastAsia="zh-CN"/>
        </w:rPr>
        <w:t>我们强调</w:t>
      </w:r>
      <w:r w:rsidR="00871D74">
        <w:rPr>
          <w:rFonts w:hint="eastAsia"/>
          <w:lang w:val="en-US" w:eastAsia="zh-CN"/>
        </w:rPr>
        <w:t>，</w:t>
      </w:r>
      <w:r w:rsidRPr="003F44E5">
        <w:rPr>
          <w:rFonts w:hint="eastAsia"/>
          <w:lang w:val="en-US" w:eastAsia="zh-CN"/>
        </w:rPr>
        <w:t>这种方法还将促进内部一致性</w:t>
      </w:r>
      <w:r w:rsidR="00871D74">
        <w:rPr>
          <w:rFonts w:hint="eastAsia"/>
          <w:lang w:val="en-US" w:eastAsia="zh-CN"/>
        </w:rPr>
        <w:t>、</w:t>
      </w:r>
      <w:r w:rsidRPr="003F44E5">
        <w:rPr>
          <w:rFonts w:hint="eastAsia"/>
          <w:lang w:val="en-US" w:eastAsia="zh-CN"/>
        </w:rPr>
        <w:t>机构问责制和</w:t>
      </w:r>
      <w:r w:rsidR="006B7795">
        <w:rPr>
          <w:rFonts w:hint="eastAsia"/>
          <w:lang w:val="en-US" w:eastAsia="zh-CN"/>
        </w:rPr>
        <w:t>审查</w:t>
      </w:r>
      <w:r w:rsidR="00FC760A">
        <w:rPr>
          <w:rFonts w:hint="eastAsia"/>
          <w:lang w:val="en-US" w:eastAsia="zh-CN"/>
        </w:rPr>
        <w:t>工作</w:t>
      </w:r>
      <w:r w:rsidR="006B7795">
        <w:rPr>
          <w:rFonts w:hint="eastAsia"/>
          <w:lang w:val="en-US" w:eastAsia="zh-CN"/>
        </w:rPr>
        <w:t>的</w:t>
      </w:r>
      <w:r w:rsidRPr="003F44E5">
        <w:rPr>
          <w:rFonts w:hint="eastAsia"/>
          <w:lang w:val="en-US" w:eastAsia="zh-CN"/>
        </w:rPr>
        <w:t>可持续性</w:t>
      </w:r>
      <w:r w:rsidR="00871D74">
        <w:rPr>
          <w:rFonts w:hint="eastAsia"/>
          <w:lang w:val="en-US" w:eastAsia="zh-CN"/>
        </w:rPr>
        <w:t>，</w:t>
      </w:r>
      <w:r w:rsidRPr="003F44E5">
        <w:rPr>
          <w:rFonts w:hint="eastAsia"/>
          <w:lang w:val="en-US" w:eastAsia="zh-CN"/>
        </w:rPr>
        <w:t>同时确保与国际电联正在进行的转型进程</w:t>
      </w:r>
      <w:r w:rsidR="00FC760A" w:rsidRPr="003F44E5">
        <w:rPr>
          <w:rFonts w:hint="eastAsia"/>
          <w:lang w:val="en-US" w:eastAsia="zh-CN"/>
        </w:rPr>
        <w:t>完全</w:t>
      </w:r>
      <w:r w:rsidR="00FC760A">
        <w:rPr>
          <w:rFonts w:hint="eastAsia"/>
          <w:lang w:val="en-US" w:eastAsia="zh-CN"/>
        </w:rPr>
        <w:t>保持</w:t>
      </w:r>
      <w:r w:rsidRPr="003F44E5">
        <w:rPr>
          <w:rFonts w:hint="eastAsia"/>
          <w:lang w:val="en-US" w:eastAsia="zh-CN"/>
        </w:rPr>
        <w:t>一致</w:t>
      </w:r>
      <w:r w:rsidR="00871D74">
        <w:rPr>
          <w:rFonts w:hint="eastAsia"/>
          <w:lang w:val="en-US" w:eastAsia="zh-CN"/>
        </w:rPr>
        <w:t>。</w:t>
      </w:r>
      <w:r w:rsidRPr="003F44E5">
        <w:rPr>
          <w:rFonts w:hint="eastAsia"/>
          <w:lang w:val="en-US" w:eastAsia="zh-CN"/>
        </w:rPr>
        <w:t>此外</w:t>
      </w:r>
      <w:r w:rsidR="00871D74">
        <w:rPr>
          <w:rFonts w:hint="eastAsia"/>
          <w:lang w:val="en-US" w:eastAsia="zh-CN"/>
        </w:rPr>
        <w:t>，让</w:t>
      </w:r>
      <w:r w:rsidR="00871D74" w:rsidRPr="003F44E5">
        <w:rPr>
          <w:lang w:val="en-US" w:eastAsia="zh-CN"/>
        </w:rPr>
        <w:t>BDT</w:t>
      </w:r>
      <w:r w:rsidR="00871D74">
        <w:rPr>
          <w:rFonts w:hint="eastAsia"/>
          <w:lang w:val="en-US" w:eastAsia="zh-CN"/>
        </w:rPr>
        <w:t>承担</w:t>
      </w:r>
      <w:r w:rsidRPr="003F44E5">
        <w:rPr>
          <w:rFonts w:hint="eastAsia"/>
          <w:lang w:val="en-US" w:eastAsia="zh-CN"/>
        </w:rPr>
        <w:t>这一</w:t>
      </w:r>
      <w:r w:rsidR="00871D74">
        <w:rPr>
          <w:rFonts w:hint="eastAsia"/>
          <w:lang w:val="en-US" w:eastAsia="zh-CN"/>
        </w:rPr>
        <w:t>职责，</w:t>
      </w:r>
      <w:r w:rsidRPr="003F44E5">
        <w:rPr>
          <w:rFonts w:hint="eastAsia"/>
          <w:lang w:val="en-US" w:eastAsia="zh-CN"/>
        </w:rPr>
        <w:t>将</w:t>
      </w:r>
      <w:r w:rsidR="00871D74">
        <w:rPr>
          <w:rFonts w:hint="eastAsia"/>
          <w:lang w:val="en-US" w:eastAsia="zh-CN"/>
        </w:rPr>
        <w:t>使</w:t>
      </w:r>
      <w:r w:rsidR="00FC760A">
        <w:rPr>
          <w:rFonts w:hint="eastAsia"/>
          <w:lang w:val="en-US" w:eastAsia="zh-CN"/>
        </w:rPr>
        <w:t>审查</w:t>
      </w:r>
      <w:r w:rsidR="00871D74">
        <w:rPr>
          <w:rFonts w:hint="eastAsia"/>
          <w:lang w:val="en-US" w:eastAsia="zh-CN"/>
        </w:rPr>
        <w:t>进程</w:t>
      </w:r>
      <w:r w:rsidRPr="003F44E5">
        <w:rPr>
          <w:rFonts w:hint="eastAsia"/>
          <w:lang w:val="en-US" w:eastAsia="zh-CN"/>
        </w:rPr>
        <w:t>更</w:t>
      </w:r>
      <w:r w:rsidR="00871D74">
        <w:rPr>
          <w:rFonts w:hint="eastAsia"/>
          <w:lang w:val="en-US" w:eastAsia="zh-CN"/>
        </w:rPr>
        <w:t>具</w:t>
      </w:r>
      <w:r w:rsidRPr="003F44E5">
        <w:rPr>
          <w:rFonts w:hint="eastAsia"/>
          <w:lang w:val="en-US" w:eastAsia="zh-CN"/>
        </w:rPr>
        <w:t>灵活</w:t>
      </w:r>
      <w:r w:rsidR="00871D74">
        <w:rPr>
          <w:rFonts w:hint="eastAsia"/>
          <w:lang w:val="en-US" w:eastAsia="zh-CN"/>
        </w:rPr>
        <w:t>性和协商性，</w:t>
      </w:r>
      <w:r w:rsidRPr="003F44E5">
        <w:rPr>
          <w:rFonts w:hint="eastAsia"/>
          <w:lang w:val="en-US" w:eastAsia="zh-CN"/>
        </w:rPr>
        <w:t>直接反映</w:t>
      </w:r>
      <w:r w:rsidR="00FC760A">
        <w:rPr>
          <w:rFonts w:hint="eastAsia"/>
          <w:lang w:val="en-US" w:eastAsia="zh-CN"/>
        </w:rPr>
        <w:t>实地</w:t>
      </w:r>
      <w:r w:rsidRPr="003F44E5">
        <w:rPr>
          <w:rFonts w:hint="eastAsia"/>
          <w:lang w:val="en-US" w:eastAsia="zh-CN"/>
        </w:rPr>
        <w:t>的观点和现实</w:t>
      </w:r>
      <w:r w:rsidR="00FC760A">
        <w:rPr>
          <w:rFonts w:hint="eastAsia"/>
          <w:lang w:val="en-US" w:eastAsia="zh-CN"/>
        </w:rPr>
        <w:t>情况</w:t>
      </w:r>
      <w:r w:rsidR="006B7795">
        <w:rPr>
          <w:rFonts w:hint="eastAsia"/>
          <w:lang w:val="en-US" w:eastAsia="zh-CN"/>
        </w:rPr>
        <w:t>，</w:t>
      </w:r>
      <w:r w:rsidRPr="003F44E5">
        <w:rPr>
          <w:rFonts w:hint="eastAsia"/>
          <w:lang w:val="en-US" w:eastAsia="zh-CN"/>
        </w:rPr>
        <w:t>支持</w:t>
      </w:r>
      <w:r w:rsidR="006B7795">
        <w:rPr>
          <w:rFonts w:hint="eastAsia"/>
          <w:lang w:val="en-US" w:eastAsia="zh-CN"/>
        </w:rPr>
        <w:t>“</w:t>
      </w:r>
      <w:r w:rsidR="006B7795" w:rsidRPr="006B7795">
        <w:rPr>
          <w:rFonts w:hint="eastAsia"/>
          <w:lang w:val="en-US" w:eastAsia="zh-CN"/>
        </w:rPr>
        <w:t>国际电联是一家</w:t>
      </w:r>
      <w:r w:rsidR="006B7795">
        <w:rPr>
          <w:rFonts w:hint="eastAsia"/>
          <w:lang w:val="en-US" w:eastAsia="zh-CN"/>
        </w:rPr>
        <w:t>”</w:t>
      </w:r>
      <w:r w:rsidRPr="003F44E5">
        <w:rPr>
          <w:rFonts w:hint="eastAsia"/>
          <w:lang w:val="en-US" w:eastAsia="zh-CN"/>
        </w:rPr>
        <w:t>的</w:t>
      </w:r>
      <w:r w:rsidR="00FC760A">
        <w:rPr>
          <w:rFonts w:hint="eastAsia"/>
          <w:lang w:val="en-US" w:eastAsia="zh-CN"/>
        </w:rPr>
        <w:t>理念</w:t>
      </w:r>
      <w:r w:rsidR="006B7795">
        <w:rPr>
          <w:rFonts w:hint="eastAsia"/>
          <w:lang w:val="en-US" w:eastAsia="zh-CN"/>
        </w:rPr>
        <w:t>。</w:t>
      </w:r>
    </w:p>
    <w:p w14:paraId="37D5E967" w14:textId="7B7FAC14" w:rsidR="003F44E5" w:rsidRPr="003F44E5" w:rsidRDefault="003F44E5" w:rsidP="0075406A">
      <w:pPr>
        <w:ind w:firstLineChars="200" w:firstLine="480"/>
        <w:jc w:val="both"/>
        <w:rPr>
          <w:lang w:val="en-US" w:eastAsia="zh-CN"/>
        </w:rPr>
      </w:pPr>
      <w:r w:rsidRPr="003F44E5">
        <w:rPr>
          <w:rFonts w:hint="eastAsia"/>
          <w:lang w:val="en-US" w:eastAsia="zh-CN"/>
        </w:rPr>
        <w:t>我们坚决支持</w:t>
      </w:r>
      <w:proofErr w:type="spellStart"/>
      <w:r w:rsidR="00857A82" w:rsidRPr="00054FBD">
        <w:rPr>
          <w:lang w:val="en-US" w:eastAsia="zh-CN"/>
        </w:rPr>
        <w:t>ToR</w:t>
      </w:r>
      <w:proofErr w:type="spellEnd"/>
      <w:r w:rsidR="00FC760A" w:rsidRPr="00054FBD">
        <w:rPr>
          <w:rFonts w:hint="eastAsia"/>
          <w:lang w:val="en-US" w:eastAsia="zh-CN"/>
        </w:rPr>
        <w:t>规定</w:t>
      </w:r>
      <w:r w:rsidRPr="00054FBD">
        <w:rPr>
          <w:rFonts w:hint="eastAsia"/>
          <w:lang w:val="en-US" w:eastAsia="zh-CN"/>
        </w:rPr>
        <w:t>的基于绩效的评估和审查流程</w:t>
      </w:r>
      <w:r w:rsidR="00857A82">
        <w:rPr>
          <w:rFonts w:hint="eastAsia"/>
          <w:lang w:val="en-US" w:eastAsia="zh-CN"/>
        </w:rPr>
        <w:t>，</w:t>
      </w:r>
      <w:r w:rsidRPr="00054FBD">
        <w:rPr>
          <w:rFonts w:hint="eastAsia"/>
          <w:lang w:val="en-US" w:eastAsia="zh-CN"/>
        </w:rPr>
        <w:t>这可以</w:t>
      </w:r>
      <w:r w:rsidR="0056293B" w:rsidRPr="00054FBD">
        <w:rPr>
          <w:rFonts w:hint="eastAsia"/>
          <w:lang w:val="en-US" w:eastAsia="zh-CN"/>
        </w:rPr>
        <w:t>保证</w:t>
      </w:r>
      <w:r w:rsidRPr="00054FBD">
        <w:rPr>
          <w:rFonts w:hint="eastAsia"/>
          <w:lang w:val="en-US" w:eastAsia="zh-CN"/>
        </w:rPr>
        <w:t>区域代表处</w:t>
      </w:r>
      <w:r w:rsidR="0056293B" w:rsidRPr="00054FBD">
        <w:rPr>
          <w:rFonts w:hint="eastAsia"/>
          <w:lang w:val="en-US" w:eastAsia="zh-CN"/>
        </w:rPr>
        <w:t>实现</w:t>
      </w:r>
      <w:r w:rsidRPr="00054FBD">
        <w:rPr>
          <w:rFonts w:hint="eastAsia"/>
          <w:lang w:val="en-US" w:eastAsia="zh-CN"/>
        </w:rPr>
        <w:t>可衡量的切实效益</w:t>
      </w:r>
      <w:r w:rsidR="00857A82">
        <w:rPr>
          <w:rFonts w:hint="eastAsia"/>
          <w:lang w:val="en-US" w:eastAsia="zh-CN"/>
        </w:rPr>
        <w:t>，</w:t>
      </w:r>
      <w:r w:rsidR="0047241B">
        <w:rPr>
          <w:rFonts w:hint="eastAsia"/>
          <w:lang w:val="en-US" w:eastAsia="zh-CN"/>
        </w:rPr>
        <w:t>例如</w:t>
      </w:r>
      <w:r w:rsidRPr="003F44E5">
        <w:rPr>
          <w:rFonts w:hint="eastAsia"/>
          <w:lang w:val="en-US" w:eastAsia="zh-CN"/>
        </w:rPr>
        <w:t>资源</w:t>
      </w:r>
      <w:r w:rsidR="0047241B" w:rsidRPr="003F44E5">
        <w:rPr>
          <w:rFonts w:hint="eastAsia"/>
          <w:lang w:val="en-US" w:eastAsia="zh-CN"/>
        </w:rPr>
        <w:t>充足</w:t>
      </w:r>
      <w:r w:rsidR="0047241B">
        <w:rPr>
          <w:rFonts w:hint="eastAsia"/>
          <w:lang w:val="en-US" w:eastAsia="zh-CN"/>
        </w:rPr>
        <w:t>性</w:t>
      </w:r>
      <w:r w:rsidR="00857A82">
        <w:rPr>
          <w:rFonts w:hint="eastAsia"/>
          <w:lang w:val="en-US" w:eastAsia="zh-CN"/>
        </w:rPr>
        <w:t>、</w:t>
      </w:r>
      <w:r w:rsidRPr="003F44E5">
        <w:rPr>
          <w:rFonts w:hint="eastAsia"/>
          <w:lang w:val="en-US" w:eastAsia="zh-CN"/>
        </w:rPr>
        <w:t>利益攸关方</w:t>
      </w:r>
      <w:r w:rsidR="0047241B">
        <w:rPr>
          <w:rFonts w:hint="eastAsia"/>
          <w:lang w:val="en-US" w:eastAsia="zh-CN"/>
        </w:rPr>
        <w:t>的</w:t>
      </w:r>
      <w:r w:rsidRPr="003F44E5">
        <w:rPr>
          <w:rFonts w:hint="eastAsia"/>
          <w:lang w:val="en-US" w:eastAsia="zh-CN"/>
        </w:rPr>
        <w:t>参与以及与更广泛的区域</w:t>
      </w:r>
      <w:r w:rsidR="00857A82">
        <w:rPr>
          <w:rFonts w:hint="eastAsia"/>
          <w:lang w:val="en-US" w:eastAsia="zh-CN"/>
        </w:rPr>
        <w:t>性</w:t>
      </w:r>
      <w:r w:rsidR="00857A82" w:rsidRPr="003F44E5">
        <w:rPr>
          <w:lang w:val="en-US" w:eastAsia="zh-CN"/>
        </w:rPr>
        <w:t>ICT</w:t>
      </w:r>
      <w:r w:rsidRPr="003F44E5">
        <w:rPr>
          <w:rFonts w:hint="eastAsia"/>
          <w:lang w:val="en-US" w:eastAsia="zh-CN"/>
        </w:rPr>
        <w:t>发展框架无缝</w:t>
      </w:r>
      <w:r w:rsidR="0056293B">
        <w:rPr>
          <w:rFonts w:hint="eastAsia"/>
          <w:lang w:val="en-US" w:eastAsia="zh-CN"/>
        </w:rPr>
        <w:t>整合</w:t>
      </w:r>
      <w:r w:rsidR="00857A82">
        <w:rPr>
          <w:rFonts w:hint="eastAsia"/>
          <w:lang w:val="en-US" w:eastAsia="zh-CN"/>
        </w:rPr>
        <w:t>。</w:t>
      </w:r>
      <w:r w:rsidRPr="003F44E5">
        <w:rPr>
          <w:rFonts w:hint="eastAsia"/>
          <w:lang w:val="en-US" w:eastAsia="zh-CN"/>
        </w:rPr>
        <w:t>这种方法使</w:t>
      </w:r>
      <w:r w:rsidR="0056293B" w:rsidRPr="003F44E5">
        <w:rPr>
          <w:rFonts w:hint="eastAsia"/>
          <w:lang w:val="en-US" w:eastAsia="zh-CN"/>
        </w:rPr>
        <w:t>区域</w:t>
      </w:r>
      <w:r w:rsidRPr="003F44E5">
        <w:rPr>
          <w:rFonts w:hint="eastAsia"/>
          <w:lang w:val="en-US" w:eastAsia="zh-CN"/>
        </w:rPr>
        <w:t>代表处能够促进信息共享</w:t>
      </w:r>
      <w:r w:rsidR="00857A82">
        <w:rPr>
          <w:rFonts w:hint="eastAsia"/>
          <w:lang w:val="en-US" w:eastAsia="zh-CN"/>
        </w:rPr>
        <w:t>、</w:t>
      </w:r>
      <w:r w:rsidRPr="003F44E5">
        <w:rPr>
          <w:rFonts w:hint="eastAsia"/>
          <w:lang w:val="en-US" w:eastAsia="zh-CN"/>
        </w:rPr>
        <w:t>跟进世界大会的</w:t>
      </w:r>
      <w:r w:rsidR="0056293B">
        <w:rPr>
          <w:rFonts w:hint="eastAsia"/>
          <w:lang w:val="en-US" w:eastAsia="zh-CN"/>
        </w:rPr>
        <w:t>各项</w:t>
      </w:r>
      <w:r w:rsidRPr="003F44E5">
        <w:rPr>
          <w:rFonts w:hint="eastAsia"/>
          <w:lang w:val="en-US" w:eastAsia="zh-CN"/>
        </w:rPr>
        <w:t>决定并协调联合活动</w:t>
      </w:r>
      <w:r w:rsidR="00857A82">
        <w:rPr>
          <w:rFonts w:hint="eastAsia"/>
          <w:lang w:val="en-US" w:eastAsia="zh-CN"/>
        </w:rPr>
        <w:t>，</w:t>
      </w:r>
      <w:r w:rsidRPr="003F44E5">
        <w:rPr>
          <w:rFonts w:hint="eastAsia"/>
          <w:lang w:val="en-US" w:eastAsia="zh-CN"/>
        </w:rPr>
        <w:t>所有这些对于有效执行国际电联</w:t>
      </w:r>
      <w:r w:rsidR="00857A82">
        <w:rPr>
          <w:rFonts w:hint="eastAsia"/>
          <w:lang w:val="en-US" w:eastAsia="zh-CN"/>
        </w:rPr>
        <w:t>《</w:t>
      </w:r>
      <w:r w:rsidR="00857A82" w:rsidRPr="003F44E5">
        <w:rPr>
          <w:rFonts w:hint="eastAsia"/>
          <w:lang w:val="en-US" w:eastAsia="zh-CN"/>
        </w:rPr>
        <w:t>战略规划</w:t>
      </w:r>
      <w:r w:rsidR="00857A82">
        <w:rPr>
          <w:rFonts w:hint="eastAsia"/>
          <w:lang w:val="en-US" w:eastAsia="zh-CN"/>
        </w:rPr>
        <w:t>》</w:t>
      </w:r>
      <w:r w:rsidRPr="003F44E5">
        <w:rPr>
          <w:rFonts w:hint="eastAsia"/>
          <w:lang w:val="en-US" w:eastAsia="zh-CN"/>
        </w:rPr>
        <w:t>和</w:t>
      </w:r>
      <w:r w:rsidR="00857A82">
        <w:rPr>
          <w:rFonts w:hint="eastAsia"/>
          <w:lang w:val="en-US" w:eastAsia="zh-CN"/>
        </w:rPr>
        <w:t>《</w:t>
      </w:r>
      <w:r w:rsidR="00857A82" w:rsidRPr="00857A82">
        <w:rPr>
          <w:rFonts w:hint="eastAsia"/>
          <w:lang w:val="en-US" w:eastAsia="zh-CN"/>
        </w:rPr>
        <w:t>基加利行动计划</w:t>
      </w:r>
      <w:r w:rsidR="00857A82">
        <w:rPr>
          <w:rFonts w:hint="eastAsia"/>
          <w:lang w:val="en-US" w:eastAsia="zh-CN"/>
        </w:rPr>
        <w:t>》</w:t>
      </w:r>
      <w:r w:rsidR="0056293B" w:rsidRPr="0047241B">
        <w:rPr>
          <w:rFonts w:hint="eastAsia"/>
          <w:lang w:val="en-US" w:eastAsia="zh-CN"/>
        </w:rPr>
        <w:t>都</w:t>
      </w:r>
      <w:r w:rsidRPr="0047241B">
        <w:rPr>
          <w:rFonts w:hint="eastAsia"/>
          <w:lang w:val="en-US" w:eastAsia="zh-CN"/>
        </w:rPr>
        <w:t>至</w:t>
      </w:r>
      <w:r w:rsidRPr="003F44E5">
        <w:rPr>
          <w:rFonts w:hint="eastAsia"/>
          <w:lang w:val="en-US" w:eastAsia="zh-CN"/>
        </w:rPr>
        <w:t>关重要</w:t>
      </w:r>
      <w:r w:rsidR="00857A82">
        <w:rPr>
          <w:rFonts w:hint="eastAsia"/>
          <w:lang w:val="en-US" w:eastAsia="zh-CN"/>
        </w:rPr>
        <w:t>。</w:t>
      </w:r>
    </w:p>
    <w:p w14:paraId="2467DB01" w14:textId="20C43334" w:rsidR="003F44E5" w:rsidRPr="003F44E5" w:rsidRDefault="00441AB5" w:rsidP="0075406A">
      <w:pPr>
        <w:ind w:firstLineChars="200" w:firstLine="480"/>
        <w:jc w:val="both"/>
        <w:rPr>
          <w:lang w:val="en-US" w:eastAsia="zh-CN"/>
        </w:rPr>
      </w:pPr>
      <w:proofErr w:type="spellStart"/>
      <w:r w:rsidRPr="003F44E5">
        <w:rPr>
          <w:lang w:val="en-US" w:eastAsia="zh-CN"/>
        </w:rPr>
        <w:lastRenderedPageBreak/>
        <w:t>ToR</w:t>
      </w:r>
      <w:proofErr w:type="spellEnd"/>
      <w:r w:rsidR="0056293B">
        <w:rPr>
          <w:rFonts w:hint="eastAsia"/>
          <w:lang w:val="en-US" w:eastAsia="zh-CN"/>
        </w:rPr>
        <w:t>中阐述</w:t>
      </w:r>
      <w:r w:rsidR="003F44E5" w:rsidRPr="003F44E5">
        <w:rPr>
          <w:rFonts w:hint="eastAsia"/>
          <w:lang w:val="en-US" w:eastAsia="zh-CN"/>
        </w:rPr>
        <w:t>的</w:t>
      </w:r>
      <w:r w:rsidR="0056293B">
        <w:rPr>
          <w:rFonts w:hint="eastAsia"/>
          <w:lang w:val="en-US" w:eastAsia="zh-CN"/>
        </w:rPr>
        <w:t>严格</w:t>
      </w:r>
      <w:r w:rsidR="003F44E5" w:rsidRPr="003F44E5">
        <w:rPr>
          <w:rFonts w:hint="eastAsia"/>
          <w:lang w:val="en-US" w:eastAsia="zh-CN"/>
        </w:rPr>
        <w:t>的问责制和报告机制为开发</w:t>
      </w:r>
      <w:r w:rsidR="00EC25E1">
        <w:rPr>
          <w:rFonts w:hint="eastAsia"/>
          <w:lang w:val="en-US" w:eastAsia="zh-CN"/>
        </w:rPr>
        <w:t>可融资的、</w:t>
      </w:r>
      <w:r w:rsidR="003F44E5" w:rsidRPr="003F44E5">
        <w:rPr>
          <w:rFonts w:hint="eastAsia"/>
          <w:lang w:val="en-US" w:eastAsia="zh-CN"/>
        </w:rPr>
        <w:t>协调</w:t>
      </w:r>
      <w:r w:rsidR="00EC25E1">
        <w:rPr>
          <w:rFonts w:hint="eastAsia"/>
          <w:lang w:val="en-US" w:eastAsia="zh-CN"/>
        </w:rPr>
        <w:t>一致</w:t>
      </w:r>
      <w:r w:rsidR="003F44E5" w:rsidRPr="003F44E5">
        <w:rPr>
          <w:rFonts w:hint="eastAsia"/>
          <w:lang w:val="en-US" w:eastAsia="zh-CN"/>
        </w:rPr>
        <w:t>的</w:t>
      </w:r>
      <w:r w:rsidR="00EC25E1">
        <w:rPr>
          <w:rFonts w:hint="eastAsia"/>
          <w:lang w:val="en-US" w:eastAsia="zh-CN"/>
        </w:rPr>
        <w:t>跨国</w:t>
      </w:r>
      <w:r w:rsidR="003F44E5" w:rsidRPr="003F44E5">
        <w:rPr>
          <w:rFonts w:hint="eastAsia"/>
          <w:lang w:val="en-US" w:eastAsia="zh-CN"/>
        </w:rPr>
        <w:t>项目奠定了坚实的基础</w:t>
      </w:r>
      <w:r w:rsidR="00EC25E1">
        <w:rPr>
          <w:rFonts w:hint="eastAsia"/>
          <w:lang w:val="en-US" w:eastAsia="zh-CN"/>
        </w:rPr>
        <w:t>。</w:t>
      </w:r>
      <w:r w:rsidR="003F44E5" w:rsidRPr="003F44E5">
        <w:rPr>
          <w:rFonts w:hint="eastAsia"/>
          <w:lang w:val="en-US" w:eastAsia="zh-CN"/>
        </w:rPr>
        <w:t>这些项目更有可能</w:t>
      </w:r>
      <w:r w:rsidR="0056293B">
        <w:rPr>
          <w:rFonts w:hint="eastAsia"/>
          <w:lang w:val="en-US" w:eastAsia="zh-CN"/>
        </w:rPr>
        <w:t>获得</w:t>
      </w:r>
      <w:r w:rsidR="003F44E5" w:rsidRPr="003F44E5">
        <w:rPr>
          <w:rFonts w:hint="eastAsia"/>
          <w:lang w:val="en-US" w:eastAsia="zh-CN"/>
        </w:rPr>
        <w:t>区域</w:t>
      </w:r>
      <w:r w:rsidR="00EC25E1">
        <w:rPr>
          <w:rFonts w:hint="eastAsia"/>
          <w:lang w:val="en-US" w:eastAsia="zh-CN"/>
        </w:rPr>
        <w:t>性</w:t>
      </w:r>
      <w:r w:rsidR="003F44E5" w:rsidRPr="003F44E5">
        <w:rPr>
          <w:rFonts w:hint="eastAsia"/>
          <w:lang w:val="en-US" w:eastAsia="zh-CN"/>
        </w:rPr>
        <w:t>金融机构和多边</w:t>
      </w:r>
      <w:r w:rsidR="00EC25E1">
        <w:rPr>
          <w:rFonts w:hint="eastAsia"/>
          <w:lang w:val="en-US" w:eastAsia="zh-CN"/>
        </w:rPr>
        <w:t>合作</w:t>
      </w:r>
      <w:r w:rsidR="003F44E5" w:rsidRPr="003F44E5">
        <w:rPr>
          <w:rFonts w:hint="eastAsia"/>
          <w:lang w:val="en-US" w:eastAsia="zh-CN"/>
        </w:rPr>
        <w:t>伙伴的支持</w:t>
      </w:r>
      <w:r w:rsidR="00EC25E1">
        <w:rPr>
          <w:rFonts w:hint="eastAsia"/>
          <w:lang w:val="en-US" w:eastAsia="zh-CN"/>
        </w:rPr>
        <w:t>，</w:t>
      </w:r>
      <w:r w:rsidR="003F44E5" w:rsidRPr="003F44E5">
        <w:rPr>
          <w:rFonts w:hint="eastAsia"/>
          <w:lang w:val="en-US" w:eastAsia="zh-CN"/>
        </w:rPr>
        <w:t>因为增强透明度和绩效跟踪</w:t>
      </w:r>
      <w:r w:rsidR="00D97892">
        <w:rPr>
          <w:rFonts w:hint="eastAsia"/>
          <w:lang w:val="en-US" w:eastAsia="zh-CN"/>
        </w:rPr>
        <w:t>可</w:t>
      </w:r>
      <w:r w:rsidR="003F44E5" w:rsidRPr="003F44E5">
        <w:rPr>
          <w:rFonts w:hint="eastAsia"/>
          <w:lang w:val="en-US" w:eastAsia="zh-CN"/>
        </w:rPr>
        <w:t>降低风险</w:t>
      </w:r>
      <w:r w:rsidR="00D97892">
        <w:rPr>
          <w:rFonts w:hint="eastAsia"/>
          <w:lang w:val="en-US" w:eastAsia="zh-CN"/>
        </w:rPr>
        <w:t>，</w:t>
      </w:r>
      <w:r w:rsidR="003F44E5" w:rsidRPr="003F44E5">
        <w:rPr>
          <w:rFonts w:hint="eastAsia"/>
          <w:lang w:val="en-US" w:eastAsia="zh-CN"/>
        </w:rPr>
        <w:t>从而</w:t>
      </w:r>
      <w:r w:rsidR="0056293B">
        <w:rPr>
          <w:rFonts w:hint="eastAsia"/>
          <w:lang w:val="en-US" w:eastAsia="zh-CN"/>
        </w:rPr>
        <w:t>提高项目的</w:t>
      </w:r>
      <w:r w:rsidR="003F44E5" w:rsidRPr="003F44E5">
        <w:rPr>
          <w:rFonts w:hint="eastAsia"/>
          <w:lang w:val="en-US" w:eastAsia="zh-CN"/>
        </w:rPr>
        <w:t>可扩展性和影响力</w:t>
      </w:r>
      <w:r w:rsidR="00D97892">
        <w:rPr>
          <w:rFonts w:hint="eastAsia"/>
          <w:lang w:val="en-US" w:eastAsia="zh-CN"/>
        </w:rPr>
        <w:t>。</w:t>
      </w:r>
    </w:p>
    <w:p w14:paraId="3F496CE3" w14:textId="2A3B3DBA" w:rsidR="003F44E5" w:rsidRPr="003F44E5" w:rsidRDefault="003F44E5" w:rsidP="0075406A">
      <w:pPr>
        <w:ind w:firstLineChars="200" w:firstLine="480"/>
        <w:jc w:val="both"/>
        <w:rPr>
          <w:lang w:val="en-US" w:eastAsia="zh-CN"/>
        </w:rPr>
      </w:pPr>
      <w:r w:rsidRPr="003F44E5">
        <w:rPr>
          <w:rFonts w:hint="eastAsia"/>
          <w:lang w:val="en-US" w:eastAsia="zh-CN"/>
        </w:rPr>
        <w:t>最后</w:t>
      </w:r>
      <w:r w:rsidR="008C777B">
        <w:rPr>
          <w:rFonts w:hint="eastAsia"/>
          <w:lang w:val="en-US" w:eastAsia="zh-CN"/>
        </w:rPr>
        <w:t>，</w:t>
      </w:r>
      <w:r w:rsidRPr="003F44E5">
        <w:rPr>
          <w:rFonts w:hint="eastAsia"/>
          <w:lang w:val="en-US" w:eastAsia="zh-CN"/>
        </w:rPr>
        <w:t>我们</w:t>
      </w:r>
      <w:r w:rsidR="00A97D9F">
        <w:rPr>
          <w:rFonts w:hint="eastAsia"/>
          <w:lang w:val="en-US" w:eastAsia="zh-CN"/>
        </w:rPr>
        <w:t>要</w:t>
      </w:r>
      <w:r w:rsidRPr="003F44E5">
        <w:rPr>
          <w:rFonts w:hint="eastAsia"/>
          <w:lang w:val="en-US" w:eastAsia="zh-CN"/>
        </w:rPr>
        <w:t>强调</w:t>
      </w:r>
      <w:r w:rsidR="00A97D9F">
        <w:rPr>
          <w:rFonts w:hint="eastAsia"/>
          <w:lang w:val="en-US" w:eastAsia="zh-CN"/>
        </w:rPr>
        <w:t>的是</w:t>
      </w:r>
      <w:r w:rsidR="008C777B">
        <w:rPr>
          <w:rFonts w:hint="eastAsia"/>
          <w:lang w:val="en-US" w:eastAsia="zh-CN"/>
        </w:rPr>
        <w:t>，</w:t>
      </w:r>
      <w:r w:rsidRPr="003F44E5">
        <w:rPr>
          <w:rFonts w:hint="eastAsia"/>
          <w:lang w:val="en-US" w:eastAsia="zh-CN"/>
        </w:rPr>
        <w:t>国际电联区域代表处和地区办事处是</w:t>
      </w:r>
      <w:r w:rsidR="008C777B">
        <w:rPr>
          <w:rFonts w:hint="eastAsia"/>
          <w:lang w:val="en-US" w:eastAsia="zh-CN"/>
        </w:rPr>
        <w:t>开展</w:t>
      </w:r>
      <w:r w:rsidRPr="003F44E5">
        <w:rPr>
          <w:rFonts w:hint="eastAsia"/>
          <w:lang w:val="en-US" w:eastAsia="zh-CN"/>
        </w:rPr>
        <w:t>经济合作</w:t>
      </w:r>
      <w:r w:rsidR="008C777B">
        <w:rPr>
          <w:rFonts w:hint="eastAsia"/>
          <w:lang w:val="en-US" w:eastAsia="zh-CN"/>
        </w:rPr>
        <w:t>、实现</w:t>
      </w:r>
      <w:r w:rsidRPr="003F44E5">
        <w:rPr>
          <w:rFonts w:hint="eastAsia"/>
          <w:lang w:val="en-US" w:eastAsia="zh-CN"/>
        </w:rPr>
        <w:t>一体化和针对具体情况</w:t>
      </w:r>
      <w:r w:rsidR="008C777B" w:rsidRPr="003F44E5">
        <w:rPr>
          <w:rFonts w:hint="eastAsia"/>
          <w:lang w:val="en-US" w:eastAsia="zh-CN"/>
        </w:rPr>
        <w:t>制定</w:t>
      </w:r>
      <w:r w:rsidRPr="003F44E5">
        <w:rPr>
          <w:rFonts w:hint="eastAsia"/>
          <w:lang w:val="en-US" w:eastAsia="zh-CN"/>
        </w:rPr>
        <w:t>战略的重要前哨</w:t>
      </w:r>
      <w:r w:rsidR="008C777B">
        <w:rPr>
          <w:rFonts w:hint="eastAsia"/>
          <w:lang w:val="en-US" w:eastAsia="zh-CN"/>
        </w:rPr>
        <w:t>。</w:t>
      </w:r>
      <w:r w:rsidRPr="003F44E5">
        <w:rPr>
          <w:rFonts w:hint="eastAsia"/>
          <w:lang w:val="en-US" w:eastAsia="zh-CN"/>
        </w:rPr>
        <w:t>如</w:t>
      </w:r>
      <w:proofErr w:type="spellStart"/>
      <w:r w:rsidR="008C777B" w:rsidRPr="003F44E5">
        <w:rPr>
          <w:lang w:val="en-US" w:eastAsia="zh-CN"/>
        </w:rPr>
        <w:t>ToR</w:t>
      </w:r>
      <w:proofErr w:type="spellEnd"/>
      <w:r w:rsidRPr="003F44E5">
        <w:rPr>
          <w:rFonts w:hint="eastAsia"/>
          <w:lang w:val="en-US" w:eastAsia="zh-CN"/>
        </w:rPr>
        <w:t>所述</w:t>
      </w:r>
      <w:r w:rsidR="008C777B">
        <w:rPr>
          <w:rFonts w:hint="eastAsia"/>
          <w:lang w:val="en-US" w:eastAsia="zh-CN"/>
        </w:rPr>
        <w:t>，</w:t>
      </w:r>
      <w:r w:rsidRPr="003F44E5">
        <w:rPr>
          <w:rFonts w:hint="eastAsia"/>
          <w:lang w:val="en-US" w:eastAsia="zh-CN"/>
        </w:rPr>
        <w:t>这些代表处</w:t>
      </w:r>
      <w:r w:rsidR="008C777B" w:rsidRPr="003F44E5">
        <w:rPr>
          <w:rFonts w:hint="eastAsia"/>
          <w:lang w:val="en-US" w:eastAsia="zh-CN"/>
        </w:rPr>
        <w:t>和办事处</w:t>
      </w:r>
      <w:r w:rsidR="00B304DD" w:rsidRPr="003F44E5">
        <w:rPr>
          <w:rFonts w:hint="eastAsia"/>
          <w:lang w:val="en-US" w:eastAsia="zh-CN"/>
        </w:rPr>
        <w:t>具有独特的优势</w:t>
      </w:r>
      <w:r w:rsidR="00B304DD">
        <w:rPr>
          <w:rFonts w:hint="eastAsia"/>
          <w:lang w:val="en-US" w:eastAsia="zh-CN"/>
        </w:rPr>
        <w:t>，能够</w:t>
      </w:r>
      <w:r w:rsidRPr="003F44E5">
        <w:rPr>
          <w:rFonts w:hint="eastAsia"/>
          <w:lang w:val="en-US" w:eastAsia="zh-CN"/>
        </w:rPr>
        <w:t>促进</w:t>
      </w:r>
      <w:r w:rsidR="00B304DD">
        <w:rPr>
          <w:rFonts w:hint="eastAsia"/>
          <w:lang w:val="en-US" w:eastAsia="zh-CN"/>
        </w:rPr>
        <w:t>跨</w:t>
      </w:r>
      <w:r w:rsidR="00B304DD" w:rsidRPr="003F44E5">
        <w:rPr>
          <w:rFonts w:hint="eastAsia"/>
          <w:lang w:val="en-US" w:eastAsia="zh-CN"/>
        </w:rPr>
        <w:t>国项目和伙伴关系</w:t>
      </w:r>
      <w:r w:rsidR="00A97D9F">
        <w:rPr>
          <w:rFonts w:hint="eastAsia"/>
          <w:lang w:val="en-US" w:eastAsia="zh-CN"/>
        </w:rPr>
        <w:t>的开展</w:t>
      </w:r>
      <w:r w:rsidR="00B304DD">
        <w:rPr>
          <w:rFonts w:hint="eastAsia"/>
          <w:lang w:val="en-US" w:eastAsia="zh-CN"/>
        </w:rPr>
        <w:t>，</w:t>
      </w:r>
      <w:r w:rsidR="00A97D9F">
        <w:rPr>
          <w:rFonts w:hint="eastAsia"/>
          <w:lang w:val="en-US" w:eastAsia="zh-CN"/>
        </w:rPr>
        <w:t>从而</w:t>
      </w:r>
      <w:r w:rsidRPr="003F44E5">
        <w:rPr>
          <w:rFonts w:hint="eastAsia"/>
          <w:lang w:val="en-US" w:eastAsia="zh-CN"/>
        </w:rPr>
        <w:t>有效</w:t>
      </w:r>
      <w:r w:rsidR="00B304DD">
        <w:rPr>
          <w:rFonts w:hint="eastAsia"/>
          <w:lang w:val="en-US" w:eastAsia="zh-CN"/>
        </w:rPr>
        <w:t>应对</w:t>
      </w:r>
      <w:r w:rsidRPr="003F44E5">
        <w:rPr>
          <w:rFonts w:hint="eastAsia"/>
          <w:lang w:val="en-US" w:eastAsia="zh-CN"/>
        </w:rPr>
        <w:t>各自区域</w:t>
      </w:r>
      <w:r w:rsidR="00B304DD">
        <w:rPr>
          <w:rFonts w:hint="eastAsia"/>
          <w:lang w:val="en-US" w:eastAsia="zh-CN"/>
        </w:rPr>
        <w:t>的</w:t>
      </w:r>
      <w:r w:rsidRPr="003F44E5">
        <w:rPr>
          <w:rFonts w:hint="eastAsia"/>
          <w:lang w:val="en-US" w:eastAsia="zh-CN"/>
        </w:rPr>
        <w:t>需求和优先事项</w:t>
      </w:r>
      <w:r w:rsidR="008C777B">
        <w:rPr>
          <w:rFonts w:hint="eastAsia"/>
          <w:lang w:val="en-US" w:eastAsia="zh-CN"/>
        </w:rPr>
        <w:t>。</w:t>
      </w:r>
    </w:p>
    <w:p w14:paraId="7EE30ACA" w14:textId="0E7729FF" w:rsidR="003F44E5" w:rsidRPr="003F44E5" w:rsidRDefault="003F44E5" w:rsidP="0075406A">
      <w:pPr>
        <w:ind w:firstLineChars="200" w:firstLine="480"/>
        <w:jc w:val="both"/>
        <w:rPr>
          <w:lang w:val="en-US" w:eastAsia="zh-CN"/>
        </w:rPr>
      </w:pPr>
      <w:r w:rsidRPr="003F44E5">
        <w:rPr>
          <w:rFonts w:hint="eastAsia"/>
          <w:lang w:val="en-US" w:eastAsia="zh-CN"/>
        </w:rPr>
        <w:t>因此</w:t>
      </w:r>
      <w:r w:rsidR="00D877CD">
        <w:rPr>
          <w:rFonts w:hint="eastAsia"/>
          <w:lang w:val="en-US" w:eastAsia="zh-CN"/>
        </w:rPr>
        <w:t>，</w:t>
      </w:r>
      <w:r w:rsidRPr="003F44E5">
        <w:rPr>
          <w:rFonts w:hint="eastAsia"/>
          <w:lang w:val="en-US" w:eastAsia="zh-CN"/>
        </w:rPr>
        <w:t>我们请理事会在审议</w:t>
      </w:r>
      <w:r w:rsidR="00D877CD" w:rsidRPr="00D877CD">
        <w:rPr>
          <w:rFonts w:hint="eastAsia"/>
          <w:lang w:val="en-US" w:eastAsia="zh-CN"/>
        </w:rPr>
        <w:t>区域代表处</w:t>
      </w:r>
      <w:r w:rsidR="00D877CD">
        <w:rPr>
          <w:rFonts w:hint="eastAsia"/>
          <w:lang w:val="en-US" w:eastAsia="zh-CN"/>
        </w:rPr>
        <w:t>情况审查工作</w:t>
      </w:r>
      <w:r w:rsidRPr="003F44E5">
        <w:rPr>
          <w:rFonts w:hint="eastAsia"/>
          <w:lang w:val="en-US" w:eastAsia="zh-CN"/>
        </w:rPr>
        <w:t>的职责范围时</w:t>
      </w:r>
      <w:r w:rsidR="008D6114">
        <w:rPr>
          <w:rFonts w:hint="eastAsia"/>
          <w:lang w:val="en-US" w:eastAsia="zh-CN"/>
        </w:rPr>
        <w:t>将</w:t>
      </w:r>
      <w:r w:rsidR="008D6114" w:rsidRPr="003F44E5">
        <w:rPr>
          <w:rFonts w:hint="eastAsia"/>
          <w:lang w:val="en-US" w:eastAsia="zh-CN"/>
        </w:rPr>
        <w:t>本提案</w:t>
      </w:r>
      <w:r w:rsidRPr="003F44E5">
        <w:rPr>
          <w:rFonts w:hint="eastAsia"/>
          <w:lang w:val="en-US" w:eastAsia="zh-CN"/>
        </w:rPr>
        <w:t>考虑</w:t>
      </w:r>
      <w:r w:rsidR="008D6114">
        <w:rPr>
          <w:rFonts w:hint="eastAsia"/>
          <w:lang w:val="en-US" w:eastAsia="zh-CN"/>
        </w:rPr>
        <w:t>在内。</w:t>
      </w:r>
    </w:p>
    <w:p w14:paraId="0CFDB7C4" w14:textId="77777777" w:rsidR="00E323D0" w:rsidRPr="009A4DA6" w:rsidRDefault="00E323D0" w:rsidP="0032202E">
      <w:pPr>
        <w:pStyle w:val="Reasons"/>
        <w:rPr>
          <w:lang w:val="en-US" w:eastAsia="zh-CN"/>
        </w:rPr>
      </w:pPr>
    </w:p>
    <w:p w14:paraId="7C7F8E6D" w14:textId="77777777" w:rsidR="00E323D0" w:rsidRPr="00E323D0" w:rsidRDefault="00E323D0" w:rsidP="00E323D0">
      <w:pPr>
        <w:jc w:val="center"/>
      </w:pPr>
      <w:r>
        <w:t>______________</w:t>
      </w:r>
    </w:p>
    <w:sectPr w:rsidR="00E323D0" w:rsidRPr="00E323D0" w:rsidSect="00E24D59">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9E1C5" w14:textId="77777777" w:rsidR="008075C4" w:rsidRDefault="008075C4">
      <w:r>
        <w:separator/>
      </w:r>
    </w:p>
  </w:endnote>
  <w:endnote w:type="continuationSeparator" w:id="0">
    <w:p w14:paraId="70936C23" w14:textId="77777777" w:rsidR="008075C4" w:rsidRDefault="0080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4BE655DD" w:rsidR="00E24D59" w:rsidRPr="007D07E7"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7D07E7">
            <w:rPr>
              <w:rFonts w:eastAsiaTheme="minorEastAsia" w:hint="eastAsia"/>
              <w:noProof/>
              <w:color w:val="808080" w:themeColor="background1" w:themeShade="80"/>
              <w:lang w:eastAsia="zh-CN"/>
            </w:rPr>
            <w:t>2501364</w:t>
          </w:r>
        </w:p>
      </w:tc>
      <w:tc>
        <w:tcPr>
          <w:tcW w:w="8261" w:type="dxa"/>
        </w:tcPr>
        <w:p w14:paraId="4BD8989B" w14:textId="1AD84C4F"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7D07E7">
            <w:rPr>
              <w:rFonts w:eastAsiaTheme="minorEastAsia" w:hint="eastAsia"/>
              <w:bCs/>
              <w:color w:val="808080" w:themeColor="background1" w:themeShade="80"/>
              <w:lang w:eastAsia="zh-CN"/>
            </w:rPr>
            <w:t>93</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0DF56211"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7D07E7">
            <w:rPr>
              <w:rFonts w:eastAsiaTheme="minorEastAsia" w:hint="eastAsia"/>
              <w:bCs/>
              <w:color w:val="808080" w:themeColor="background1" w:themeShade="80"/>
              <w:lang w:eastAsia="zh-CN"/>
            </w:rPr>
            <w:t>93</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7837D" w14:textId="77777777" w:rsidR="008075C4" w:rsidRDefault="008075C4">
      <w:r>
        <w:t>____________________</w:t>
      </w:r>
    </w:p>
  </w:footnote>
  <w:footnote w:type="continuationSeparator" w:id="0">
    <w:p w14:paraId="12E8DF3C" w14:textId="77777777" w:rsidR="008075C4" w:rsidRDefault="00807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4E57"/>
    <w:rsid w:val="0000517A"/>
    <w:rsid w:val="00031E72"/>
    <w:rsid w:val="000404D2"/>
    <w:rsid w:val="00054FBD"/>
    <w:rsid w:val="00055EFA"/>
    <w:rsid w:val="000646BD"/>
    <w:rsid w:val="000853C0"/>
    <w:rsid w:val="00093DD9"/>
    <w:rsid w:val="0009409E"/>
    <w:rsid w:val="000A1C21"/>
    <w:rsid w:val="000C0BC5"/>
    <w:rsid w:val="000D15EA"/>
    <w:rsid w:val="000D7012"/>
    <w:rsid w:val="00100D84"/>
    <w:rsid w:val="001113B9"/>
    <w:rsid w:val="00124C9D"/>
    <w:rsid w:val="001305DE"/>
    <w:rsid w:val="0015333E"/>
    <w:rsid w:val="00157773"/>
    <w:rsid w:val="0018251A"/>
    <w:rsid w:val="00190272"/>
    <w:rsid w:val="00193244"/>
    <w:rsid w:val="00195C6C"/>
    <w:rsid w:val="00195FED"/>
    <w:rsid w:val="001A4BD6"/>
    <w:rsid w:val="001B6E2B"/>
    <w:rsid w:val="001D5A18"/>
    <w:rsid w:val="00215132"/>
    <w:rsid w:val="00224449"/>
    <w:rsid w:val="00280EB8"/>
    <w:rsid w:val="002A4D4C"/>
    <w:rsid w:val="002A6670"/>
    <w:rsid w:val="002B3DBC"/>
    <w:rsid w:val="002B44D3"/>
    <w:rsid w:val="002C3F32"/>
    <w:rsid w:val="002D3727"/>
    <w:rsid w:val="003008DD"/>
    <w:rsid w:val="00303502"/>
    <w:rsid w:val="0031386F"/>
    <w:rsid w:val="00325C25"/>
    <w:rsid w:val="00326DEF"/>
    <w:rsid w:val="003606D6"/>
    <w:rsid w:val="00372C8F"/>
    <w:rsid w:val="0037474F"/>
    <w:rsid w:val="00377B17"/>
    <w:rsid w:val="00380ECE"/>
    <w:rsid w:val="00382390"/>
    <w:rsid w:val="00393DDF"/>
    <w:rsid w:val="00397F55"/>
    <w:rsid w:val="003B4454"/>
    <w:rsid w:val="003C2E37"/>
    <w:rsid w:val="003F086E"/>
    <w:rsid w:val="003F1415"/>
    <w:rsid w:val="003F4406"/>
    <w:rsid w:val="003F44E5"/>
    <w:rsid w:val="0040144C"/>
    <w:rsid w:val="00403EB7"/>
    <w:rsid w:val="004178E6"/>
    <w:rsid w:val="00430BF0"/>
    <w:rsid w:val="00440A54"/>
    <w:rsid w:val="00441AB5"/>
    <w:rsid w:val="00457BC3"/>
    <w:rsid w:val="004672E6"/>
    <w:rsid w:val="0047241B"/>
    <w:rsid w:val="00474ED1"/>
    <w:rsid w:val="00477D57"/>
    <w:rsid w:val="00491BA9"/>
    <w:rsid w:val="00493085"/>
    <w:rsid w:val="004A36EC"/>
    <w:rsid w:val="004B2A38"/>
    <w:rsid w:val="004C5097"/>
    <w:rsid w:val="004D163F"/>
    <w:rsid w:val="004D4A7A"/>
    <w:rsid w:val="004E1E85"/>
    <w:rsid w:val="004E4BFF"/>
    <w:rsid w:val="004F2598"/>
    <w:rsid w:val="00506D57"/>
    <w:rsid w:val="00520710"/>
    <w:rsid w:val="005403F7"/>
    <w:rsid w:val="00540632"/>
    <w:rsid w:val="00541CF4"/>
    <w:rsid w:val="005451E8"/>
    <w:rsid w:val="005507F2"/>
    <w:rsid w:val="0056293B"/>
    <w:rsid w:val="005759CC"/>
    <w:rsid w:val="00591A31"/>
    <w:rsid w:val="005A72E1"/>
    <w:rsid w:val="005C6632"/>
    <w:rsid w:val="005D1C9E"/>
    <w:rsid w:val="006273B1"/>
    <w:rsid w:val="00630DD5"/>
    <w:rsid w:val="00637584"/>
    <w:rsid w:val="00647D73"/>
    <w:rsid w:val="00654257"/>
    <w:rsid w:val="0065435A"/>
    <w:rsid w:val="00670D8A"/>
    <w:rsid w:val="00683D02"/>
    <w:rsid w:val="006A2DD3"/>
    <w:rsid w:val="006A5113"/>
    <w:rsid w:val="006A5AF8"/>
    <w:rsid w:val="006B7795"/>
    <w:rsid w:val="006C36CD"/>
    <w:rsid w:val="00700D1F"/>
    <w:rsid w:val="007205CB"/>
    <w:rsid w:val="0072138B"/>
    <w:rsid w:val="00726073"/>
    <w:rsid w:val="00734FE8"/>
    <w:rsid w:val="007360CE"/>
    <w:rsid w:val="00737B43"/>
    <w:rsid w:val="0075406A"/>
    <w:rsid w:val="00764E30"/>
    <w:rsid w:val="0077110E"/>
    <w:rsid w:val="00772315"/>
    <w:rsid w:val="00775157"/>
    <w:rsid w:val="007813AE"/>
    <w:rsid w:val="00787CD0"/>
    <w:rsid w:val="00795580"/>
    <w:rsid w:val="007A37DB"/>
    <w:rsid w:val="007C4D7F"/>
    <w:rsid w:val="007C7D76"/>
    <w:rsid w:val="007D07E7"/>
    <w:rsid w:val="007E189D"/>
    <w:rsid w:val="007F0210"/>
    <w:rsid w:val="00802114"/>
    <w:rsid w:val="00806E3F"/>
    <w:rsid w:val="008075C4"/>
    <w:rsid w:val="00811259"/>
    <w:rsid w:val="00813AA2"/>
    <w:rsid w:val="008173A3"/>
    <w:rsid w:val="008418F5"/>
    <w:rsid w:val="00857A82"/>
    <w:rsid w:val="0086059C"/>
    <w:rsid w:val="00864589"/>
    <w:rsid w:val="00871D74"/>
    <w:rsid w:val="00874C82"/>
    <w:rsid w:val="00890AFB"/>
    <w:rsid w:val="00890FC4"/>
    <w:rsid w:val="00895905"/>
    <w:rsid w:val="008C348E"/>
    <w:rsid w:val="008C777B"/>
    <w:rsid w:val="008D6114"/>
    <w:rsid w:val="008F64AD"/>
    <w:rsid w:val="00911230"/>
    <w:rsid w:val="00911867"/>
    <w:rsid w:val="009164A9"/>
    <w:rsid w:val="009258CB"/>
    <w:rsid w:val="0093362E"/>
    <w:rsid w:val="009432A6"/>
    <w:rsid w:val="00944563"/>
    <w:rsid w:val="00953160"/>
    <w:rsid w:val="00956144"/>
    <w:rsid w:val="009625D8"/>
    <w:rsid w:val="00963512"/>
    <w:rsid w:val="00982BAC"/>
    <w:rsid w:val="00983878"/>
    <w:rsid w:val="00984012"/>
    <w:rsid w:val="0098459B"/>
    <w:rsid w:val="009858A5"/>
    <w:rsid w:val="00997185"/>
    <w:rsid w:val="009A4DA6"/>
    <w:rsid w:val="009C2458"/>
    <w:rsid w:val="009C4A7B"/>
    <w:rsid w:val="009C6123"/>
    <w:rsid w:val="009F1E3E"/>
    <w:rsid w:val="00A1213C"/>
    <w:rsid w:val="00A13406"/>
    <w:rsid w:val="00A272FF"/>
    <w:rsid w:val="00A40246"/>
    <w:rsid w:val="00A5354B"/>
    <w:rsid w:val="00A71B57"/>
    <w:rsid w:val="00A97D9F"/>
    <w:rsid w:val="00AB42C1"/>
    <w:rsid w:val="00AB4B75"/>
    <w:rsid w:val="00AC516F"/>
    <w:rsid w:val="00AD10FC"/>
    <w:rsid w:val="00AE195F"/>
    <w:rsid w:val="00AE2926"/>
    <w:rsid w:val="00AE71D3"/>
    <w:rsid w:val="00B0184B"/>
    <w:rsid w:val="00B035CD"/>
    <w:rsid w:val="00B0769D"/>
    <w:rsid w:val="00B217F8"/>
    <w:rsid w:val="00B218E9"/>
    <w:rsid w:val="00B304DD"/>
    <w:rsid w:val="00B332EA"/>
    <w:rsid w:val="00B40A53"/>
    <w:rsid w:val="00B45365"/>
    <w:rsid w:val="00B46A65"/>
    <w:rsid w:val="00B60184"/>
    <w:rsid w:val="00B62D20"/>
    <w:rsid w:val="00B81E75"/>
    <w:rsid w:val="00B92309"/>
    <w:rsid w:val="00B925F8"/>
    <w:rsid w:val="00B93453"/>
    <w:rsid w:val="00B9445B"/>
    <w:rsid w:val="00BA2D3E"/>
    <w:rsid w:val="00BD0954"/>
    <w:rsid w:val="00BD1A5A"/>
    <w:rsid w:val="00BD7A9B"/>
    <w:rsid w:val="00BD7BE1"/>
    <w:rsid w:val="00BF416B"/>
    <w:rsid w:val="00C32B60"/>
    <w:rsid w:val="00C45EB2"/>
    <w:rsid w:val="00C64E4E"/>
    <w:rsid w:val="00C66E64"/>
    <w:rsid w:val="00C761A0"/>
    <w:rsid w:val="00C85F7E"/>
    <w:rsid w:val="00C90D53"/>
    <w:rsid w:val="00C942F4"/>
    <w:rsid w:val="00CA0B2E"/>
    <w:rsid w:val="00CA6EF7"/>
    <w:rsid w:val="00CD04A5"/>
    <w:rsid w:val="00CD2F4F"/>
    <w:rsid w:val="00CD47F0"/>
    <w:rsid w:val="00CD5566"/>
    <w:rsid w:val="00CD64D7"/>
    <w:rsid w:val="00CE299D"/>
    <w:rsid w:val="00CE6F22"/>
    <w:rsid w:val="00CF41F6"/>
    <w:rsid w:val="00CF7D3E"/>
    <w:rsid w:val="00D02B4E"/>
    <w:rsid w:val="00D21F11"/>
    <w:rsid w:val="00D3181A"/>
    <w:rsid w:val="00D36817"/>
    <w:rsid w:val="00D44A16"/>
    <w:rsid w:val="00D453EE"/>
    <w:rsid w:val="00D5666C"/>
    <w:rsid w:val="00D62844"/>
    <w:rsid w:val="00D666BC"/>
    <w:rsid w:val="00D83542"/>
    <w:rsid w:val="00D877CD"/>
    <w:rsid w:val="00D92F45"/>
    <w:rsid w:val="00D94637"/>
    <w:rsid w:val="00D9725C"/>
    <w:rsid w:val="00D97892"/>
    <w:rsid w:val="00DA0E66"/>
    <w:rsid w:val="00DA7006"/>
    <w:rsid w:val="00DB3621"/>
    <w:rsid w:val="00DC6427"/>
    <w:rsid w:val="00DD62F5"/>
    <w:rsid w:val="00DD66A1"/>
    <w:rsid w:val="00DE196D"/>
    <w:rsid w:val="00DE2A06"/>
    <w:rsid w:val="00DF6B49"/>
    <w:rsid w:val="00E067C5"/>
    <w:rsid w:val="00E24D59"/>
    <w:rsid w:val="00E265BF"/>
    <w:rsid w:val="00E30258"/>
    <w:rsid w:val="00E323D0"/>
    <w:rsid w:val="00E34C96"/>
    <w:rsid w:val="00E378D8"/>
    <w:rsid w:val="00E43A12"/>
    <w:rsid w:val="00E57EA0"/>
    <w:rsid w:val="00E67C67"/>
    <w:rsid w:val="00E77476"/>
    <w:rsid w:val="00E8228B"/>
    <w:rsid w:val="00E97582"/>
    <w:rsid w:val="00EC25E1"/>
    <w:rsid w:val="00ED7160"/>
    <w:rsid w:val="00EE5706"/>
    <w:rsid w:val="00EF373D"/>
    <w:rsid w:val="00F11595"/>
    <w:rsid w:val="00F13BC9"/>
    <w:rsid w:val="00F357B2"/>
    <w:rsid w:val="00F36556"/>
    <w:rsid w:val="00F424AC"/>
    <w:rsid w:val="00F6736A"/>
    <w:rsid w:val="00F705DF"/>
    <w:rsid w:val="00F70622"/>
    <w:rsid w:val="00F84A3A"/>
    <w:rsid w:val="00F85624"/>
    <w:rsid w:val="00F87C05"/>
    <w:rsid w:val="00F93191"/>
    <w:rsid w:val="00F93A17"/>
    <w:rsid w:val="00FA0667"/>
    <w:rsid w:val="00FA2AF6"/>
    <w:rsid w:val="00FB073D"/>
    <w:rsid w:val="00FB771F"/>
    <w:rsid w:val="00FC5386"/>
    <w:rsid w:val="00FC76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29298982">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90699276">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50/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5-CL-C-0050/en" TargetMode="External"/><Relationship Id="rId4" Type="http://schemas.openxmlformats.org/officeDocument/2006/relationships/settings" Target="settings.xml"/><Relationship Id="rId9" Type="http://schemas.openxmlformats.org/officeDocument/2006/relationships/hyperlink" Target="https://www.itu.int/md/S25-CWGFHR20-C-0032/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1853</Words>
  <Characters>497</Characters>
  <Application>Microsoft Office Word</Application>
  <DocSecurity>0</DocSecurity>
  <Lines>19</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on the review of ITU regional presence</dc:title>
  <dc:subject>ITU Council 2025</dc:subject>
  <cp:keywords>C2025, C25, Council-25</cp:keywords>
  <dc:description/>
  <cp:lastPrinted>2015-02-24T13:23:00Z</cp:lastPrinted>
  <dcterms:created xsi:type="dcterms:W3CDTF">2025-06-18T06:33:00Z</dcterms:created>
  <dcterms:modified xsi:type="dcterms:W3CDTF">2025-06-18T06:33:00Z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