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05"/>
        <w:gridCol w:w="2966"/>
      </w:tblGrid>
      <w:tr w:rsidR="007B0AA0" w14:paraId="50237321" w14:textId="77777777" w:rsidTr="00F363FE">
        <w:tc>
          <w:tcPr>
            <w:tcW w:w="6512" w:type="dxa"/>
          </w:tcPr>
          <w:p w14:paraId="41FCB47D" w14:textId="162E6B36" w:rsidR="007B0AA0" w:rsidRPr="007B0AA0" w:rsidRDefault="007B0AA0" w:rsidP="00F363FE">
            <w:pPr>
              <w:spacing w:before="60" w:after="60" w:line="260" w:lineRule="exact"/>
              <w:rPr>
                <w:b/>
                <w:bCs/>
                <w:rtl/>
                <w:lang w:bidi="ar-EG"/>
              </w:rPr>
            </w:pPr>
            <w:r w:rsidRPr="007B0AA0">
              <w:rPr>
                <w:rFonts w:hint="cs"/>
                <w:b/>
                <w:bCs/>
                <w:rtl/>
                <w:lang w:bidi="ar-EG"/>
              </w:rPr>
              <w:t>بند جدول الأعمال:</w:t>
            </w:r>
            <w:r w:rsidR="006D2DE0">
              <w:rPr>
                <w:rFonts w:hint="cs"/>
                <w:b/>
                <w:bCs/>
                <w:rtl/>
                <w:lang w:bidi="ar-EG"/>
              </w:rPr>
              <w:t xml:space="preserve"> </w:t>
            </w:r>
            <w:r w:rsidR="006D2DE0" w:rsidRPr="006D2DE0">
              <w:rPr>
                <w:b/>
                <w:bCs/>
                <w:lang w:bidi="ar-EG"/>
              </w:rPr>
              <w:t>ADM 1</w:t>
            </w:r>
          </w:p>
        </w:tc>
        <w:tc>
          <w:tcPr>
            <w:tcW w:w="3117" w:type="dxa"/>
          </w:tcPr>
          <w:p w14:paraId="16A4ECF7" w14:textId="10DFBE8B" w:rsidR="007B0AA0" w:rsidRPr="007B0AA0" w:rsidRDefault="007B0AA0" w:rsidP="00F363FE">
            <w:pPr>
              <w:spacing w:before="60" w:after="60" w:line="260" w:lineRule="exact"/>
              <w:rPr>
                <w:b/>
                <w:bCs/>
                <w:lang w:bidi="ar-EG"/>
              </w:rPr>
            </w:pPr>
            <w:r w:rsidRPr="007B0AA0">
              <w:rPr>
                <w:rFonts w:hint="cs"/>
                <w:b/>
                <w:bCs/>
                <w:rtl/>
                <w:lang w:bidi="ar-EG"/>
              </w:rPr>
              <w:t xml:space="preserve">الوثيقة </w:t>
            </w:r>
            <w:proofErr w:type="spellStart"/>
            <w:r w:rsidRPr="007B0AA0">
              <w:rPr>
                <w:b/>
                <w:bCs/>
                <w:lang w:bidi="ar-EG"/>
              </w:rPr>
              <w:t>C2</w:t>
            </w:r>
            <w:r w:rsidR="006F363C">
              <w:rPr>
                <w:b/>
                <w:bCs/>
                <w:lang w:bidi="ar-EG"/>
              </w:rPr>
              <w:t>5</w:t>
            </w:r>
            <w:proofErr w:type="spellEnd"/>
            <w:r w:rsidRPr="007B0AA0">
              <w:rPr>
                <w:b/>
                <w:bCs/>
                <w:lang w:bidi="ar-EG"/>
              </w:rPr>
              <w:t>/</w:t>
            </w:r>
            <w:r w:rsidR="006D2DE0">
              <w:rPr>
                <w:b/>
                <w:bCs/>
                <w:lang w:bidi="ar-EG"/>
              </w:rPr>
              <w:t>93</w:t>
            </w:r>
            <w:r w:rsidRPr="007B0AA0">
              <w:rPr>
                <w:b/>
                <w:bCs/>
                <w:lang w:bidi="ar-EG"/>
              </w:rPr>
              <w:t>-A</w:t>
            </w:r>
          </w:p>
        </w:tc>
      </w:tr>
      <w:tr w:rsidR="007B0AA0" w14:paraId="06429370" w14:textId="77777777" w:rsidTr="00F363FE">
        <w:tc>
          <w:tcPr>
            <w:tcW w:w="6512" w:type="dxa"/>
          </w:tcPr>
          <w:p w14:paraId="7B04AA0D" w14:textId="77777777" w:rsidR="007B0AA0" w:rsidRPr="007B0AA0" w:rsidRDefault="007B0AA0" w:rsidP="00F363FE">
            <w:pPr>
              <w:spacing w:before="60" w:after="60" w:line="260" w:lineRule="exact"/>
              <w:rPr>
                <w:b/>
                <w:bCs/>
                <w:rtl/>
                <w:lang w:bidi="ar-EG"/>
              </w:rPr>
            </w:pPr>
          </w:p>
        </w:tc>
        <w:tc>
          <w:tcPr>
            <w:tcW w:w="3117" w:type="dxa"/>
          </w:tcPr>
          <w:p w14:paraId="7CFCB898" w14:textId="6A2C6EA7" w:rsidR="007B0AA0" w:rsidRPr="007B0AA0" w:rsidRDefault="006D2DE0" w:rsidP="00F363FE">
            <w:pPr>
              <w:spacing w:before="60" w:after="60" w:line="260" w:lineRule="exact"/>
              <w:rPr>
                <w:b/>
                <w:bCs/>
                <w:rtl/>
                <w:lang w:bidi="ar-EG"/>
              </w:rPr>
            </w:pPr>
            <w:r>
              <w:rPr>
                <w:rFonts w:hint="cs"/>
                <w:b/>
                <w:bCs/>
                <w:rtl/>
              </w:rPr>
              <w:t>‏</w:t>
            </w:r>
            <w:r>
              <w:rPr>
                <w:b/>
                <w:bCs/>
              </w:rPr>
              <w:t>3</w:t>
            </w:r>
            <w:r>
              <w:rPr>
                <w:rFonts w:hint="cs"/>
                <w:b/>
                <w:bCs/>
                <w:rtl/>
              </w:rPr>
              <w:t xml:space="preserve">‏ يونيو‏ </w:t>
            </w:r>
            <w:r w:rsidR="00C23747">
              <w:rPr>
                <w:b/>
                <w:bCs/>
              </w:rPr>
              <w:t>2025</w:t>
            </w:r>
          </w:p>
        </w:tc>
      </w:tr>
      <w:tr w:rsidR="007B0AA0" w14:paraId="569F0228" w14:textId="77777777" w:rsidTr="00F363FE">
        <w:tc>
          <w:tcPr>
            <w:tcW w:w="6512" w:type="dxa"/>
          </w:tcPr>
          <w:p w14:paraId="431ED8AC" w14:textId="77777777" w:rsidR="007B0AA0" w:rsidRPr="007B0AA0" w:rsidRDefault="007B0AA0" w:rsidP="00F363FE">
            <w:pPr>
              <w:spacing w:before="60" w:after="60" w:line="260" w:lineRule="exact"/>
              <w:rPr>
                <w:b/>
                <w:bCs/>
                <w:rtl/>
                <w:lang w:bidi="ar-EG"/>
              </w:rPr>
            </w:pPr>
          </w:p>
        </w:tc>
        <w:tc>
          <w:tcPr>
            <w:tcW w:w="3117" w:type="dxa"/>
          </w:tcPr>
          <w:p w14:paraId="116B260A" w14:textId="77777777" w:rsidR="007B0AA0" w:rsidRPr="007B0AA0" w:rsidRDefault="001D64C7" w:rsidP="00F363FE">
            <w:pPr>
              <w:spacing w:before="60" w:after="60" w:line="260" w:lineRule="exact"/>
              <w:rPr>
                <w:b/>
                <w:bCs/>
                <w:rtl/>
                <w:lang w:bidi="ar-EG"/>
              </w:rPr>
            </w:pPr>
            <w:r w:rsidRPr="007B0AA0">
              <w:rPr>
                <w:rFonts w:hint="cs"/>
                <w:b/>
                <w:bCs/>
                <w:rtl/>
                <w:lang w:bidi="ar-EG"/>
              </w:rPr>
              <w:t>الأصل: بالإنكليزية</w:t>
            </w:r>
          </w:p>
        </w:tc>
      </w:tr>
      <w:tr w:rsidR="007B0AA0" w14:paraId="286683FD" w14:textId="77777777" w:rsidTr="00F363FE">
        <w:tc>
          <w:tcPr>
            <w:tcW w:w="6512" w:type="dxa"/>
          </w:tcPr>
          <w:p w14:paraId="2D229F09" w14:textId="77777777" w:rsidR="007B0AA0" w:rsidRDefault="007B0AA0" w:rsidP="00F363FE">
            <w:pPr>
              <w:spacing w:before="60" w:after="60" w:line="260" w:lineRule="exact"/>
              <w:rPr>
                <w:lang w:bidi="ar-EG"/>
              </w:rPr>
            </w:pPr>
          </w:p>
        </w:tc>
        <w:tc>
          <w:tcPr>
            <w:tcW w:w="3117" w:type="dxa"/>
          </w:tcPr>
          <w:p w14:paraId="243BE254" w14:textId="77777777" w:rsidR="007B0AA0" w:rsidRDefault="007B0AA0" w:rsidP="00F363FE">
            <w:pPr>
              <w:spacing w:before="60" w:after="60" w:line="260" w:lineRule="exact"/>
              <w:rPr>
                <w:rtl/>
                <w:lang w:bidi="ar-EG"/>
              </w:rPr>
            </w:pPr>
          </w:p>
        </w:tc>
      </w:tr>
      <w:tr w:rsidR="007B0AA0" w14:paraId="2600349E" w14:textId="77777777" w:rsidTr="00EE7446">
        <w:tc>
          <w:tcPr>
            <w:tcW w:w="9629" w:type="dxa"/>
            <w:gridSpan w:val="2"/>
          </w:tcPr>
          <w:p w14:paraId="7FE241B8" w14:textId="4FACA80C" w:rsidR="007B0AA0" w:rsidRPr="00086303" w:rsidRDefault="006D2DE0" w:rsidP="007B0AA0">
            <w:pPr>
              <w:pStyle w:val="Source"/>
              <w:jc w:val="left"/>
              <w:rPr>
                <w:spacing w:val="-2"/>
                <w:lang w:bidi="ar-EG"/>
              </w:rPr>
            </w:pPr>
            <w:r w:rsidRPr="00086303">
              <w:rPr>
                <w:spacing w:val="-2"/>
                <w:rtl/>
                <w:lang w:bidi="ar-EG"/>
              </w:rPr>
              <w:t xml:space="preserve">مساهمة من </w:t>
            </w:r>
            <w:r w:rsidR="007A669B" w:rsidRPr="00086303">
              <w:rPr>
                <w:spacing w:val="-2"/>
                <w:rtl/>
                <w:lang w:bidi="ar-EG"/>
              </w:rPr>
              <w:t xml:space="preserve">جمهورية جنوب إفريقيا </w:t>
            </w:r>
            <w:r w:rsidR="007A669B">
              <w:rPr>
                <w:rFonts w:hint="cs"/>
                <w:spacing w:val="-2"/>
                <w:rtl/>
                <w:lang w:bidi="ar-EG"/>
              </w:rPr>
              <w:t>و</w:t>
            </w:r>
            <w:r w:rsidR="00EB4215" w:rsidRPr="00086303">
              <w:rPr>
                <w:spacing w:val="-2"/>
                <w:rtl/>
                <w:lang w:bidi="ar-EG"/>
              </w:rPr>
              <w:t>جمهورية مصر العربية وجمهورية كينيا</w:t>
            </w:r>
          </w:p>
        </w:tc>
      </w:tr>
      <w:tr w:rsidR="007B0AA0" w14:paraId="2B2E5DA1" w14:textId="77777777" w:rsidTr="007B0AA0">
        <w:tc>
          <w:tcPr>
            <w:tcW w:w="9629" w:type="dxa"/>
            <w:gridSpan w:val="2"/>
            <w:tcBorders>
              <w:bottom w:val="single" w:sz="4" w:space="0" w:color="auto"/>
            </w:tcBorders>
          </w:tcPr>
          <w:p w14:paraId="70EF6624" w14:textId="14C3CD39" w:rsidR="007B0AA0" w:rsidRPr="005546CF" w:rsidRDefault="006D2DE0" w:rsidP="007B0AA0">
            <w:pPr>
              <w:pStyle w:val="Subtitle0"/>
              <w:rPr>
                <w:sz w:val="32"/>
                <w:szCs w:val="32"/>
              </w:rPr>
            </w:pPr>
            <w:r w:rsidRPr="006D2DE0">
              <w:rPr>
                <w:sz w:val="32"/>
                <w:szCs w:val="32"/>
                <w:rtl/>
              </w:rPr>
              <w:t>مقترح بشأن استعراض الحضور الإقليمي للاتحاد</w:t>
            </w:r>
          </w:p>
        </w:tc>
      </w:tr>
      <w:tr w:rsidR="007B0AA0" w14:paraId="73F41A5D" w14:textId="77777777" w:rsidTr="007B0AA0">
        <w:tc>
          <w:tcPr>
            <w:tcW w:w="9629" w:type="dxa"/>
            <w:gridSpan w:val="2"/>
            <w:tcBorders>
              <w:top w:val="single" w:sz="4" w:space="0" w:color="auto"/>
              <w:bottom w:val="single" w:sz="4" w:space="0" w:color="auto"/>
            </w:tcBorders>
          </w:tcPr>
          <w:p w14:paraId="2CCAA85B" w14:textId="77777777" w:rsidR="007B0AA0" w:rsidRPr="007B0AA0" w:rsidRDefault="007B0AA0" w:rsidP="007B0AA0">
            <w:pPr>
              <w:rPr>
                <w:b/>
                <w:bCs/>
                <w:rtl/>
              </w:rPr>
            </w:pPr>
            <w:r w:rsidRPr="00494119">
              <w:rPr>
                <w:rFonts w:hint="cs"/>
                <w:b/>
                <w:bCs/>
                <w:rtl/>
              </w:rPr>
              <w:t>الغرض</w:t>
            </w:r>
          </w:p>
          <w:p w14:paraId="75A96DBE" w14:textId="1B37F883" w:rsidR="007B0AA0" w:rsidRDefault="006D2DE0" w:rsidP="007B0AA0">
            <w:pPr>
              <w:rPr>
                <w:rtl/>
              </w:rPr>
            </w:pPr>
            <w:r w:rsidRPr="006D2DE0">
              <w:rPr>
                <w:rtl/>
              </w:rPr>
              <w:t>الغرض من هذه المساهمة هو دعم اختصاصات عملية استعراض الحضور الإقليمي. ي</w:t>
            </w:r>
            <w:r w:rsidR="00BE55E2">
              <w:rPr>
                <w:rFonts w:hint="cs"/>
                <w:rtl/>
              </w:rPr>
              <w:t>ُ</w:t>
            </w:r>
            <w:r w:rsidRPr="006D2DE0">
              <w:rPr>
                <w:rtl/>
              </w:rPr>
              <w:t>قرّ القرار 25 (المراج</w:t>
            </w:r>
            <w:r w:rsidR="00CD710C">
              <w:rPr>
                <w:rFonts w:hint="cs"/>
                <w:rtl/>
              </w:rPr>
              <w:t>َ</w:t>
            </w:r>
            <w:r w:rsidRPr="006D2DE0">
              <w:rPr>
                <w:rtl/>
              </w:rPr>
              <w:t>ع في</w:t>
            </w:r>
            <w:r w:rsidR="00B615B6">
              <w:rPr>
                <w:rFonts w:hint="eastAsia"/>
                <w:rtl/>
                <w:lang w:bidi="ar-EG"/>
              </w:rPr>
              <w:t> </w:t>
            </w:r>
            <w:r w:rsidRPr="006D2DE0">
              <w:rPr>
                <w:rtl/>
              </w:rPr>
              <w:t>بوخارست، 2022) لمؤتمر المندوبين المفوضين بالقيود المالية التي تواجهها العديد من البلدان، ولا</w:t>
            </w:r>
            <w:r w:rsidR="00A03252">
              <w:rPr>
                <w:rFonts w:hint="cs"/>
                <w:rtl/>
              </w:rPr>
              <w:t> </w:t>
            </w:r>
            <w:r w:rsidRPr="006D2DE0">
              <w:rPr>
                <w:rtl/>
              </w:rPr>
              <w:t>سيما البلدان النامية، في المساهمة في أنشطة الاتحاد. وي</w:t>
            </w:r>
            <w:r w:rsidR="00BE55E2">
              <w:rPr>
                <w:rFonts w:hint="cs"/>
                <w:rtl/>
              </w:rPr>
              <w:t>ُ</w:t>
            </w:r>
            <w:r w:rsidRPr="006D2DE0">
              <w:rPr>
                <w:rtl/>
              </w:rPr>
              <w:t>سهّل الحضور الإقليمي للاتحاد التواصل الوثيق مع الأعضاء، وتنفيذ البرامج، ونشر المعلومات، وبناء العلاقات مع المنظمات الإقليمية، وتقديم الدعم التقني للبلدان المحتاجة. ومن المطلوب أن تولي عملية استعراض الحضور الإقليمي الاعتبار الواجب للأهداف التي حددها القرار 25 من أجل تعزيز الحضور الإقليمي وتوسيعه.</w:t>
            </w:r>
          </w:p>
          <w:p w14:paraId="7FE4052F" w14:textId="77777777" w:rsidR="007B0AA0" w:rsidRPr="007B0AA0" w:rsidRDefault="007B0AA0" w:rsidP="007B0AA0">
            <w:pPr>
              <w:rPr>
                <w:b/>
                <w:bCs/>
                <w:rtl/>
              </w:rPr>
            </w:pPr>
            <w:r w:rsidRPr="007B0AA0">
              <w:rPr>
                <w:rFonts w:hint="cs"/>
                <w:b/>
                <w:bCs/>
                <w:rtl/>
              </w:rPr>
              <w:t>الإجراء المطلوب من المجلس</w:t>
            </w:r>
          </w:p>
          <w:p w14:paraId="69A7E351" w14:textId="08FF9FAC" w:rsidR="007B0AA0" w:rsidRDefault="006D2DE0" w:rsidP="007B0AA0">
            <w:pPr>
              <w:rPr>
                <w:rtl/>
              </w:rPr>
            </w:pPr>
            <w:r w:rsidRPr="006D2DE0">
              <w:rPr>
                <w:rtl/>
              </w:rPr>
              <w:t>ي</w:t>
            </w:r>
            <w:r w:rsidR="00A03252">
              <w:rPr>
                <w:rFonts w:hint="cs"/>
                <w:rtl/>
              </w:rPr>
              <w:t>ُ</w:t>
            </w:r>
            <w:r w:rsidRPr="006D2DE0">
              <w:rPr>
                <w:rtl/>
              </w:rPr>
              <w:t xml:space="preserve">دعى المجلس إلى </w:t>
            </w:r>
            <w:r w:rsidRPr="006D2DE0">
              <w:rPr>
                <w:b/>
                <w:bCs/>
                <w:rtl/>
              </w:rPr>
              <w:t>النظر</w:t>
            </w:r>
            <w:r w:rsidRPr="00BE55E2">
              <w:rPr>
                <w:b/>
                <w:bCs/>
                <w:rtl/>
              </w:rPr>
              <w:t xml:space="preserve"> في</w:t>
            </w:r>
            <w:r w:rsidRPr="006D2DE0">
              <w:rPr>
                <w:rtl/>
              </w:rPr>
              <w:t xml:space="preserve"> هذه الوثيقة.</w:t>
            </w:r>
          </w:p>
          <w:p w14:paraId="4EF94F2E" w14:textId="77777777" w:rsidR="007B0AA0" w:rsidRPr="007B0AA0" w:rsidRDefault="007B0AA0" w:rsidP="007B0AA0">
            <w:pPr>
              <w:rPr>
                <w:rFonts w:ascii="Traditional Arabic" w:hAnsi="Traditional Arabic" w:cs="Traditional Arabic"/>
                <w:sz w:val="30"/>
                <w:szCs w:val="30"/>
                <w:rtl/>
              </w:rPr>
            </w:pPr>
            <w:r w:rsidRPr="007B0AA0">
              <w:rPr>
                <w:rFonts w:ascii="Traditional Arabic" w:hAnsi="Traditional Arabic" w:cs="Traditional Arabic"/>
                <w:sz w:val="30"/>
                <w:szCs w:val="30"/>
                <w:rtl/>
              </w:rPr>
              <w:t>___________</w:t>
            </w:r>
          </w:p>
          <w:p w14:paraId="4D5F767F" w14:textId="77777777" w:rsidR="007B0AA0" w:rsidRPr="007B0AA0" w:rsidRDefault="007B0AA0" w:rsidP="007B0AA0">
            <w:pPr>
              <w:rPr>
                <w:b/>
                <w:bCs/>
                <w:rtl/>
              </w:rPr>
            </w:pPr>
            <w:r w:rsidRPr="007B0AA0">
              <w:rPr>
                <w:rFonts w:hint="cs"/>
                <w:b/>
                <w:bCs/>
                <w:rtl/>
              </w:rPr>
              <w:t>المراجع</w:t>
            </w:r>
          </w:p>
          <w:p w14:paraId="6251B75B" w14:textId="5C70F98F" w:rsidR="007B0AA0" w:rsidRPr="005546CF" w:rsidRDefault="006D2DE0" w:rsidP="007B0AA0">
            <w:pPr>
              <w:rPr>
                <w:i/>
                <w:iCs/>
                <w:rtl/>
              </w:rPr>
            </w:pPr>
            <w:hyperlink r:id="rId8" w:history="1">
              <w:r w:rsidRPr="00614367">
                <w:rPr>
                  <w:rStyle w:val="Hyperlink"/>
                  <w:i/>
                  <w:iCs/>
                  <w:noProof w:val="0"/>
                  <w:rtl/>
                  <w:lang w:val="en-US" w:eastAsia="zh-CN"/>
                </w:rPr>
                <w:t>القرار 25 (المراجَع في بوخارست، 2022)</w:t>
              </w:r>
            </w:hyperlink>
            <w:r w:rsidRPr="006D2DE0">
              <w:rPr>
                <w:i/>
                <w:iCs/>
                <w:rtl/>
              </w:rPr>
              <w:t xml:space="preserve"> لمؤتمر المندوبين المفوضين؛ وثيقتا المجلس </w:t>
            </w:r>
            <w:hyperlink r:id="rId9" w:history="1">
              <w:proofErr w:type="spellStart"/>
              <w:r w:rsidRPr="00614367">
                <w:rPr>
                  <w:rStyle w:val="Hyperlink"/>
                  <w:i/>
                  <w:iCs/>
                  <w:noProof w:val="0"/>
                  <w:lang w:val="en-US" w:eastAsia="zh-CN"/>
                </w:rPr>
                <w:t>C25</w:t>
              </w:r>
              <w:proofErr w:type="spellEnd"/>
              <w:r w:rsidRPr="00614367">
                <w:rPr>
                  <w:rStyle w:val="Hyperlink"/>
                  <w:i/>
                  <w:iCs/>
                  <w:noProof w:val="0"/>
                  <w:lang w:val="en-US" w:eastAsia="zh-CN"/>
                </w:rPr>
                <w:t>/50</w:t>
              </w:r>
            </w:hyperlink>
            <w:r w:rsidRPr="006D2DE0">
              <w:rPr>
                <w:i/>
                <w:iCs/>
                <w:rtl/>
              </w:rPr>
              <w:t xml:space="preserve"> و</w:t>
            </w:r>
            <w:hyperlink r:id="rId10" w:history="1">
              <w:proofErr w:type="spellStart"/>
              <w:r w:rsidRPr="00614367">
                <w:rPr>
                  <w:rStyle w:val="Hyperlink"/>
                  <w:i/>
                  <w:iCs/>
                  <w:noProof w:val="0"/>
                  <w:lang w:val="en-US" w:eastAsia="zh-CN"/>
                </w:rPr>
                <w:t>C25</w:t>
              </w:r>
              <w:proofErr w:type="spellEnd"/>
              <w:r w:rsidRPr="00614367">
                <w:rPr>
                  <w:rStyle w:val="Hyperlink"/>
                  <w:i/>
                  <w:iCs/>
                  <w:noProof w:val="0"/>
                  <w:lang w:val="en-US" w:eastAsia="zh-CN"/>
                </w:rPr>
                <w:t>/69</w:t>
              </w:r>
            </w:hyperlink>
            <w:r w:rsidR="00811240">
              <w:rPr>
                <w:rFonts w:hint="cs"/>
                <w:i/>
                <w:iCs/>
                <w:rtl/>
              </w:rPr>
              <w:t>.</w:t>
            </w:r>
          </w:p>
        </w:tc>
      </w:tr>
    </w:tbl>
    <w:p w14:paraId="76A448BC" w14:textId="77777777" w:rsidR="00E61BE8" w:rsidRDefault="00E61BE8" w:rsidP="00E61BE8">
      <w:pPr>
        <w:rPr>
          <w:rtl/>
          <w:lang w:bidi="ar-EG"/>
        </w:rPr>
      </w:pPr>
    </w:p>
    <w:p w14:paraId="17874451" w14:textId="77777777" w:rsidR="00F50E3F" w:rsidRDefault="00F50E3F" w:rsidP="0043260A">
      <w:pPr>
        <w:rPr>
          <w:rtl/>
          <w:lang w:bidi="ar-EG"/>
        </w:rPr>
      </w:pPr>
      <w:r>
        <w:rPr>
          <w:rtl/>
          <w:lang w:bidi="ar-EG"/>
        </w:rPr>
        <w:br w:type="page"/>
      </w:r>
    </w:p>
    <w:p w14:paraId="01F69D70" w14:textId="77777777" w:rsidR="00B071BF" w:rsidRDefault="00B071BF" w:rsidP="00B615B6">
      <w:pPr>
        <w:pStyle w:val="Headingb"/>
        <w:rPr>
          <w:rtl/>
          <w:lang w:bidi="ar-EG"/>
        </w:rPr>
      </w:pPr>
      <w:r>
        <w:rPr>
          <w:rtl/>
          <w:lang w:bidi="ar-EG"/>
        </w:rPr>
        <w:lastRenderedPageBreak/>
        <w:t>معلومات أساسية</w:t>
      </w:r>
    </w:p>
    <w:p w14:paraId="6D027F2B" w14:textId="64B9FB4E" w:rsidR="00B071BF" w:rsidRPr="00C06F17" w:rsidRDefault="00B071BF" w:rsidP="00B071BF">
      <w:pPr>
        <w:rPr>
          <w:spacing w:val="-2"/>
          <w:rtl/>
          <w:lang w:bidi="ar-EG"/>
        </w:rPr>
      </w:pPr>
      <w:r w:rsidRPr="00B615B6">
        <w:rPr>
          <w:spacing w:val="-2"/>
          <w:rtl/>
          <w:lang w:bidi="ar-EG"/>
        </w:rPr>
        <w:t>ن</w:t>
      </w:r>
      <w:r w:rsidR="00B615B6">
        <w:rPr>
          <w:rFonts w:hint="cs"/>
          <w:spacing w:val="-2"/>
          <w:rtl/>
          <w:lang w:bidi="ar-EG"/>
        </w:rPr>
        <w:t>ُ</w:t>
      </w:r>
      <w:r w:rsidRPr="00B615B6">
        <w:rPr>
          <w:spacing w:val="-2"/>
          <w:rtl/>
          <w:lang w:bidi="ar-EG"/>
        </w:rPr>
        <w:t xml:space="preserve">عرب عن امتناننا لرئيس فريق العمل التابع للمجلس والمعني بالموارد المالية والبشرية </w:t>
      </w:r>
      <w:r w:rsidR="00B615B6" w:rsidRPr="00B615B6">
        <w:rPr>
          <w:spacing w:val="-2"/>
          <w:lang w:bidi="ar-EG"/>
        </w:rPr>
        <w:t>(</w:t>
      </w:r>
      <w:r w:rsidRPr="00B615B6">
        <w:rPr>
          <w:spacing w:val="-2"/>
          <w:lang w:bidi="ar-EG"/>
        </w:rPr>
        <w:t>CWG-FHR</w:t>
      </w:r>
      <w:r w:rsidR="00B615B6" w:rsidRPr="00B615B6">
        <w:rPr>
          <w:spacing w:val="-2"/>
          <w:lang w:bidi="ar-EG"/>
        </w:rPr>
        <w:t>)</w:t>
      </w:r>
      <w:r w:rsidRPr="00B615B6">
        <w:rPr>
          <w:spacing w:val="-2"/>
          <w:rtl/>
          <w:lang w:bidi="ar-EG"/>
        </w:rPr>
        <w:t xml:space="preserve"> لتقديمه المدخلات </w:t>
      </w:r>
      <w:r w:rsidRPr="00C06F17">
        <w:rPr>
          <w:spacing w:val="-2"/>
          <w:rtl/>
          <w:lang w:bidi="ar-EG"/>
        </w:rPr>
        <w:t xml:space="preserve">المتعلقة باختصاصات </w:t>
      </w:r>
      <w:r w:rsidR="00B615B6" w:rsidRPr="00C06F17">
        <w:rPr>
          <w:spacing w:val="-2"/>
          <w:lang w:bidi="ar-EG"/>
        </w:rPr>
        <w:t>(</w:t>
      </w:r>
      <w:proofErr w:type="spellStart"/>
      <w:r w:rsidRPr="00C06F17">
        <w:rPr>
          <w:spacing w:val="-2"/>
          <w:lang w:bidi="ar-EG"/>
        </w:rPr>
        <w:t>ToR</w:t>
      </w:r>
      <w:proofErr w:type="spellEnd"/>
      <w:r w:rsidR="00B615B6" w:rsidRPr="00C06F17">
        <w:rPr>
          <w:spacing w:val="-2"/>
          <w:lang w:bidi="ar-EG"/>
        </w:rPr>
        <w:t>)</w:t>
      </w:r>
      <w:r w:rsidRPr="00C06F17">
        <w:rPr>
          <w:spacing w:val="-2"/>
          <w:rtl/>
          <w:lang w:bidi="ar-EG"/>
        </w:rPr>
        <w:t xml:space="preserve"> عملية استعراض الحضور الإقليمي للاتحاد، الم</w:t>
      </w:r>
      <w:r w:rsidR="00B615B6" w:rsidRPr="00C06F17">
        <w:rPr>
          <w:rFonts w:hint="cs"/>
          <w:spacing w:val="-2"/>
          <w:rtl/>
          <w:lang w:bidi="ar-EG"/>
        </w:rPr>
        <w:t>ُ</w:t>
      </w:r>
      <w:r w:rsidRPr="00C06F17">
        <w:rPr>
          <w:spacing w:val="-2"/>
          <w:rtl/>
          <w:lang w:bidi="ar-EG"/>
        </w:rPr>
        <w:t xml:space="preserve">بينة في الوثيقة </w:t>
      </w:r>
      <w:hyperlink r:id="rId11" w:history="1">
        <w:r w:rsidRPr="00C06F17">
          <w:rPr>
            <w:rStyle w:val="Hyperlink"/>
            <w:noProof w:val="0"/>
            <w:spacing w:val="-2"/>
            <w:lang w:val="en-US" w:eastAsia="zh-CN" w:bidi="ar-EG"/>
          </w:rPr>
          <w:t>CWG-FHR-20/32</w:t>
        </w:r>
      </w:hyperlink>
      <w:r w:rsidRPr="00C06F17">
        <w:rPr>
          <w:spacing w:val="-2"/>
          <w:rtl/>
          <w:lang w:bidi="ar-EG"/>
        </w:rPr>
        <w:t>.</w:t>
      </w:r>
    </w:p>
    <w:p w14:paraId="13D57848" w14:textId="3120A4D9" w:rsidR="00B071BF" w:rsidRDefault="00B071BF" w:rsidP="00B071BF">
      <w:pPr>
        <w:rPr>
          <w:rtl/>
          <w:lang w:bidi="ar-EG"/>
        </w:rPr>
      </w:pPr>
      <w:r w:rsidRPr="00C06F17">
        <w:rPr>
          <w:rtl/>
          <w:lang w:bidi="ar-EG"/>
        </w:rPr>
        <w:t>تدعم الجهات الموقعة على هذه المساهمة اختصاصات</w:t>
      </w:r>
      <w:r>
        <w:rPr>
          <w:rtl/>
          <w:lang w:bidi="ar-EG"/>
        </w:rPr>
        <w:t xml:space="preserve"> عملية استعراض الحضور الإقليمي للاتحاد، اعترافاً بالدور الحاسم للمكاتب الإقليمية ومكاتب المناطق التابعة للاتحاد في العمل نيابة</w:t>
      </w:r>
      <w:r w:rsidR="00C06F17">
        <w:rPr>
          <w:rFonts w:hint="cs"/>
          <w:rtl/>
          <w:lang w:bidi="ar-EG"/>
        </w:rPr>
        <w:t>ً</w:t>
      </w:r>
      <w:r>
        <w:rPr>
          <w:rtl/>
          <w:lang w:bidi="ar-EG"/>
        </w:rPr>
        <w:t xml:space="preserve"> عن الدول الأعضاء من خلال تنفيذ المشاريع وتنمية القدرات والاضطلاع بأنشطة إقليمية وتعزيز التنسيق مع المنظمات الإقليمية للاتصالات </w:t>
      </w:r>
      <w:r w:rsidR="00C23747">
        <w:rPr>
          <w:lang w:bidi="ar-EG"/>
        </w:rPr>
        <w:t>(</w:t>
      </w:r>
      <w:r>
        <w:rPr>
          <w:lang w:bidi="ar-EG"/>
        </w:rPr>
        <w:t>RTO</w:t>
      </w:r>
      <w:r w:rsidR="00C23747">
        <w:rPr>
          <w:lang w:bidi="ar-EG"/>
        </w:rPr>
        <w:t>)</w:t>
      </w:r>
      <w:r>
        <w:rPr>
          <w:rtl/>
          <w:lang w:bidi="ar-EG"/>
        </w:rPr>
        <w:t>. وكما أعيد تأكيده في القرار 25 (المراج</w:t>
      </w:r>
      <w:r w:rsidR="00B615B6">
        <w:rPr>
          <w:rFonts w:hint="cs"/>
          <w:rtl/>
          <w:lang w:bidi="ar-EG"/>
        </w:rPr>
        <w:t>َ</w:t>
      </w:r>
      <w:r>
        <w:rPr>
          <w:rtl/>
          <w:lang w:bidi="ar-EG"/>
        </w:rPr>
        <w:t>ع في بوخارست، 2022)، تؤدي هذه المكاتب وظيفة حاسمة كقنوات في تنفيذ المقاصد الاستراتيجية للاتحاد، وتشجيع زيادة مشاركة الأعضاء، وضمان دعم رؤية "الاتحاد الواحد".</w:t>
      </w:r>
    </w:p>
    <w:p w14:paraId="7F741CAC" w14:textId="4C8DD4EA" w:rsidR="00B071BF" w:rsidRDefault="00B071BF" w:rsidP="00B071BF">
      <w:pPr>
        <w:rPr>
          <w:rtl/>
          <w:lang w:bidi="ar-EG"/>
        </w:rPr>
      </w:pPr>
      <w:r w:rsidRPr="00A03252">
        <w:rPr>
          <w:rtl/>
          <w:lang w:bidi="ar-EG"/>
        </w:rPr>
        <w:t>ويعترف القرار 25 بالقيود المالية التي تواجهها معظم البلدان، ولا</w:t>
      </w:r>
      <w:r w:rsidR="00A03252" w:rsidRPr="00A03252">
        <w:rPr>
          <w:rFonts w:hint="cs"/>
          <w:rtl/>
          <w:lang w:bidi="ar-EG"/>
        </w:rPr>
        <w:t> </w:t>
      </w:r>
      <w:r w:rsidRPr="00A03252">
        <w:rPr>
          <w:rtl/>
          <w:lang w:bidi="ar-EG"/>
        </w:rPr>
        <w:t>سيما البلدان النامية التي تعاني من قيود صارمة على</w:t>
      </w:r>
      <w:r w:rsidR="00C06F17" w:rsidRPr="00A03252">
        <w:rPr>
          <w:rFonts w:hint="cs"/>
          <w:rtl/>
          <w:lang w:bidi="ar-EG"/>
        </w:rPr>
        <w:t> </w:t>
      </w:r>
      <w:r w:rsidRPr="00A03252">
        <w:rPr>
          <w:rtl/>
          <w:lang w:bidi="ar-EG"/>
        </w:rPr>
        <w:t>الميزانية، عند تقديم مساهماتها في أنشطة الاتحاد. ويسمح الحضور الإقليمي للاتحاد بأن يكون على اتصال وثيق بأعضائه، وهو بمثابة وسيلة لتنفيذ البرامج والمشاريع والأنشطة، ونشر المعلومات المتعلقة بأنشطة الاتحاد، وتيسير تعزيز العلاقات مع المنظمات الإقليمية ودون الإقليمية، وتقديم الدعم التقني للبلدان ذات الاحتياجات المحددة. وأثناء استعراض الأمينة العامة للحضور الإقليمي بالتشاور مع مديري مكتب تنمية الاتصالات ومكتب الاتصالات الراديوية ومكتب تقييس الاتصالات، من المهم إيلاء الاعتبار الواجب لأهميته على النحو المبين في القرار 25.</w:t>
      </w:r>
    </w:p>
    <w:p w14:paraId="247CED5E" w14:textId="77777777" w:rsidR="00B071BF" w:rsidRDefault="00B071BF" w:rsidP="00B071BF">
      <w:pPr>
        <w:rPr>
          <w:rtl/>
          <w:lang w:bidi="ar-EG"/>
        </w:rPr>
      </w:pPr>
      <w:r>
        <w:rPr>
          <w:rtl/>
          <w:lang w:bidi="ar-EG"/>
        </w:rPr>
        <w:t>ولاحظنا أن الفريق الاستشاري لتنمية الاتصالات أكد أيضاً أن الحضور الإقليمي ضروري للتنفيذ الفعال للمبادرات الإقليمية وخطة عمل كيغالي وسلط الضوء على الدور الرئيسي للمكاتب الإقليمية في النهوض بالأهداف الإنمائية الخاصة بكل منطقة. وأقر الفريق الاستشاري لتنمية الاتصالات بالوظيفة التكميلية للمكاتب الإقليمية في دعم الأنشطة الإنمائية للاتحاد، وتنسيق الجهود مع الجهود التي يقودها قطاعا تقييس الاتصالات والاتصالات الراديوية لضمان المواءمة بين القطاعين التقني والتشغيلي. وبالإضافة إلى ذلك، شدد الفريق الاستشاري لتنمية الاتصالات على أن تلتزم عملية الاستعراض الرامية إلى تعزيز الحضور الإقليمي بالمبادئ التوجيهية الواردة في القرار 25 (بوخارست، 2022)، بما يضمن الاتساق مع الولايات والاستراتيجيات المقررة.</w:t>
      </w:r>
    </w:p>
    <w:p w14:paraId="67AB04CA" w14:textId="07FFE944" w:rsidR="00B071BF" w:rsidRDefault="00AA03BF" w:rsidP="00B615B6">
      <w:pPr>
        <w:pStyle w:val="Headingb"/>
        <w:rPr>
          <w:rtl/>
          <w:lang w:bidi="ar-EG"/>
        </w:rPr>
      </w:pPr>
      <w:r>
        <w:rPr>
          <w:rFonts w:hint="cs"/>
          <w:rtl/>
          <w:lang w:bidi="ar-EG"/>
        </w:rPr>
        <w:t>ال</w:t>
      </w:r>
      <w:r w:rsidR="00B071BF">
        <w:rPr>
          <w:rtl/>
          <w:lang w:bidi="ar-EG"/>
        </w:rPr>
        <w:t>مقترح</w:t>
      </w:r>
    </w:p>
    <w:p w14:paraId="26E3AAD3" w14:textId="7B57B6E4" w:rsidR="00B071BF" w:rsidRDefault="00B071BF" w:rsidP="00B071BF">
      <w:pPr>
        <w:rPr>
          <w:rtl/>
          <w:lang w:bidi="ar-EG"/>
        </w:rPr>
      </w:pPr>
      <w:r>
        <w:rPr>
          <w:rtl/>
          <w:lang w:bidi="ar-EG"/>
        </w:rPr>
        <w:t xml:space="preserve">في هذا السياق، نقترح أن يُعهد إلى مكتب تنمية الاتصالات </w:t>
      </w:r>
      <w:r w:rsidR="00C23747">
        <w:rPr>
          <w:lang w:bidi="ar-EG"/>
        </w:rPr>
        <w:t>(</w:t>
      </w:r>
      <w:r>
        <w:rPr>
          <w:lang w:bidi="ar-EG"/>
        </w:rPr>
        <w:t>BDT</w:t>
      </w:r>
      <w:r w:rsidR="00C23747">
        <w:rPr>
          <w:lang w:bidi="ar-EG"/>
        </w:rPr>
        <w:t>)</w:t>
      </w:r>
      <w:r>
        <w:rPr>
          <w:rtl/>
          <w:lang w:bidi="ar-EG"/>
        </w:rPr>
        <w:t xml:space="preserve"> بدور رئيسي في تنفيذ استعراض الحضور الإقليمي للاتحاد، على النحو المبين في الاختصاصات المعتمدة (الملحق </w:t>
      </w:r>
      <w:r w:rsidR="00C06F17">
        <w:rPr>
          <w:rFonts w:hint="cs"/>
          <w:rtl/>
          <w:lang w:bidi="ar-EG"/>
        </w:rPr>
        <w:t>ألف</w:t>
      </w:r>
      <w:r>
        <w:rPr>
          <w:rtl/>
          <w:lang w:bidi="ar-EG"/>
        </w:rPr>
        <w:t xml:space="preserve"> بالوثيقة </w:t>
      </w:r>
      <w:hyperlink r:id="rId12" w:history="1">
        <w:proofErr w:type="spellStart"/>
        <w:r w:rsidRPr="00B615B6">
          <w:rPr>
            <w:rStyle w:val="Hyperlink"/>
            <w:noProof w:val="0"/>
            <w:lang w:val="en-US" w:eastAsia="zh-CN" w:bidi="ar-EG"/>
          </w:rPr>
          <w:t>C25</w:t>
        </w:r>
        <w:proofErr w:type="spellEnd"/>
        <w:r w:rsidRPr="00B615B6">
          <w:rPr>
            <w:rStyle w:val="Hyperlink"/>
            <w:noProof w:val="0"/>
            <w:lang w:val="en-US" w:eastAsia="zh-CN" w:bidi="ar-EG"/>
          </w:rPr>
          <w:t>/50</w:t>
        </w:r>
      </w:hyperlink>
      <w:r>
        <w:rPr>
          <w:rtl/>
          <w:lang w:bidi="ar-EG"/>
        </w:rPr>
        <w:t>). ونظراً إلى أن المكاتب الإقليمية ومكاتب المناطق تقع تحت المسؤولية المباشرة لمكتب تنمية الاتصالات، فإن المكتب في وضع فريد يمكّنه من تقديم دعم كبير لهذه العملية. ويمتلك مكتب تنمية الاتصالات المعرفة المؤسسية والإشراف التشغيلي والآليات القائمة التي يمكن أن تضمن عملية استعراض مجدية وفعالة من حيث التكلفة.</w:t>
      </w:r>
    </w:p>
    <w:p w14:paraId="071D3AA5" w14:textId="3B9B672E" w:rsidR="00B071BF" w:rsidRDefault="00B071BF" w:rsidP="00B071BF">
      <w:pPr>
        <w:rPr>
          <w:rtl/>
          <w:lang w:bidi="ar-EG"/>
        </w:rPr>
      </w:pPr>
      <w:r>
        <w:rPr>
          <w:rtl/>
          <w:lang w:bidi="ar-EG"/>
        </w:rPr>
        <w:t>وإن دعم مكتب تنمية الاتصالات في تولي هذا الدور المعزز لن يتيح فقط الاستفادة من خبرته الطويلة وقربه من العمليات الإقليمية، بل سيؤدي أيضاً إلى انخفاض كبير في الآثار المالية المحتملة التي قد تنشأ في حال تكليف جهة استشارية أو</w:t>
      </w:r>
      <w:r w:rsidR="00B615B6">
        <w:rPr>
          <w:rFonts w:hint="cs"/>
          <w:rtl/>
          <w:lang w:bidi="ar-EG"/>
        </w:rPr>
        <w:t> </w:t>
      </w:r>
      <w:r>
        <w:rPr>
          <w:rtl/>
          <w:lang w:bidi="ar-EG"/>
        </w:rPr>
        <w:t xml:space="preserve">جهة مراجعة خارجية بهذه المهمة. وإن إلمام مكتب تنمية الاتصالات بآليات عمل المكاتب الإقليمية ومكاتب المناطق وموظفيها وتعبئة مواردها وأنشطتها </w:t>
      </w:r>
      <w:proofErr w:type="spellStart"/>
      <w:r>
        <w:rPr>
          <w:rtl/>
          <w:lang w:bidi="ar-EG"/>
        </w:rPr>
        <w:t>البرنامجية</w:t>
      </w:r>
      <w:proofErr w:type="spellEnd"/>
      <w:r>
        <w:rPr>
          <w:rtl/>
          <w:lang w:bidi="ar-EG"/>
        </w:rPr>
        <w:t xml:space="preserve"> يضعه في وضع م</w:t>
      </w:r>
      <w:r w:rsidR="00C06F17">
        <w:rPr>
          <w:rFonts w:hint="cs"/>
          <w:rtl/>
          <w:lang w:bidi="ar-EG"/>
        </w:rPr>
        <w:t>ُ</w:t>
      </w:r>
      <w:r>
        <w:rPr>
          <w:rtl/>
          <w:lang w:bidi="ar-EG"/>
        </w:rPr>
        <w:t>ؤات</w:t>
      </w:r>
      <w:r w:rsidR="00C06F17">
        <w:rPr>
          <w:rFonts w:hint="cs"/>
          <w:rtl/>
          <w:lang w:bidi="ar-EG"/>
        </w:rPr>
        <w:t>ٍ</w:t>
      </w:r>
      <w:r>
        <w:rPr>
          <w:rtl/>
          <w:lang w:bidi="ar-EG"/>
        </w:rPr>
        <w:t xml:space="preserve"> لتنفيذ تقييم قوي قائم على الأدلة يتماشى مع الأهداف المحددة في القرار 25 (المراج</w:t>
      </w:r>
      <w:r w:rsidR="00B615B6">
        <w:rPr>
          <w:rFonts w:hint="cs"/>
          <w:rtl/>
          <w:lang w:bidi="ar-EG"/>
        </w:rPr>
        <w:t>َ</w:t>
      </w:r>
      <w:r>
        <w:rPr>
          <w:rtl/>
          <w:lang w:bidi="ar-EG"/>
        </w:rPr>
        <w:t>ع في بوخارست، 2022) والخطة الاستراتيجية للاتحاد.</w:t>
      </w:r>
    </w:p>
    <w:p w14:paraId="075F8531" w14:textId="77777777" w:rsidR="00B071BF" w:rsidRDefault="00B071BF" w:rsidP="00B071BF">
      <w:pPr>
        <w:rPr>
          <w:rtl/>
          <w:lang w:bidi="ar-EG"/>
        </w:rPr>
      </w:pPr>
      <w:r>
        <w:rPr>
          <w:rtl/>
          <w:lang w:bidi="ar-EG"/>
        </w:rPr>
        <w:t xml:space="preserve">‏ونؤكد أن هذا النهج من شأنه أيضاً أن يعزز التماسك الداخلي والمساءلة المؤسسية والاستدامة في تنفيذ عملية الاستعراض، مع ضمان التوافق الكامل مع عملية التحول الجارية في الاتحاد. </w:t>
      </w:r>
      <w:r>
        <w:rPr>
          <w:cs/>
          <w:lang w:bidi="ar-EG"/>
        </w:rPr>
        <w:t>‎</w:t>
      </w:r>
      <w:r>
        <w:rPr>
          <w:rtl/>
          <w:lang w:bidi="ar-EG"/>
        </w:rPr>
        <w:t xml:space="preserve"> وبالإضافة إلى ذلك، فإن مشاركة مكتب تنمية الاتصالات في هذا الدور ستسهم في إضفاء مزيد من المرونة على العملية التشاورية، بما يعكس بشكل مباشر الآراء والحقائق القائمة على أرض الواقع، دعماً لنهج "الاتحاد الواحد".</w:t>
      </w:r>
    </w:p>
    <w:p w14:paraId="76855395" w14:textId="1C7AF32B" w:rsidR="00B071BF" w:rsidRDefault="00B071BF" w:rsidP="00B071BF">
      <w:pPr>
        <w:rPr>
          <w:rtl/>
          <w:lang w:bidi="ar-EG"/>
        </w:rPr>
      </w:pPr>
      <w:r>
        <w:rPr>
          <w:rtl/>
          <w:lang w:bidi="ar-EG"/>
        </w:rPr>
        <w:t>ونؤيد بقوة عملية التقييم والاستعراض القائمة على الأداء التي تنص عليها الاختصاصات، والتي قد تضمن أن تحقق المكاتب الإقليمية فوائد ملموسة وقابلة للقياس</w:t>
      </w:r>
      <w:r w:rsidR="00B615B6">
        <w:rPr>
          <w:rFonts w:hint="cs"/>
          <w:rtl/>
          <w:lang w:bidi="ar-EG"/>
        </w:rPr>
        <w:t xml:space="preserve"> - </w:t>
      </w:r>
      <w:r>
        <w:rPr>
          <w:rtl/>
          <w:lang w:bidi="ar-EG"/>
        </w:rPr>
        <w:t>مثل كفاية الموارد، وإشراك أصحاب المصلحة، والتكامل السلس مع الأطر الإقليمية الأوسع لتنمية تكنولوجيا المعلومات والاتصالات. ويمك</w:t>
      </w:r>
      <w:r w:rsidR="00B615B6">
        <w:rPr>
          <w:rFonts w:hint="cs"/>
          <w:rtl/>
          <w:lang w:bidi="ar-EG"/>
        </w:rPr>
        <w:t>ّ</w:t>
      </w:r>
      <w:r>
        <w:rPr>
          <w:rtl/>
          <w:lang w:bidi="ar-EG"/>
        </w:rPr>
        <w:t>ن هذا النهج المكاتب من تيسير تبادل المعلومات ومتابعة قرارات المؤتمرات العالمية وتنسيق الأنشطة المشتركة، وكلها ضرورية للتنفيذ الفعال للخطة الاستراتيجية للاتحاد وخطة عمل كيغالي.</w:t>
      </w:r>
    </w:p>
    <w:p w14:paraId="73E47077" w14:textId="00CD13E6" w:rsidR="00B071BF" w:rsidRDefault="00B071BF" w:rsidP="00B071BF">
      <w:pPr>
        <w:rPr>
          <w:rtl/>
          <w:lang w:bidi="ar-EG"/>
        </w:rPr>
      </w:pPr>
      <w:proofErr w:type="spellStart"/>
      <w:r>
        <w:rPr>
          <w:rtl/>
          <w:lang w:bidi="ar-EG"/>
        </w:rPr>
        <w:lastRenderedPageBreak/>
        <w:t>و‏ت</w:t>
      </w:r>
      <w:r w:rsidR="00271220">
        <w:rPr>
          <w:rFonts w:hint="cs"/>
          <w:rtl/>
          <w:lang w:bidi="ar-EG"/>
        </w:rPr>
        <w:t>ُ</w:t>
      </w:r>
      <w:r>
        <w:rPr>
          <w:rtl/>
          <w:lang w:bidi="ar-EG"/>
        </w:rPr>
        <w:t>وفر</w:t>
      </w:r>
      <w:proofErr w:type="spellEnd"/>
      <w:r>
        <w:rPr>
          <w:rtl/>
          <w:lang w:bidi="ar-EG"/>
        </w:rPr>
        <w:t xml:space="preserve"> آليات المساءلة والإبلاغ القوية الموضحة في الاختصاصات أساساً متيناً لتطوير مشاريع قابلة للتمويل ومتناسقة بين البلدان.</w:t>
      </w:r>
      <w:r>
        <w:rPr>
          <w:cs/>
          <w:lang w:bidi="ar-EG"/>
        </w:rPr>
        <w:t>‎</w:t>
      </w:r>
      <w:r>
        <w:rPr>
          <w:rtl/>
          <w:lang w:bidi="ar-EG"/>
        </w:rPr>
        <w:t xml:space="preserve"> ومن المرجح أن تجتذب هذه المشاريع الدعم من المؤسسات المالية الإقليمية والشركاء متعددي الأطراف حيث إن تعزيز الشفافية وتتبع الأداء يقللان من المخاطر، مما ي</w:t>
      </w:r>
      <w:r w:rsidR="00271220">
        <w:rPr>
          <w:rFonts w:hint="cs"/>
          <w:rtl/>
          <w:lang w:bidi="ar-EG"/>
        </w:rPr>
        <w:t>ُ</w:t>
      </w:r>
      <w:r>
        <w:rPr>
          <w:rtl/>
          <w:lang w:bidi="ar-EG"/>
        </w:rPr>
        <w:t>عزز قابليتها للتوسع وتأثيرها</w:t>
      </w:r>
      <w:r w:rsidR="00B615B6">
        <w:rPr>
          <w:rFonts w:hint="cs"/>
          <w:rtl/>
          <w:lang w:bidi="ar-EG"/>
        </w:rPr>
        <w:t>.</w:t>
      </w:r>
    </w:p>
    <w:p w14:paraId="1DBB7075" w14:textId="77777777" w:rsidR="00B071BF" w:rsidRDefault="00B071BF" w:rsidP="00B071BF">
      <w:pPr>
        <w:rPr>
          <w:rtl/>
          <w:lang w:bidi="ar-EG"/>
        </w:rPr>
      </w:pPr>
      <w:r>
        <w:rPr>
          <w:rtl/>
          <w:lang w:bidi="ar-EG"/>
        </w:rPr>
        <w:t>وأخيراً، نؤكد أن المكاتب الإقليمية ومكاتب المناطق التابعة للاتحاد تعمل كركائز أساسية للتعاون الاقتصادي والتكامل ووضع استراتيجيات ملائمة للسياقات المحددة. وكما هو مبين في الاختصاصات، فإن هذه المكاتب في وضع فريد يمكّنها من تيسير المشاريع والشراكات بين البلدان التي تستجيب بفعالية لاحتياجات وأولويات مناطقها.</w:t>
      </w:r>
    </w:p>
    <w:p w14:paraId="5138A031" w14:textId="3B635283" w:rsidR="00F50E3F" w:rsidRPr="00B615B6" w:rsidRDefault="00B071BF" w:rsidP="00B071BF">
      <w:pPr>
        <w:rPr>
          <w:spacing w:val="-4"/>
          <w:rtl/>
        </w:rPr>
      </w:pPr>
      <w:r w:rsidRPr="00B615B6">
        <w:rPr>
          <w:spacing w:val="-4"/>
          <w:rtl/>
          <w:lang w:bidi="ar-EG"/>
        </w:rPr>
        <w:t>‏وبناءً على ذلك، ندعو المجلس إلى أن يأخذ هذا المقترح في الاعتبار عند النظر في اختصاصات عملية استعراض الحضور الإقليمي.</w:t>
      </w:r>
      <w:r w:rsidRPr="00B615B6">
        <w:rPr>
          <w:spacing w:val="-4"/>
          <w:rtl/>
          <w:cs/>
          <w:lang w:bidi="ar-EG"/>
        </w:rPr>
        <w:t>‎</w:t>
      </w:r>
    </w:p>
    <w:p w14:paraId="046663B4" w14:textId="77777777" w:rsidR="00F50E3F" w:rsidRDefault="00D63735" w:rsidP="00D63735">
      <w:pPr>
        <w:spacing w:before="600"/>
        <w:jc w:val="center"/>
        <w:rPr>
          <w:rtl/>
          <w:lang w:bidi="ar-EG"/>
        </w:rPr>
      </w:pPr>
      <w:r>
        <w:rPr>
          <w:rFonts w:hint="cs"/>
          <w:rtl/>
          <w:lang w:bidi="ar-EG"/>
        </w:rPr>
        <w:t>ــــــــــــــــــــــــــــــــــــــــــــــــــــــــــــــــــــــــــــــــــــــــــــــــ</w:t>
      </w:r>
    </w:p>
    <w:sectPr w:rsidR="00F50E3F" w:rsidSect="006F363C">
      <w:footerReference w:type="default" r:id="rId13"/>
      <w:headerReference w:type="first" r:id="rId14"/>
      <w:footerReference w:type="first" r:id="rId15"/>
      <w:type w:val="oddPage"/>
      <w:pgSz w:w="11907" w:h="16840"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E3267D" w14:textId="77777777" w:rsidR="00EC18DC" w:rsidRDefault="00EC18DC" w:rsidP="006C3242">
      <w:pPr>
        <w:spacing w:before="0" w:line="240" w:lineRule="auto"/>
      </w:pPr>
      <w:r>
        <w:separator/>
      </w:r>
    </w:p>
  </w:endnote>
  <w:endnote w:type="continuationSeparator" w:id="0">
    <w:p w14:paraId="34BED1D8" w14:textId="77777777" w:rsidR="00EC18DC" w:rsidRDefault="00EC18DC"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Avenir Nxt2 W1G Medium">
    <w:panose1 w:val="020B0603020202020204"/>
    <w:charset w:val="00"/>
    <w:family w:val="swiss"/>
    <w:notTrueType/>
    <w:pitch w:val="variable"/>
    <w:sig w:usb0="A00002EF"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1"/>
      <w:bidiVisual/>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47"/>
      <w:gridCol w:w="7874"/>
      <w:gridCol w:w="443"/>
    </w:tblGrid>
    <w:tr w:rsidR="00F50E3F" w:rsidRPr="007B0AA0" w14:paraId="5F7EFDE0" w14:textId="77777777" w:rsidTr="00A67F05">
      <w:trPr>
        <w:jc w:val="center"/>
      </w:trPr>
      <w:tc>
        <w:tcPr>
          <w:tcW w:w="868" w:type="pct"/>
          <w:vAlign w:val="center"/>
        </w:tcPr>
        <w:p w14:paraId="66D03D95" w14:textId="138E46AA" w:rsidR="00F50E3F" w:rsidRPr="007B0AA0" w:rsidRDefault="00B071BF" w:rsidP="006F363C">
          <w:pPr>
            <w:tabs>
              <w:tab w:val="clear" w:pos="794"/>
            </w:tabs>
            <w:overflowPunct w:val="0"/>
            <w:autoSpaceDE w:val="0"/>
            <w:autoSpaceDN w:val="0"/>
            <w:bidi w:val="0"/>
            <w:adjustRightInd w:val="0"/>
            <w:spacing w:before="0" w:line="240" w:lineRule="auto"/>
            <w:jc w:val="right"/>
            <w:textAlignment w:val="baseline"/>
            <w:rPr>
              <w:rFonts w:ascii="Calibri" w:hAnsi="Calibri" w:cs="Arial"/>
              <w:noProof/>
              <w:sz w:val="18"/>
            </w:rPr>
          </w:pPr>
          <w:r w:rsidRPr="00B071BF">
            <w:rPr>
              <w:rFonts w:ascii="Calibri" w:hAnsi="Calibri" w:cs="Arial"/>
              <w:sz w:val="18"/>
              <w:szCs w:val="14"/>
            </w:rPr>
            <w:t>2501364</w:t>
          </w:r>
        </w:p>
      </w:tc>
      <w:tc>
        <w:tcPr>
          <w:tcW w:w="3912" w:type="pct"/>
        </w:tcPr>
        <w:p w14:paraId="5DD75984" w14:textId="650078AE" w:rsidR="00F50E3F" w:rsidRPr="007B0AA0" w:rsidRDefault="00F50E3F" w:rsidP="006F363C">
          <w:pPr>
            <w:tabs>
              <w:tab w:val="clear" w:pos="794"/>
              <w:tab w:val="left" w:pos="862"/>
              <w:tab w:val="right" w:pos="8505"/>
              <w:tab w:val="right" w:pos="9639"/>
            </w:tabs>
            <w:overflowPunct w:val="0"/>
            <w:autoSpaceDE w:val="0"/>
            <w:autoSpaceDN w:val="0"/>
            <w:adjustRightInd w:val="0"/>
            <w:spacing w:before="0" w:line="240" w:lineRule="auto"/>
            <w:jc w:val="right"/>
            <w:textAlignment w:val="baseline"/>
            <w:rPr>
              <w:rFonts w:ascii="Arial" w:hAnsi="Arial" w:cs="Arial"/>
              <w:b/>
              <w:bCs/>
              <w:color w:val="7F7F7F"/>
              <w:sz w:val="18"/>
              <w:szCs w:val="18"/>
            </w:rPr>
          </w:pPr>
          <w:proofErr w:type="spellStart"/>
          <w:r w:rsidRPr="007B0AA0">
            <w:rPr>
              <w:rFonts w:ascii="Calibri" w:hAnsi="Calibri" w:cs="Arial"/>
              <w:bCs/>
              <w:color w:val="7F7F7F"/>
              <w:sz w:val="18"/>
            </w:rPr>
            <w:t>C2</w:t>
          </w:r>
          <w:r w:rsidR="006F363C">
            <w:rPr>
              <w:rFonts w:ascii="Calibri" w:hAnsi="Calibri" w:cs="Arial"/>
              <w:bCs/>
              <w:color w:val="7F7F7F"/>
              <w:sz w:val="18"/>
            </w:rPr>
            <w:t>5</w:t>
          </w:r>
          <w:proofErr w:type="spellEnd"/>
          <w:r w:rsidRPr="007B0AA0">
            <w:rPr>
              <w:rFonts w:ascii="Calibri" w:hAnsi="Calibri" w:cs="Arial"/>
              <w:bCs/>
              <w:color w:val="7F7F7F"/>
              <w:sz w:val="18"/>
            </w:rPr>
            <w:t>/</w:t>
          </w:r>
          <w:r w:rsidR="00B071BF">
            <w:rPr>
              <w:rFonts w:ascii="Calibri" w:hAnsi="Calibri" w:cs="Arial"/>
              <w:bCs/>
              <w:color w:val="7F7F7F"/>
              <w:sz w:val="18"/>
            </w:rPr>
            <w:t>93</w:t>
          </w:r>
          <w:r w:rsidRPr="007B0AA0">
            <w:rPr>
              <w:rFonts w:ascii="Calibri" w:hAnsi="Calibri" w:cs="Arial"/>
              <w:bCs/>
              <w:color w:val="7F7F7F"/>
              <w:sz w:val="18"/>
            </w:rPr>
            <w:t>-</w:t>
          </w:r>
          <w:r>
            <w:rPr>
              <w:rFonts w:ascii="Calibri" w:hAnsi="Calibri" w:cs="Arial"/>
              <w:bCs/>
              <w:color w:val="7F7F7F"/>
              <w:sz w:val="18"/>
            </w:rPr>
            <w:t>A</w:t>
          </w:r>
        </w:p>
      </w:tc>
      <w:tc>
        <w:tcPr>
          <w:tcW w:w="220" w:type="pct"/>
        </w:tcPr>
        <w:p w14:paraId="2991F55F" w14:textId="77777777" w:rsidR="00F50E3F" w:rsidRPr="007B0AA0" w:rsidRDefault="00F50E3F" w:rsidP="006F363C">
          <w:pPr>
            <w:tabs>
              <w:tab w:val="clear" w:pos="794"/>
              <w:tab w:val="left" w:pos="862"/>
              <w:tab w:val="right" w:pos="8505"/>
              <w:tab w:val="right" w:pos="9639"/>
            </w:tabs>
            <w:overflowPunct w:val="0"/>
            <w:autoSpaceDE w:val="0"/>
            <w:autoSpaceDN w:val="0"/>
            <w:adjustRightInd w:val="0"/>
            <w:spacing w:before="0" w:line="240" w:lineRule="auto"/>
            <w:jc w:val="right"/>
            <w:textAlignment w:val="baseline"/>
            <w:rPr>
              <w:rFonts w:ascii="Calibri" w:hAnsi="Calibri" w:cs="Arial"/>
              <w:bCs/>
              <w:color w:val="7F7F7F"/>
              <w:sz w:val="18"/>
            </w:rPr>
          </w:pPr>
          <w:r w:rsidRPr="007B0AA0">
            <w:rPr>
              <w:rFonts w:ascii="Calibri" w:hAnsi="Calibri" w:cs="Arial"/>
              <w:color w:val="7F7F7F"/>
              <w:sz w:val="18"/>
            </w:rPr>
            <w:fldChar w:fldCharType="begin"/>
          </w:r>
          <w:r w:rsidRPr="007B0AA0">
            <w:rPr>
              <w:rFonts w:ascii="Calibri" w:hAnsi="Calibri" w:cs="Arial"/>
              <w:color w:val="7F7F7F"/>
              <w:sz w:val="18"/>
            </w:rPr>
            <w:instrText>PAGE</w:instrText>
          </w:r>
          <w:r w:rsidRPr="007B0AA0">
            <w:rPr>
              <w:rFonts w:ascii="Calibri" w:hAnsi="Calibri" w:cs="Arial"/>
              <w:color w:val="7F7F7F"/>
              <w:sz w:val="18"/>
            </w:rPr>
            <w:fldChar w:fldCharType="separate"/>
          </w:r>
          <w:r>
            <w:rPr>
              <w:rFonts w:cs="Arial"/>
              <w:color w:val="7F7F7F"/>
              <w:sz w:val="18"/>
            </w:rPr>
            <w:t>1</w:t>
          </w:r>
          <w:r w:rsidRPr="007B0AA0">
            <w:rPr>
              <w:rFonts w:ascii="Calibri" w:hAnsi="Calibri" w:cs="Arial"/>
              <w:noProof/>
              <w:color w:val="7F7F7F"/>
              <w:sz w:val="18"/>
            </w:rPr>
            <w:fldChar w:fldCharType="end"/>
          </w:r>
        </w:p>
      </w:tc>
    </w:tr>
  </w:tbl>
  <w:p w14:paraId="25DE5557" w14:textId="77777777" w:rsidR="006C3242" w:rsidRPr="00077A58" w:rsidRDefault="006C3242" w:rsidP="00077A58">
    <w:pPr>
      <w:pStyle w:val="Footer"/>
      <w:tabs>
        <w:tab w:val="clear" w:pos="4153"/>
        <w:tab w:val="clear" w:pos="8306"/>
        <w:tab w:val="center" w:pos="5103"/>
        <w:tab w:val="right" w:pos="9639"/>
      </w:tabs>
      <w:spacing w:after="0"/>
      <w:rPr>
        <w:sz w:val="2"/>
        <w:szCs w:val="2"/>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1"/>
      <w:bidiVisual/>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39"/>
      <w:gridCol w:w="7584"/>
      <w:gridCol w:w="441"/>
    </w:tblGrid>
    <w:tr w:rsidR="007B0AA0" w:rsidRPr="007B0AA0" w14:paraId="3E22048C" w14:textId="77777777" w:rsidTr="00A67F05">
      <w:trPr>
        <w:jc w:val="center"/>
      </w:trPr>
      <w:tc>
        <w:tcPr>
          <w:tcW w:w="1013" w:type="pct"/>
          <w:vAlign w:val="center"/>
        </w:tcPr>
        <w:p w14:paraId="2C85CF23" w14:textId="77777777" w:rsidR="007B0AA0" w:rsidRPr="0096716C" w:rsidRDefault="00660DEA" w:rsidP="00A67F05">
          <w:pPr>
            <w:tabs>
              <w:tab w:val="clear" w:pos="794"/>
            </w:tabs>
            <w:overflowPunct w:val="0"/>
            <w:autoSpaceDE w:val="0"/>
            <w:autoSpaceDN w:val="0"/>
            <w:bidi w:val="0"/>
            <w:adjustRightInd w:val="0"/>
            <w:spacing w:before="0" w:line="240" w:lineRule="auto"/>
            <w:jc w:val="right"/>
            <w:textAlignment w:val="baseline"/>
            <w:rPr>
              <w:rFonts w:ascii="Calibri" w:hAnsi="Calibri" w:cs="Arial"/>
              <w:noProof/>
              <w:color w:val="7F7F7F"/>
              <w:sz w:val="18"/>
              <w:szCs w:val="18"/>
            </w:rPr>
          </w:pPr>
          <w:hyperlink r:id="rId1" w:history="1">
            <w:r w:rsidRPr="0096716C">
              <w:rPr>
                <w:rStyle w:val="Hyperlink"/>
                <w:sz w:val="18"/>
                <w:szCs w:val="18"/>
                <w:u w:val="none"/>
              </w:rPr>
              <w:t>council.itu.int/2025</w:t>
            </w:r>
          </w:hyperlink>
        </w:p>
      </w:tc>
      <w:tc>
        <w:tcPr>
          <w:tcW w:w="3768" w:type="pct"/>
        </w:tcPr>
        <w:p w14:paraId="24683BAC" w14:textId="726E12C0" w:rsidR="007B0AA0" w:rsidRPr="007B0AA0" w:rsidRDefault="007B0AA0" w:rsidP="006F363C">
          <w:pPr>
            <w:tabs>
              <w:tab w:val="clear" w:pos="794"/>
              <w:tab w:val="left" w:pos="862"/>
              <w:tab w:val="right" w:pos="8505"/>
              <w:tab w:val="right" w:pos="9639"/>
            </w:tabs>
            <w:overflowPunct w:val="0"/>
            <w:autoSpaceDE w:val="0"/>
            <w:autoSpaceDN w:val="0"/>
            <w:adjustRightInd w:val="0"/>
            <w:spacing w:before="0" w:line="240" w:lineRule="auto"/>
            <w:jc w:val="right"/>
            <w:textAlignment w:val="baseline"/>
            <w:rPr>
              <w:rFonts w:ascii="Arial" w:hAnsi="Arial" w:cs="Arial"/>
              <w:b/>
              <w:bCs/>
              <w:color w:val="7F7F7F"/>
              <w:sz w:val="18"/>
              <w:szCs w:val="18"/>
            </w:rPr>
          </w:pPr>
          <w:proofErr w:type="spellStart"/>
          <w:r w:rsidRPr="007B0AA0">
            <w:rPr>
              <w:rFonts w:ascii="Calibri" w:hAnsi="Calibri" w:cs="Arial"/>
              <w:bCs/>
              <w:color w:val="7F7F7F"/>
              <w:sz w:val="18"/>
            </w:rPr>
            <w:t>C2</w:t>
          </w:r>
          <w:r w:rsidR="006F363C">
            <w:rPr>
              <w:rFonts w:ascii="Calibri" w:hAnsi="Calibri" w:cs="Arial"/>
              <w:bCs/>
              <w:color w:val="7F7F7F"/>
              <w:sz w:val="18"/>
            </w:rPr>
            <w:t>5</w:t>
          </w:r>
          <w:proofErr w:type="spellEnd"/>
          <w:r w:rsidRPr="007B0AA0">
            <w:rPr>
              <w:rFonts w:ascii="Calibri" w:hAnsi="Calibri" w:cs="Arial"/>
              <w:bCs/>
              <w:color w:val="7F7F7F"/>
              <w:sz w:val="18"/>
            </w:rPr>
            <w:t>/</w:t>
          </w:r>
          <w:r w:rsidR="00B071BF">
            <w:rPr>
              <w:rFonts w:ascii="Calibri" w:hAnsi="Calibri" w:cs="Arial"/>
              <w:bCs/>
              <w:color w:val="7F7F7F"/>
              <w:sz w:val="18"/>
            </w:rPr>
            <w:t>93</w:t>
          </w:r>
          <w:r w:rsidRPr="007B0AA0">
            <w:rPr>
              <w:rFonts w:ascii="Calibri" w:hAnsi="Calibri" w:cs="Arial"/>
              <w:bCs/>
              <w:color w:val="7F7F7F"/>
              <w:sz w:val="18"/>
            </w:rPr>
            <w:t>-</w:t>
          </w:r>
          <w:r>
            <w:rPr>
              <w:rFonts w:ascii="Calibri" w:hAnsi="Calibri" w:cs="Arial"/>
              <w:bCs/>
              <w:color w:val="7F7F7F"/>
              <w:sz w:val="18"/>
            </w:rPr>
            <w:t>A</w:t>
          </w:r>
        </w:p>
      </w:tc>
      <w:tc>
        <w:tcPr>
          <w:tcW w:w="220" w:type="pct"/>
        </w:tcPr>
        <w:p w14:paraId="4DC5F3AD" w14:textId="77777777" w:rsidR="007B0AA0" w:rsidRPr="007B0AA0" w:rsidRDefault="00F50E3F" w:rsidP="006F363C">
          <w:pPr>
            <w:tabs>
              <w:tab w:val="clear" w:pos="794"/>
              <w:tab w:val="left" w:pos="862"/>
              <w:tab w:val="right" w:pos="8505"/>
              <w:tab w:val="right" w:pos="9639"/>
            </w:tabs>
            <w:overflowPunct w:val="0"/>
            <w:autoSpaceDE w:val="0"/>
            <w:autoSpaceDN w:val="0"/>
            <w:adjustRightInd w:val="0"/>
            <w:spacing w:before="0" w:line="240" w:lineRule="auto"/>
            <w:jc w:val="right"/>
            <w:textAlignment w:val="baseline"/>
            <w:rPr>
              <w:rFonts w:ascii="Calibri" w:hAnsi="Calibri" w:cs="Arial"/>
              <w:bCs/>
              <w:color w:val="7F7F7F"/>
              <w:sz w:val="18"/>
            </w:rPr>
          </w:pPr>
          <w:r w:rsidRPr="007B0AA0">
            <w:rPr>
              <w:rFonts w:ascii="Calibri" w:hAnsi="Calibri" w:cs="Arial"/>
              <w:color w:val="7F7F7F"/>
              <w:sz w:val="18"/>
            </w:rPr>
            <w:fldChar w:fldCharType="begin"/>
          </w:r>
          <w:r w:rsidRPr="007B0AA0">
            <w:rPr>
              <w:rFonts w:ascii="Calibri" w:hAnsi="Calibri" w:cs="Arial"/>
              <w:color w:val="7F7F7F"/>
              <w:sz w:val="18"/>
            </w:rPr>
            <w:instrText>PAGE</w:instrText>
          </w:r>
          <w:r w:rsidRPr="007B0AA0">
            <w:rPr>
              <w:rFonts w:ascii="Calibri" w:hAnsi="Calibri" w:cs="Arial"/>
              <w:color w:val="7F7F7F"/>
              <w:sz w:val="18"/>
            </w:rPr>
            <w:fldChar w:fldCharType="separate"/>
          </w:r>
          <w:r>
            <w:rPr>
              <w:rFonts w:cs="Arial"/>
              <w:color w:val="7F7F7F"/>
              <w:sz w:val="18"/>
            </w:rPr>
            <w:t>1</w:t>
          </w:r>
          <w:r w:rsidRPr="007B0AA0">
            <w:rPr>
              <w:rFonts w:ascii="Calibri" w:hAnsi="Calibri" w:cs="Arial"/>
              <w:noProof/>
              <w:color w:val="7F7F7F"/>
              <w:sz w:val="18"/>
            </w:rPr>
            <w:fldChar w:fldCharType="end"/>
          </w:r>
        </w:p>
      </w:tc>
    </w:tr>
  </w:tbl>
  <w:p w14:paraId="3A153A63" w14:textId="77777777" w:rsidR="0006468A" w:rsidRPr="00077A58" w:rsidRDefault="0006468A" w:rsidP="00077A58">
    <w:pPr>
      <w:pStyle w:val="Footer"/>
      <w:tabs>
        <w:tab w:val="clear" w:pos="4153"/>
        <w:tab w:val="clear" w:pos="8306"/>
        <w:tab w:val="center" w:pos="5103"/>
        <w:tab w:val="right" w:pos="9639"/>
      </w:tabs>
      <w:spacing w:after="0"/>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166A4A" w14:textId="77777777" w:rsidR="00EC18DC" w:rsidRDefault="00EC18DC" w:rsidP="006C3242">
      <w:pPr>
        <w:spacing w:before="0" w:line="240" w:lineRule="auto"/>
      </w:pPr>
      <w:r>
        <w:separator/>
      </w:r>
    </w:p>
  </w:footnote>
  <w:footnote w:type="continuationSeparator" w:id="0">
    <w:p w14:paraId="06A0B185" w14:textId="77777777" w:rsidR="00EC18DC" w:rsidRDefault="00EC18DC"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BA7B6C" w14:textId="77777777" w:rsidR="007B0AA0" w:rsidRDefault="007648A6" w:rsidP="00935AAC">
    <w:pPr>
      <w:pStyle w:val="Header"/>
      <w:spacing w:before="120" w:after="600"/>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72FCA85D" wp14:editId="61D3FE5B">
              <wp:simplePos x="0" y="0"/>
              <wp:positionH relativeFrom="page">
                <wp:posOffset>7453630</wp:posOffset>
              </wp:positionH>
              <wp:positionV relativeFrom="topMargin">
                <wp:posOffset>641294</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91E645" id="Rectangle 5" o:spid="_x0000_s1026" style="position:absolute;margin-left:586.9pt;margin-top:50.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" fillcolor="#009cd5" stroked="f">
              <w10:wrap anchorx="page" anchory="margin"/>
            </v:rect>
          </w:pict>
        </mc:Fallback>
      </mc:AlternateContent>
    </w:r>
    <w:r w:rsidR="00420F8A">
      <w:rPr>
        <w:rFonts w:ascii="Avenir Nxt2 W1G Medium" w:eastAsia="Avenir Nxt2 W1G Medium" w:hAnsi="Avenir Nxt2 W1G Medium" w:cs="Avenir Nxt2 W1G Medium"/>
        <w:noProof/>
      </w:rPr>
      <w:drawing>
        <wp:inline distT="0" distB="0" distL="0" distR="0" wp14:anchorId="1CD1CB97" wp14:editId="377C343A">
          <wp:extent cx="2999433" cy="612775"/>
          <wp:effectExtent l="0" t="0" r="0" b="0"/>
          <wp:docPr id="1631567398" name="Picture 1" descr="A black background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1567398" name="Picture 1" descr="A black background with blue text&#10;&#10;AI-generated content may be incorrect."/>
                  <pic:cNvPicPr/>
                </pic:nvPicPr>
                <pic:blipFill rotWithShape="1">
                  <a:blip r:embed="rId1">
                    <a:extLst>
                      <a:ext uri="{28A0092B-C50C-407E-A947-70E740481C1C}">
                        <a14:useLocalDpi xmlns:a14="http://schemas.microsoft.com/office/drawing/2010/main" val="0"/>
                      </a:ext>
                    </a:extLst>
                  </a:blip>
                  <a:srcRect r="18302"/>
                  <a:stretch/>
                </pic:blipFill>
                <pic:spPr bwMode="auto">
                  <a:xfrm>
                    <a:off x="0" y="0"/>
                    <a:ext cx="2999932" cy="612877"/>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838345589">
    <w:abstractNumId w:val="9"/>
  </w:num>
  <w:num w:numId="2" w16cid:durableId="1774472849">
    <w:abstractNumId w:val="7"/>
  </w:num>
  <w:num w:numId="3" w16cid:durableId="923494626">
    <w:abstractNumId w:val="6"/>
  </w:num>
  <w:num w:numId="4" w16cid:durableId="442574474">
    <w:abstractNumId w:val="5"/>
  </w:num>
  <w:num w:numId="5" w16cid:durableId="1628318554">
    <w:abstractNumId w:val="4"/>
  </w:num>
  <w:num w:numId="6" w16cid:durableId="2075542342">
    <w:abstractNumId w:val="8"/>
  </w:num>
  <w:num w:numId="7" w16cid:durableId="1174762821">
    <w:abstractNumId w:val="3"/>
  </w:num>
  <w:num w:numId="8" w16cid:durableId="201795547">
    <w:abstractNumId w:val="2"/>
  </w:num>
  <w:num w:numId="9" w16cid:durableId="355010693">
    <w:abstractNumId w:val="1"/>
  </w:num>
  <w:num w:numId="10" w16cid:durableId="844200481">
    <w:abstractNumId w:val="0"/>
  </w:num>
  <w:num w:numId="11" w16cid:durableId="11048383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8DC"/>
    <w:rsid w:val="0006468A"/>
    <w:rsid w:val="00067A4B"/>
    <w:rsid w:val="00077A58"/>
    <w:rsid w:val="00086303"/>
    <w:rsid w:val="00090574"/>
    <w:rsid w:val="000C1C0E"/>
    <w:rsid w:val="000C548A"/>
    <w:rsid w:val="00191059"/>
    <w:rsid w:val="001B6E2B"/>
    <w:rsid w:val="001C0169"/>
    <w:rsid w:val="001C0C21"/>
    <w:rsid w:val="001D1D50"/>
    <w:rsid w:val="001D64C7"/>
    <w:rsid w:val="001D6745"/>
    <w:rsid w:val="001E446E"/>
    <w:rsid w:val="002154EE"/>
    <w:rsid w:val="002276D2"/>
    <w:rsid w:val="0023283D"/>
    <w:rsid w:val="00254393"/>
    <w:rsid w:val="0026373E"/>
    <w:rsid w:val="00271220"/>
    <w:rsid w:val="00271C43"/>
    <w:rsid w:val="00286B99"/>
    <w:rsid w:val="00290728"/>
    <w:rsid w:val="002978F4"/>
    <w:rsid w:val="002A3D9F"/>
    <w:rsid w:val="002B028D"/>
    <w:rsid w:val="002C3F32"/>
    <w:rsid w:val="002D496F"/>
    <w:rsid w:val="002E6541"/>
    <w:rsid w:val="00304D3E"/>
    <w:rsid w:val="00334924"/>
    <w:rsid w:val="003409BC"/>
    <w:rsid w:val="0034264C"/>
    <w:rsid w:val="00357185"/>
    <w:rsid w:val="003606D6"/>
    <w:rsid w:val="00383829"/>
    <w:rsid w:val="003F4B29"/>
    <w:rsid w:val="00410B26"/>
    <w:rsid w:val="00420F8A"/>
    <w:rsid w:val="0042686F"/>
    <w:rsid w:val="004317D8"/>
    <w:rsid w:val="0043260A"/>
    <w:rsid w:val="00434183"/>
    <w:rsid w:val="00443869"/>
    <w:rsid w:val="0044661E"/>
    <w:rsid w:val="00447F32"/>
    <w:rsid w:val="00491BA9"/>
    <w:rsid w:val="00494119"/>
    <w:rsid w:val="004A4701"/>
    <w:rsid w:val="004A58D2"/>
    <w:rsid w:val="004B7334"/>
    <w:rsid w:val="004D665B"/>
    <w:rsid w:val="004E11DC"/>
    <w:rsid w:val="004F0DFF"/>
    <w:rsid w:val="005130DE"/>
    <w:rsid w:val="00513157"/>
    <w:rsid w:val="00525DDD"/>
    <w:rsid w:val="005409AC"/>
    <w:rsid w:val="005434E0"/>
    <w:rsid w:val="005546CF"/>
    <w:rsid w:val="0055516A"/>
    <w:rsid w:val="0058491B"/>
    <w:rsid w:val="00592EA5"/>
    <w:rsid w:val="005A3170"/>
    <w:rsid w:val="00614367"/>
    <w:rsid w:val="00622AFD"/>
    <w:rsid w:val="00657019"/>
    <w:rsid w:val="00660DEA"/>
    <w:rsid w:val="00677396"/>
    <w:rsid w:val="00683F16"/>
    <w:rsid w:val="0069200F"/>
    <w:rsid w:val="006A65CB"/>
    <w:rsid w:val="006B12E5"/>
    <w:rsid w:val="006C3242"/>
    <w:rsid w:val="006C7CC0"/>
    <w:rsid w:val="006D2DE0"/>
    <w:rsid w:val="006F363C"/>
    <w:rsid w:val="006F63F7"/>
    <w:rsid w:val="007025C7"/>
    <w:rsid w:val="00706D7A"/>
    <w:rsid w:val="00722F0D"/>
    <w:rsid w:val="00735081"/>
    <w:rsid w:val="0074420E"/>
    <w:rsid w:val="007648A6"/>
    <w:rsid w:val="0077110E"/>
    <w:rsid w:val="00783E26"/>
    <w:rsid w:val="007A6684"/>
    <w:rsid w:val="007A669B"/>
    <w:rsid w:val="007B0AA0"/>
    <w:rsid w:val="007C3BC7"/>
    <w:rsid w:val="007C3BCD"/>
    <w:rsid w:val="007D4ACF"/>
    <w:rsid w:val="007D70CF"/>
    <w:rsid w:val="007F0787"/>
    <w:rsid w:val="00810B7B"/>
    <w:rsid w:val="00811240"/>
    <w:rsid w:val="0082358A"/>
    <w:rsid w:val="008235CD"/>
    <w:rsid w:val="008247DE"/>
    <w:rsid w:val="008339C0"/>
    <w:rsid w:val="00840B10"/>
    <w:rsid w:val="008513CB"/>
    <w:rsid w:val="00874E9F"/>
    <w:rsid w:val="008A7F84"/>
    <w:rsid w:val="008E2C76"/>
    <w:rsid w:val="0091702E"/>
    <w:rsid w:val="00923B0C"/>
    <w:rsid w:val="00924F46"/>
    <w:rsid w:val="00935AAC"/>
    <w:rsid w:val="0093725D"/>
    <w:rsid w:val="0094021C"/>
    <w:rsid w:val="00952F86"/>
    <w:rsid w:val="0096716C"/>
    <w:rsid w:val="00982B28"/>
    <w:rsid w:val="009D313F"/>
    <w:rsid w:val="00A03252"/>
    <w:rsid w:val="00A47A5A"/>
    <w:rsid w:val="00A63AE6"/>
    <w:rsid w:val="00A6683B"/>
    <w:rsid w:val="00A67F05"/>
    <w:rsid w:val="00A9146C"/>
    <w:rsid w:val="00A97F94"/>
    <w:rsid w:val="00AA03BF"/>
    <w:rsid w:val="00AA7EA2"/>
    <w:rsid w:val="00AB5A56"/>
    <w:rsid w:val="00AE2C6C"/>
    <w:rsid w:val="00AF0E46"/>
    <w:rsid w:val="00B03099"/>
    <w:rsid w:val="00B05BC8"/>
    <w:rsid w:val="00B071BF"/>
    <w:rsid w:val="00B30F5E"/>
    <w:rsid w:val="00B615B6"/>
    <w:rsid w:val="00B64B47"/>
    <w:rsid w:val="00B95654"/>
    <w:rsid w:val="00B97F32"/>
    <w:rsid w:val="00BA04B2"/>
    <w:rsid w:val="00BE55E2"/>
    <w:rsid w:val="00C002DE"/>
    <w:rsid w:val="00C0602B"/>
    <w:rsid w:val="00C06F17"/>
    <w:rsid w:val="00C224DA"/>
    <w:rsid w:val="00C23747"/>
    <w:rsid w:val="00C53BF8"/>
    <w:rsid w:val="00C66157"/>
    <w:rsid w:val="00C674FE"/>
    <w:rsid w:val="00C67501"/>
    <w:rsid w:val="00C75633"/>
    <w:rsid w:val="00CA7398"/>
    <w:rsid w:val="00CD710C"/>
    <w:rsid w:val="00CE2EE1"/>
    <w:rsid w:val="00CE3349"/>
    <w:rsid w:val="00CE36E5"/>
    <w:rsid w:val="00CE4360"/>
    <w:rsid w:val="00CF27F5"/>
    <w:rsid w:val="00CF3FFD"/>
    <w:rsid w:val="00D10CCF"/>
    <w:rsid w:val="00D13941"/>
    <w:rsid w:val="00D23F5F"/>
    <w:rsid w:val="00D43F7D"/>
    <w:rsid w:val="00D63735"/>
    <w:rsid w:val="00D77D0F"/>
    <w:rsid w:val="00DA1CF0"/>
    <w:rsid w:val="00DC1E02"/>
    <w:rsid w:val="00DC24B4"/>
    <w:rsid w:val="00DC5FB0"/>
    <w:rsid w:val="00DF16DC"/>
    <w:rsid w:val="00E45211"/>
    <w:rsid w:val="00E473C5"/>
    <w:rsid w:val="00E61BE8"/>
    <w:rsid w:val="00E83FF1"/>
    <w:rsid w:val="00E92863"/>
    <w:rsid w:val="00E979B2"/>
    <w:rsid w:val="00EB4215"/>
    <w:rsid w:val="00EB796D"/>
    <w:rsid w:val="00EC18DC"/>
    <w:rsid w:val="00ED32FF"/>
    <w:rsid w:val="00F058DC"/>
    <w:rsid w:val="00F24FC4"/>
    <w:rsid w:val="00F2676C"/>
    <w:rsid w:val="00F363FE"/>
    <w:rsid w:val="00F50E3F"/>
    <w:rsid w:val="00F84366"/>
    <w:rsid w:val="00F85089"/>
    <w:rsid w:val="00F974C5"/>
    <w:rsid w:val="00FA3763"/>
    <w:rsid w:val="00FA6F46"/>
    <w:rsid w:val="00FC0E94"/>
    <w:rsid w:val="00FC4592"/>
    <w:rsid w:val="00FD527F"/>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B0119D"/>
  <w15:chartTrackingRefBased/>
  <w15:docId w15:val="{7473FBC2-8CEC-4DDE-8C55-0410A37E0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5081"/>
    <w:pPr>
      <w:tabs>
        <w:tab w:val="left" w:pos="794"/>
      </w:tabs>
      <w:bidi/>
      <w:spacing w:before="120" w:after="12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_i"/>
    <w:basedOn w:val="Normal"/>
    <w:qFormat/>
    <w:rsid w:val="00F974C5"/>
    <w:pPr>
      <w:keepNext/>
      <w:keepLines/>
      <w:spacing w:before="160"/>
    </w:pPr>
    <w:rPr>
      <w:i/>
      <w:iCs/>
    </w:rPr>
  </w:style>
  <w:style w:type="paragraph" w:customStyle="1" w:styleId="AgendaItem">
    <w:name w:val="Agenda Item"/>
    <w:basedOn w:val="Normal"/>
    <w:qFormat/>
    <w:rsid w:val="00F974C5"/>
    <w:pPr>
      <w:spacing w:before="360"/>
      <w:jc w:val="center"/>
    </w:pPr>
    <w:rPr>
      <w:sz w:val="26"/>
      <w:szCs w:val="26"/>
      <w:lang w:bidi="ar-SY"/>
    </w:rPr>
  </w:style>
  <w:style w:type="paragraph" w:customStyle="1" w:styleId="AnnexNo">
    <w:name w:val="Annex_No"/>
    <w:basedOn w:val="AgendaItem"/>
    <w:qFormat/>
    <w:rsid w:val="00F974C5"/>
  </w:style>
  <w:style w:type="paragraph" w:customStyle="1" w:styleId="Annextitle">
    <w:name w:val="Annex_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_No"/>
    <w:basedOn w:val="Normal"/>
    <w:qFormat/>
    <w:rsid w:val="00F974C5"/>
    <w:pPr>
      <w:keepNext/>
      <w:keepLines/>
      <w:spacing w:before="360"/>
      <w:jc w:val="center"/>
    </w:pPr>
    <w:rPr>
      <w:sz w:val="26"/>
      <w:szCs w:val="26"/>
      <w:lang w:bidi="ar-SY"/>
    </w:rPr>
  </w:style>
  <w:style w:type="paragraph" w:customStyle="1" w:styleId="Appendixtitle">
    <w:name w:val="Appendix_title"/>
    <w:basedOn w:val="Normal"/>
    <w:qFormat/>
    <w:rsid w:val="00F974C5"/>
    <w:pPr>
      <w:keepNext/>
      <w:keepLines/>
      <w:spacing w:after="360"/>
      <w:jc w:val="center"/>
    </w:pPr>
    <w:rPr>
      <w:b/>
      <w:bCs/>
      <w:sz w:val="28"/>
      <w:szCs w:val="28"/>
    </w:rPr>
  </w:style>
  <w:style w:type="paragraph" w:customStyle="1" w:styleId="ArticleNo">
    <w:name w:val="Article_No"/>
    <w:basedOn w:val="Normal"/>
    <w:qFormat/>
    <w:rsid w:val="00F974C5"/>
    <w:pPr>
      <w:keepNext/>
      <w:keepLines/>
      <w:spacing w:after="360"/>
      <w:jc w:val="center"/>
    </w:pPr>
    <w:rPr>
      <w:sz w:val="26"/>
      <w:szCs w:val="26"/>
      <w:lang w:bidi="ar-SY"/>
    </w:rPr>
  </w:style>
  <w:style w:type="paragraph" w:customStyle="1" w:styleId="Articletitle">
    <w:name w:val="Article_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_No"/>
    <w:basedOn w:val="Normal"/>
    <w:qFormat/>
    <w:rsid w:val="00F974C5"/>
    <w:pPr>
      <w:keepNext/>
      <w:keepLines/>
      <w:spacing w:before="600"/>
      <w:jc w:val="center"/>
    </w:pPr>
    <w:rPr>
      <w:sz w:val="28"/>
      <w:szCs w:val="28"/>
      <w:lang w:bidi="ar-SY"/>
    </w:rPr>
  </w:style>
  <w:style w:type="paragraph" w:customStyle="1" w:styleId="Chaptertitle">
    <w:name w:val="Chapter_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1"/>
    <w:basedOn w:val="Normal"/>
    <w:qFormat/>
    <w:rsid w:val="00077A58"/>
    <w:pPr>
      <w:spacing w:before="80" w:after="80"/>
      <w:ind w:left="794" w:hanging="794"/>
      <w:outlineLvl w:val="0"/>
    </w:pPr>
    <w:rPr>
      <w:lang w:bidi="ar-SY"/>
    </w:rPr>
  </w:style>
  <w:style w:type="paragraph" w:customStyle="1" w:styleId="enumlev2">
    <w:name w:val="enumlev2"/>
    <w:basedOn w:val="Normal"/>
    <w:next w:val="enumlev1"/>
    <w:qFormat/>
    <w:rsid w:val="00077A58"/>
    <w:pPr>
      <w:spacing w:before="80" w:after="80"/>
      <w:ind w:left="1588" w:hanging="794"/>
      <w:outlineLvl w:val="1"/>
    </w:pPr>
  </w:style>
  <w:style w:type="paragraph" w:customStyle="1" w:styleId="enumlev3">
    <w:name w:val="enumlev3"/>
    <w:basedOn w:val="Normal"/>
    <w:qFormat/>
    <w:rsid w:val="00077A58"/>
    <w:pPr>
      <w:spacing w:before="80" w:after="80"/>
      <w:ind w:left="2382" w:hanging="794"/>
      <w:outlineLvl w:val="2"/>
    </w:pPr>
    <w:rPr>
      <w:lang w:bidi="ar-SY"/>
    </w:rPr>
  </w:style>
  <w:style w:type="paragraph" w:customStyle="1" w:styleId="Figurelegend">
    <w:name w:val="Figure_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aliases w:val="Footnote_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_No"/>
    <w:basedOn w:val="Normal"/>
    <w:qFormat/>
    <w:rsid w:val="00F974C5"/>
    <w:pPr>
      <w:keepNext/>
      <w:keepLines/>
      <w:spacing w:before="360"/>
      <w:jc w:val="center"/>
    </w:pPr>
    <w:rPr>
      <w:sz w:val="26"/>
      <w:szCs w:val="26"/>
    </w:rPr>
  </w:style>
  <w:style w:type="paragraph" w:customStyle="1" w:styleId="Parttitle">
    <w:name w:val="Part_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_1"/>
    <w:basedOn w:val="Normal"/>
    <w:qFormat/>
    <w:rsid w:val="00F974C5"/>
    <w:pPr>
      <w:keepNext/>
      <w:spacing w:before="360" w:after="240"/>
      <w:jc w:val="center"/>
    </w:pPr>
    <w:rPr>
      <w:b/>
      <w:bCs/>
      <w:sz w:val="26"/>
      <w:szCs w:val="26"/>
      <w:lang w:bidi="ar-SY"/>
    </w:rPr>
  </w:style>
  <w:style w:type="paragraph" w:customStyle="1" w:styleId="Section2">
    <w:name w:val="Section_2"/>
    <w:basedOn w:val="Section1"/>
    <w:qFormat/>
    <w:rsid w:val="00F974C5"/>
    <w:pPr>
      <w:spacing w:before="240"/>
    </w:pPr>
    <w:rPr>
      <w:b w:val="0"/>
      <w:bCs w:val="0"/>
    </w:rPr>
  </w:style>
  <w:style w:type="paragraph" w:customStyle="1" w:styleId="SectionNo">
    <w:name w:val="Section_No"/>
    <w:basedOn w:val="Normal"/>
    <w:qFormat/>
    <w:rsid w:val="00F974C5"/>
    <w:pPr>
      <w:keepNext/>
      <w:keepLines/>
      <w:spacing w:before="36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jc w:val="center"/>
    </w:pPr>
    <w:rPr>
      <w:b/>
      <w:bCs/>
      <w:sz w:val="32"/>
      <w:szCs w:val="32"/>
    </w:rPr>
  </w:style>
  <w:style w:type="paragraph" w:customStyle="1" w:styleId="FigureNo">
    <w:name w:val="Figure_No"/>
    <w:basedOn w:val="Normal"/>
    <w:qFormat/>
    <w:rsid w:val="00F974C5"/>
    <w:pPr>
      <w:keepNext/>
      <w:spacing w:before="240"/>
      <w:jc w:val="center"/>
    </w:pPr>
    <w:rPr>
      <w:lang w:bidi="ar-SY"/>
    </w:rPr>
  </w:style>
  <w:style w:type="paragraph" w:customStyle="1" w:styleId="Figuretitle">
    <w:name w:val="Figure_title"/>
    <w:basedOn w:val="Normal"/>
    <w:qFormat/>
    <w:rsid w:val="00F974C5"/>
    <w:pPr>
      <w:keepNext/>
      <w:spacing w:after="240"/>
      <w:jc w:val="center"/>
    </w:pPr>
    <w:rPr>
      <w:b/>
      <w:bCs/>
    </w:rPr>
  </w:style>
  <w:style w:type="paragraph" w:customStyle="1" w:styleId="TableNo">
    <w:name w:val="Table_No"/>
    <w:basedOn w:val="Normal"/>
    <w:qFormat/>
    <w:rsid w:val="00F974C5"/>
    <w:pPr>
      <w:keepNext/>
      <w:spacing w:before="240"/>
      <w:jc w:val="center"/>
    </w:pPr>
    <w:rPr>
      <w:lang w:bidi="ar-SY"/>
    </w:rPr>
  </w:style>
  <w:style w:type="paragraph" w:customStyle="1" w:styleId="Tabletitle">
    <w:name w:val="Table_title"/>
    <w:basedOn w:val="TableNo"/>
    <w:qFormat/>
    <w:rsid w:val="00F974C5"/>
    <w:pPr>
      <w:spacing w:before="120" w:after="240"/>
    </w:pPr>
    <w:rPr>
      <w:b/>
      <w:bCs/>
    </w:rPr>
  </w:style>
  <w:style w:type="paragraph" w:customStyle="1" w:styleId="Tablehead">
    <w:name w:val="Table_head"/>
    <w:basedOn w:val="Normal"/>
    <w:qFormat/>
    <w:rsid w:val="00F974C5"/>
    <w:pPr>
      <w:keepNext/>
      <w:spacing w:before="60" w:after="60" w:line="260" w:lineRule="exact"/>
      <w:jc w:val="center"/>
    </w:pPr>
    <w:rPr>
      <w:b/>
      <w:bCs/>
      <w:sz w:val="20"/>
      <w:szCs w:val="20"/>
    </w:rPr>
  </w:style>
  <w:style w:type="paragraph" w:customStyle="1" w:styleId="Tabletexte">
    <w:name w:val="Table_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_No"/>
    <w:basedOn w:val="Normal"/>
    <w:qFormat/>
    <w:rsid w:val="00F974C5"/>
    <w:pPr>
      <w:keepNext/>
      <w:spacing w:before="360"/>
      <w:jc w:val="center"/>
    </w:pPr>
    <w:rPr>
      <w:sz w:val="26"/>
      <w:szCs w:val="26"/>
      <w:lang w:bidi="ar-SY"/>
    </w:rPr>
  </w:style>
  <w:style w:type="paragraph" w:customStyle="1" w:styleId="Volumetitle">
    <w:name w:val="Volume_title"/>
    <w:basedOn w:val="VolumeNo"/>
    <w:qFormat/>
    <w:rsid w:val="00F974C5"/>
    <w:pPr>
      <w:spacing w:before="120" w:after="360"/>
    </w:pPr>
    <w:rPr>
      <w:b/>
      <w:bCs/>
      <w:sz w:val="28"/>
      <w:szCs w:val="28"/>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_No"/>
    <w:basedOn w:val="Normal"/>
    <w:qFormat/>
    <w:rsid w:val="00F974C5"/>
    <w:pPr>
      <w:keepNext/>
      <w:keepLines/>
      <w:spacing w:before="360"/>
      <w:jc w:val="center"/>
    </w:pPr>
    <w:rPr>
      <w:sz w:val="26"/>
      <w:szCs w:val="26"/>
    </w:rPr>
  </w:style>
  <w:style w:type="paragraph" w:customStyle="1" w:styleId="Opiniontitle">
    <w:name w:val="Opinion_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96716C"/>
    <w:rPr>
      <w:rFonts w:ascii="Dubai" w:hAnsi="Dubai" w:cs="Dubai"/>
      <w:noProof/>
      <w:color w:val="5B9BD5"/>
      <w:u w:val="single" w:color="5B9BD5"/>
      <w:lang w:val="en-GB" w:eastAsia="en-US"/>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_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_legend"/>
    <w:basedOn w:val="Normal"/>
    <w:qFormat/>
    <w:rsid w:val="00F974C5"/>
    <w:pPr>
      <w:spacing w:before="80"/>
    </w:pPr>
    <w:rPr>
      <w:lang w:bidi="ar-SY"/>
    </w:rPr>
  </w:style>
  <w:style w:type="paragraph" w:customStyle="1" w:styleId="Headingb">
    <w:name w:val="Heading_b"/>
    <w:basedOn w:val="Normal"/>
    <w:qFormat/>
    <w:rsid w:val="008339C0"/>
    <w:pPr>
      <w:keepNext/>
      <w:spacing w:before="240"/>
      <w:ind w:left="1134" w:hanging="1134"/>
    </w:pPr>
    <w:rPr>
      <w:b/>
      <w:bCs/>
      <w:sz w:val="24"/>
      <w:szCs w:val="24"/>
    </w:rPr>
  </w:style>
  <w:style w:type="table" w:styleId="GridTable5Dark-Accent1">
    <w:name w:val="Grid Table 5 Dark Accent 1"/>
    <w:basedOn w:val="TableNormal"/>
    <w:uiPriority w:val="50"/>
    <w:rsid w:val="00E61BE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Subtitle0">
    <w:name w:val="Sub_title"/>
    <w:basedOn w:val="Normal"/>
    <w:qFormat/>
    <w:rsid w:val="007B0AA0"/>
    <w:rPr>
      <w:sz w:val="30"/>
      <w:szCs w:val="30"/>
      <w:lang w:bidi="ar-EG"/>
    </w:rPr>
  </w:style>
  <w:style w:type="table" w:customStyle="1" w:styleId="TableGrid1">
    <w:name w:val="Table Grid1"/>
    <w:basedOn w:val="TableNormal"/>
    <w:next w:val="TableGrid"/>
    <w:uiPriority w:val="39"/>
    <w:rsid w:val="007B0AA0"/>
    <w:pPr>
      <w:spacing w:after="0" w:line="240" w:lineRule="auto"/>
    </w:pPr>
    <w:rPr>
      <w:rFonts w:eastAsia="Calibr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60DEA"/>
    <w:rPr>
      <w:color w:val="605E5C"/>
      <w:shd w:val="clear" w:color="auto" w:fill="E1DFDD"/>
    </w:rPr>
  </w:style>
  <w:style w:type="character" w:styleId="FollowedHyperlink">
    <w:name w:val="FollowedHyperlink"/>
    <w:basedOn w:val="DefaultParagraphFont"/>
    <w:uiPriority w:val="99"/>
    <w:semiHidden/>
    <w:unhideWhenUsed/>
    <w:rsid w:val="00C06F17"/>
    <w:rPr>
      <w:color w:val="954F72" w:themeColor="followedHyperlink"/>
      <w:u w:val="single"/>
    </w:rPr>
  </w:style>
  <w:style w:type="paragraph" w:styleId="Revision">
    <w:name w:val="Revision"/>
    <w:hidden/>
    <w:uiPriority w:val="99"/>
    <w:semiHidden/>
    <w:rsid w:val="00A03252"/>
    <w:pPr>
      <w:spacing w:after="0" w:line="240" w:lineRule="auto"/>
    </w:pPr>
    <w:rPr>
      <w:rFonts w:ascii="Dubai" w:hAnsi="Dubai" w:cs="Duba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641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u.int/en/council/Documents/basic-texts-2023/RES-025-A.pd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md/S25-CL-C-0050/e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25-CWGFHR20-C-0032/en"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itu.int/md/S25-CL-C-0069/en" TargetMode="External"/><Relationship Id="rId4" Type="http://schemas.openxmlformats.org/officeDocument/2006/relationships/settings" Target="settings.xml"/><Relationship Id="rId9" Type="http://schemas.openxmlformats.org/officeDocument/2006/relationships/hyperlink" Target="https://www.itu.int/md/S25-CL-C-0050/en"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s://council.itu.int/2025/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Pool\Templates\Arabic%20Templates%202025\SG\PA_Council%2020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428108-4966-4581-8805-B68FC0355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PA_Council 2025.dotx</Template>
  <TotalTime>0</TotalTime>
  <Pages>3</Pages>
  <Words>827</Words>
  <Characters>4817</Characters>
  <Application>Microsoft Office Word</Application>
  <DocSecurity>0</DocSecurity>
  <Lines>73</Lines>
  <Paragraphs>27</Paragraphs>
  <ScaleCrop>false</ScaleCrop>
  <HeadingPairs>
    <vt:vector size="2" baseType="variant">
      <vt:variant>
        <vt:lpstr>Title</vt:lpstr>
      </vt:variant>
      <vt:variant>
        <vt:i4>1</vt:i4>
      </vt:variant>
    </vt:vector>
  </HeadingPairs>
  <TitlesOfParts>
    <vt:vector size="1" baseType="lpstr">
      <vt:lpstr/>
    </vt:vector>
  </TitlesOfParts>
  <Company>International Telecommunication Union</Company>
  <LinksUpToDate>false</LinksUpToDate>
  <CharactersWithSpaces>5617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on the review of ITU regional presence</dc:title>
  <dc:subject>ITU Council 2025</dc:subject>
  <cp:keywords>C2025, C25, Council-25</cp:keywords>
  <dc:description/>
  <dcterms:created xsi:type="dcterms:W3CDTF">2025-06-18T06:34:00Z</dcterms:created>
  <dcterms:modified xsi:type="dcterms:W3CDTF">2025-06-18T06:34:00Z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4764bc0ed8aab6cc3f228418da0bf4d692034987165b3c327d8e9737cd820415</vt:lpwstr>
  </property>
</Properties>
</file>