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66327208" w14:textId="77777777" w:rsidTr="00C538FC">
        <w:trPr>
          <w:cantSplit/>
          <w:trHeight w:val="23"/>
        </w:trPr>
        <w:tc>
          <w:tcPr>
            <w:tcW w:w="3969" w:type="dxa"/>
            <w:vMerge w:val="restart"/>
            <w:tcMar>
              <w:left w:w="0" w:type="dxa"/>
            </w:tcMar>
          </w:tcPr>
          <w:p w14:paraId="0178622A" w14:textId="7827947A" w:rsidR="00FE57F6" w:rsidRPr="00BB6FD8" w:rsidRDefault="00603B35" w:rsidP="00C538FC">
            <w:pPr>
              <w:tabs>
                <w:tab w:val="left" w:pos="851"/>
              </w:tabs>
              <w:spacing w:before="0" w:line="240" w:lineRule="atLeast"/>
              <w:rPr>
                <w:b/>
              </w:rPr>
            </w:pPr>
            <w:bookmarkStart w:id="0" w:name="_Hlk133421839"/>
            <w:r>
              <w:rPr>
                <w:b/>
              </w:rPr>
              <w:t>Punto del o</w:t>
            </w:r>
            <w:r w:rsidR="00BB6FD8" w:rsidRPr="00BB6FD8">
              <w:rPr>
                <w:b/>
              </w:rPr>
              <w:t>rden del día</w:t>
            </w:r>
            <w:r w:rsidR="00FE57F6" w:rsidRPr="00BB6FD8">
              <w:rPr>
                <w:b/>
              </w:rPr>
              <w:t xml:space="preserve">: </w:t>
            </w:r>
            <w:r w:rsidR="00B7139B">
              <w:rPr>
                <w:b/>
              </w:rPr>
              <w:t>PL 2</w:t>
            </w:r>
          </w:p>
        </w:tc>
        <w:tc>
          <w:tcPr>
            <w:tcW w:w="5245" w:type="dxa"/>
          </w:tcPr>
          <w:p w14:paraId="025A887A" w14:textId="732C4D0C" w:rsidR="00FE57F6" w:rsidRPr="00BB6FD8" w:rsidRDefault="00FE57F6" w:rsidP="00C538FC">
            <w:pPr>
              <w:tabs>
                <w:tab w:val="left" w:pos="851"/>
              </w:tabs>
              <w:spacing w:before="0" w:line="240" w:lineRule="atLeast"/>
              <w:jc w:val="right"/>
              <w:rPr>
                <w:b/>
              </w:rPr>
            </w:pPr>
            <w:r w:rsidRPr="00BB6FD8">
              <w:rPr>
                <w:b/>
              </w:rPr>
              <w:t>Document</w:t>
            </w:r>
            <w:r w:rsidR="00F24B71" w:rsidRPr="00BB6FD8">
              <w:rPr>
                <w:b/>
              </w:rPr>
              <w:t>o</w:t>
            </w:r>
            <w:r w:rsidRPr="00BB6FD8">
              <w:rPr>
                <w:b/>
              </w:rPr>
              <w:t xml:space="preserve"> C2</w:t>
            </w:r>
            <w:r w:rsidR="00BB6FD8" w:rsidRPr="00BB6FD8">
              <w:rPr>
                <w:b/>
              </w:rPr>
              <w:t>5</w:t>
            </w:r>
            <w:r w:rsidRPr="00BB6FD8">
              <w:rPr>
                <w:b/>
              </w:rPr>
              <w:t>/</w:t>
            </w:r>
            <w:r w:rsidR="00B7139B">
              <w:rPr>
                <w:b/>
              </w:rPr>
              <w:t>92</w:t>
            </w:r>
            <w:r w:rsidRPr="00BB6FD8">
              <w:rPr>
                <w:b/>
              </w:rPr>
              <w:t>-</w:t>
            </w:r>
            <w:r w:rsidR="00F24B71" w:rsidRPr="00BB6FD8">
              <w:rPr>
                <w:b/>
              </w:rPr>
              <w:t>S</w:t>
            </w:r>
          </w:p>
        </w:tc>
      </w:tr>
      <w:tr w:rsidR="00FE57F6" w:rsidRPr="00666D09" w14:paraId="12AF8AF8" w14:textId="77777777" w:rsidTr="00C538FC">
        <w:trPr>
          <w:cantSplit/>
        </w:trPr>
        <w:tc>
          <w:tcPr>
            <w:tcW w:w="3969" w:type="dxa"/>
            <w:vMerge/>
          </w:tcPr>
          <w:p w14:paraId="384D8DB6" w14:textId="77777777" w:rsidR="00FE57F6" w:rsidRPr="00BB6FD8" w:rsidRDefault="00FE57F6" w:rsidP="00C538FC">
            <w:pPr>
              <w:tabs>
                <w:tab w:val="left" w:pos="851"/>
              </w:tabs>
              <w:spacing w:line="240" w:lineRule="atLeast"/>
              <w:rPr>
                <w:b/>
              </w:rPr>
            </w:pPr>
          </w:p>
        </w:tc>
        <w:tc>
          <w:tcPr>
            <w:tcW w:w="5245" w:type="dxa"/>
          </w:tcPr>
          <w:p w14:paraId="12424075" w14:textId="53FF839B" w:rsidR="00FE57F6" w:rsidRPr="00666D09" w:rsidRDefault="00B7139B" w:rsidP="00C538FC">
            <w:pPr>
              <w:tabs>
                <w:tab w:val="left" w:pos="851"/>
              </w:tabs>
              <w:spacing w:before="0"/>
              <w:jc w:val="right"/>
              <w:rPr>
                <w:b/>
                <w:lang w:val="en-GB"/>
              </w:rPr>
            </w:pPr>
            <w:r>
              <w:rPr>
                <w:b/>
              </w:rPr>
              <w:t>3 de junio de 2025</w:t>
            </w:r>
          </w:p>
        </w:tc>
      </w:tr>
      <w:tr w:rsidR="00FE57F6" w:rsidRPr="00BB6FD8" w14:paraId="53F66821" w14:textId="77777777" w:rsidTr="00C538FC">
        <w:trPr>
          <w:cantSplit/>
          <w:trHeight w:val="23"/>
        </w:trPr>
        <w:tc>
          <w:tcPr>
            <w:tcW w:w="3969" w:type="dxa"/>
            <w:vMerge/>
          </w:tcPr>
          <w:p w14:paraId="737303FD" w14:textId="77777777" w:rsidR="00FE57F6" w:rsidRPr="00666D09" w:rsidRDefault="00FE57F6" w:rsidP="00C538FC">
            <w:pPr>
              <w:tabs>
                <w:tab w:val="left" w:pos="851"/>
              </w:tabs>
              <w:spacing w:line="240" w:lineRule="atLeast"/>
              <w:rPr>
                <w:b/>
                <w:lang w:val="en-GB"/>
              </w:rPr>
            </w:pPr>
          </w:p>
        </w:tc>
        <w:tc>
          <w:tcPr>
            <w:tcW w:w="5245" w:type="dxa"/>
          </w:tcPr>
          <w:p w14:paraId="1E6CEE15" w14:textId="77777777" w:rsidR="00FE57F6" w:rsidRPr="00BB6FD8" w:rsidRDefault="00F24B71" w:rsidP="00C538FC">
            <w:pPr>
              <w:tabs>
                <w:tab w:val="left" w:pos="851"/>
              </w:tabs>
              <w:spacing w:before="0" w:line="240" w:lineRule="atLeast"/>
              <w:jc w:val="right"/>
              <w:rPr>
                <w:b/>
                <w:bCs/>
              </w:rPr>
            </w:pPr>
            <w:r w:rsidRPr="00BB6FD8">
              <w:rPr>
                <w:rFonts w:cstheme="minorHAnsi"/>
                <w:b/>
                <w:bCs/>
              </w:rPr>
              <w:t>Original: inglés</w:t>
            </w:r>
          </w:p>
        </w:tc>
      </w:tr>
      <w:tr w:rsidR="00FE57F6" w:rsidRPr="00BB6FD8" w14:paraId="2C9B82DA" w14:textId="77777777" w:rsidTr="00C538FC">
        <w:trPr>
          <w:cantSplit/>
          <w:trHeight w:val="23"/>
        </w:trPr>
        <w:tc>
          <w:tcPr>
            <w:tcW w:w="3969" w:type="dxa"/>
          </w:tcPr>
          <w:p w14:paraId="2F05A549" w14:textId="77777777" w:rsidR="00FE57F6" w:rsidRPr="00BB6FD8" w:rsidRDefault="00FE57F6" w:rsidP="00C538FC">
            <w:pPr>
              <w:tabs>
                <w:tab w:val="left" w:pos="851"/>
              </w:tabs>
              <w:spacing w:line="240" w:lineRule="atLeast"/>
              <w:rPr>
                <w:b/>
              </w:rPr>
            </w:pPr>
          </w:p>
        </w:tc>
        <w:tc>
          <w:tcPr>
            <w:tcW w:w="5245" w:type="dxa"/>
          </w:tcPr>
          <w:p w14:paraId="06A2BF8F" w14:textId="77777777" w:rsidR="00FE57F6" w:rsidRPr="00BB6FD8" w:rsidRDefault="00FE57F6" w:rsidP="00C538FC">
            <w:pPr>
              <w:tabs>
                <w:tab w:val="left" w:pos="851"/>
              </w:tabs>
              <w:spacing w:before="0" w:line="240" w:lineRule="atLeast"/>
              <w:jc w:val="right"/>
              <w:rPr>
                <w:b/>
              </w:rPr>
            </w:pPr>
          </w:p>
        </w:tc>
      </w:tr>
      <w:tr w:rsidR="00FE57F6" w:rsidRPr="00BB6FD8" w14:paraId="0F404FC1" w14:textId="77777777" w:rsidTr="00C538FC">
        <w:trPr>
          <w:cantSplit/>
        </w:trPr>
        <w:tc>
          <w:tcPr>
            <w:tcW w:w="9214" w:type="dxa"/>
            <w:gridSpan w:val="2"/>
            <w:tcMar>
              <w:left w:w="0" w:type="dxa"/>
            </w:tcMar>
          </w:tcPr>
          <w:p w14:paraId="64F7BDFC" w14:textId="36F5AAF5" w:rsidR="00FE57F6" w:rsidRPr="00BB6FD8" w:rsidRDefault="00B7139B" w:rsidP="00C538FC">
            <w:pPr>
              <w:pStyle w:val="Source"/>
              <w:jc w:val="left"/>
              <w:rPr>
                <w:sz w:val="34"/>
                <w:szCs w:val="34"/>
              </w:rPr>
            </w:pPr>
            <w:r>
              <w:rPr>
                <w:rFonts w:cstheme="minorHAnsi"/>
                <w:sz w:val="34"/>
                <w:szCs w:val="34"/>
              </w:rPr>
              <w:t>C</w:t>
            </w:r>
            <w:r w:rsidRPr="00B7139B">
              <w:rPr>
                <w:rFonts w:cstheme="minorHAnsi"/>
                <w:sz w:val="34"/>
                <w:szCs w:val="34"/>
              </w:rPr>
              <w:t>ontribución de Sud</w:t>
            </w:r>
            <w:r w:rsidR="003400E7">
              <w:rPr>
                <w:rFonts w:cstheme="minorHAnsi"/>
                <w:sz w:val="34"/>
                <w:szCs w:val="34"/>
              </w:rPr>
              <w:t>a</w:t>
            </w:r>
            <w:r w:rsidRPr="00B7139B">
              <w:rPr>
                <w:rFonts w:cstheme="minorHAnsi"/>
                <w:sz w:val="34"/>
                <w:szCs w:val="34"/>
              </w:rPr>
              <w:t>frica</w:t>
            </w:r>
            <w:r w:rsidR="003400E7">
              <w:rPr>
                <w:rFonts w:cstheme="minorHAnsi"/>
                <w:sz w:val="34"/>
                <w:szCs w:val="34"/>
              </w:rPr>
              <w:t>na</w:t>
            </w:r>
            <w:r w:rsidRPr="00B7139B">
              <w:rPr>
                <w:rFonts w:cstheme="minorHAnsi"/>
                <w:sz w:val="34"/>
                <w:szCs w:val="34"/>
              </w:rPr>
              <w:t xml:space="preserve"> (República), Arabia Saudita (Reino de), Egipto (República Árabe de) y </w:t>
            </w:r>
            <w:proofErr w:type="spellStart"/>
            <w:r w:rsidRPr="00B7139B">
              <w:rPr>
                <w:rFonts w:cstheme="minorHAnsi"/>
                <w:sz w:val="34"/>
                <w:szCs w:val="34"/>
              </w:rPr>
              <w:t>Kenya</w:t>
            </w:r>
            <w:proofErr w:type="spellEnd"/>
            <w:r w:rsidRPr="00B7139B">
              <w:rPr>
                <w:rFonts w:cstheme="minorHAnsi"/>
                <w:sz w:val="34"/>
                <w:szCs w:val="34"/>
              </w:rPr>
              <w:t xml:space="preserve"> (República de)</w:t>
            </w:r>
          </w:p>
        </w:tc>
      </w:tr>
      <w:tr w:rsidR="00FE57F6" w:rsidRPr="00BB6FD8" w14:paraId="0E819BF1" w14:textId="77777777" w:rsidTr="00C538FC">
        <w:trPr>
          <w:cantSplit/>
        </w:trPr>
        <w:tc>
          <w:tcPr>
            <w:tcW w:w="9214" w:type="dxa"/>
            <w:gridSpan w:val="2"/>
            <w:tcMar>
              <w:left w:w="0" w:type="dxa"/>
            </w:tcMar>
          </w:tcPr>
          <w:p w14:paraId="31406579" w14:textId="44D0616F" w:rsidR="00FE57F6" w:rsidRPr="00F92BED" w:rsidRDefault="000516C1" w:rsidP="00F92BED">
            <w:pPr>
              <w:pStyle w:val="Subtitle"/>
              <w:framePr w:hSpace="0" w:wrap="auto" w:vAnchor="margin" w:hAnchor="text" w:xAlign="left" w:yAlign="inline"/>
            </w:pPr>
            <w:r w:rsidRPr="00B7139B">
              <w:t>INFORME DE LOS RESULTADOS DE LAS 3ª Y 4ª REUNIONES DEL GRUPO DE EXPERTOS SOBRE EL REGLAMENTO DE LAS TELECOMUNICACIONES INTERNACIONALES</w:t>
            </w:r>
          </w:p>
        </w:tc>
      </w:tr>
      <w:tr w:rsidR="00FE57F6" w:rsidRPr="00BB6FD8" w14:paraId="7454F803" w14:textId="77777777" w:rsidTr="00C538FC">
        <w:trPr>
          <w:cantSplit/>
        </w:trPr>
        <w:tc>
          <w:tcPr>
            <w:tcW w:w="9214" w:type="dxa"/>
            <w:gridSpan w:val="2"/>
            <w:tcBorders>
              <w:top w:val="single" w:sz="4" w:space="0" w:color="auto"/>
              <w:bottom w:val="single" w:sz="4" w:space="0" w:color="auto"/>
            </w:tcBorders>
            <w:tcMar>
              <w:left w:w="0" w:type="dxa"/>
            </w:tcMar>
          </w:tcPr>
          <w:p w14:paraId="1D481CE2" w14:textId="77777777" w:rsidR="00FE57F6" w:rsidRPr="00BB6FD8" w:rsidRDefault="00F24B71" w:rsidP="00C538FC">
            <w:pPr>
              <w:spacing w:before="160"/>
              <w:rPr>
                <w:b/>
                <w:bCs/>
                <w:sz w:val="26"/>
                <w:szCs w:val="26"/>
              </w:rPr>
            </w:pPr>
            <w:r w:rsidRPr="00BB6FD8">
              <w:rPr>
                <w:b/>
                <w:bCs/>
                <w:sz w:val="26"/>
                <w:szCs w:val="26"/>
              </w:rPr>
              <w:t>Finalidad</w:t>
            </w:r>
          </w:p>
          <w:p w14:paraId="7288C3A5" w14:textId="7FF2537F" w:rsidR="00FE57F6" w:rsidRPr="00BB6FD8" w:rsidRDefault="00B7139B" w:rsidP="00B7139B">
            <w:pPr>
              <w:jc w:val="both"/>
            </w:pPr>
            <w:r w:rsidRPr="00B7139B">
              <w:t>La presente contribución tiene por objeto destacar ante el Consejo la importancia del Reglamento de las Telecomunicaciones Internacionales (RTI) para garantizar que todas las personas puedan beneficiarse del uso y el desarrollo de las tecnologías de la información y la comunicación (TIC). El RTI desempeña un papel esencial en el fomento de un mundo conectado e inclusivo. Por consiguiente, debe revisarse para adaptarlo a las nuevas tendencias y cuestiones incipientes en los sectores de las telecomunicaciones y las TIC.</w:t>
            </w:r>
          </w:p>
          <w:p w14:paraId="03C67DF7"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70DB2B4B" w14:textId="08BA35BC" w:rsidR="00F92BED" w:rsidRPr="00F92BED" w:rsidRDefault="00B7139B" w:rsidP="00F92BED">
            <w:pPr>
              <w:spacing w:before="160"/>
              <w:rPr>
                <w:szCs w:val="24"/>
                <w:lang w:val="es-ES"/>
              </w:rPr>
            </w:pPr>
            <w:r w:rsidRPr="00B7139B">
              <w:rPr>
                <w:szCs w:val="24"/>
              </w:rPr>
              <w:t xml:space="preserve">Se invita al Consejo a </w:t>
            </w:r>
            <w:r w:rsidRPr="00B7139B">
              <w:rPr>
                <w:b/>
                <w:bCs/>
                <w:szCs w:val="24"/>
              </w:rPr>
              <w:t>examinar</w:t>
            </w:r>
            <w:r w:rsidRPr="00B7139B">
              <w:rPr>
                <w:szCs w:val="24"/>
              </w:rPr>
              <w:t xml:space="preserve"> y </w:t>
            </w:r>
            <w:r w:rsidRPr="00B7139B">
              <w:rPr>
                <w:b/>
                <w:bCs/>
                <w:szCs w:val="24"/>
              </w:rPr>
              <w:t xml:space="preserve">tomar nota </w:t>
            </w:r>
            <w:r w:rsidRPr="00B7139B">
              <w:rPr>
                <w:szCs w:val="24"/>
              </w:rPr>
              <w:t>de la presente contribución.</w:t>
            </w:r>
          </w:p>
          <w:p w14:paraId="7E9D00A0" w14:textId="77777777" w:rsidR="00FE57F6" w:rsidRPr="00BB6FD8" w:rsidRDefault="00FE57F6" w:rsidP="00C538FC">
            <w:pPr>
              <w:spacing w:before="160"/>
              <w:rPr>
                <w:caps/>
                <w:sz w:val="22"/>
              </w:rPr>
            </w:pPr>
            <w:r w:rsidRPr="00BB6FD8">
              <w:rPr>
                <w:sz w:val="22"/>
              </w:rPr>
              <w:t>__________________</w:t>
            </w:r>
          </w:p>
          <w:p w14:paraId="682E0304"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4836AB43" w14:textId="2FC7F80B" w:rsidR="00FE57F6" w:rsidRPr="00DA23D9" w:rsidRDefault="00B7139B" w:rsidP="00C538FC">
            <w:pPr>
              <w:spacing w:after="160"/>
              <w:rPr>
                <w:i/>
                <w:iCs/>
                <w:sz w:val="22"/>
                <w:szCs w:val="22"/>
              </w:rPr>
            </w:pPr>
            <w:r w:rsidRPr="00DA23D9">
              <w:rPr>
                <w:bCs/>
                <w:i/>
                <w:iCs/>
                <w:sz w:val="22"/>
                <w:szCs w:val="22"/>
              </w:rPr>
              <w:t xml:space="preserve">Documento del Consejo </w:t>
            </w:r>
            <w:hyperlink r:id="rId6" w:history="1">
              <w:proofErr w:type="spellStart"/>
              <w:r w:rsidRPr="00DA23D9">
                <w:rPr>
                  <w:rStyle w:val="Hyperlink"/>
                  <w:bCs/>
                  <w:i/>
                  <w:iCs/>
                  <w:sz w:val="22"/>
                  <w:szCs w:val="22"/>
                </w:rPr>
                <w:t>C25</w:t>
              </w:r>
              <w:proofErr w:type="spellEnd"/>
              <w:r w:rsidRPr="00DA23D9">
                <w:rPr>
                  <w:rStyle w:val="Hyperlink"/>
                  <w:bCs/>
                  <w:i/>
                  <w:iCs/>
                  <w:sz w:val="22"/>
                  <w:szCs w:val="22"/>
                </w:rPr>
                <w:t>/26</w:t>
              </w:r>
            </w:hyperlink>
            <w:r w:rsidRPr="00DA23D9">
              <w:rPr>
                <w:bCs/>
                <w:i/>
                <w:iCs/>
                <w:sz w:val="22"/>
                <w:szCs w:val="22"/>
              </w:rPr>
              <w:t xml:space="preserve">; </w:t>
            </w:r>
            <w:hyperlink r:id="rId7" w:history="1">
              <w:r w:rsidRPr="00DA23D9">
                <w:rPr>
                  <w:rStyle w:val="Hyperlink"/>
                  <w:bCs/>
                  <w:i/>
                  <w:iCs/>
                  <w:sz w:val="22"/>
                  <w:szCs w:val="22"/>
                </w:rPr>
                <w:t xml:space="preserve">Resolución 1379 </w:t>
              </w:r>
              <w:r w:rsidRPr="00DA23D9">
                <w:rPr>
                  <w:rStyle w:val="Hyperlink"/>
                  <w:i/>
                  <w:iCs/>
                  <w:sz w:val="22"/>
                  <w:szCs w:val="22"/>
                </w:rPr>
                <w:t>(</w:t>
              </w:r>
              <w:proofErr w:type="spellStart"/>
              <w:r w:rsidRPr="00DA23D9">
                <w:rPr>
                  <w:rStyle w:val="Hyperlink"/>
                  <w:i/>
                  <w:iCs/>
                  <w:sz w:val="22"/>
                  <w:szCs w:val="22"/>
                </w:rPr>
                <w:t>C16</w:t>
              </w:r>
              <w:proofErr w:type="spellEnd"/>
              <w:r w:rsidRPr="00DA23D9">
                <w:rPr>
                  <w:rStyle w:val="Hyperlink"/>
                  <w:i/>
                  <w:iCs/>
                  <w:sz w:val="22"/>
                  <w:szCs w:val="22"/>
                </w:rPr>
                <w:t xml:space="preserve">, modificada en </w:t>
              </w:r>
              <w:proofErr w:type="spellStart"/>
              <w:r w:rsidRPr="00DA23D9">
                <w:rPr>
                  <w:rStyle w:val="Hyperlink"/>
                  <w:i/>
                  <w:iCs/>
                  <w:sz w:val="22"/>
                  <w:szCs w:val="22"/>
                </w:rPr>
                <w:t>C23</w:t>
              </w:r>
              <w:proofErr w:type="spellEnd"/>
              <w:r w:rsidRPr="00DA23D9">
                <w:rPr>
                  <w:rStyle w:val="Hyperlink"/>
                  <w:i/>
                  <w:iCs/>
                  <w:sz w:val="22"/>
                  <w:szCs w:val="22"/>
                </w:rPr>
                <w:t>) del Consejo</w:t>
              </w:r>
            </w:hyperlink>
            <w:r w:rsidRPr="00DA23D9">
              <w:rPr>
                <w:i/>
                <w:iCs/>
                <w:sz w:val="22"/>
                <w:szCs w:val="22"/>
              </w:rPr>
              <w:t xml:space="preserve">; </w:t>
            </w:r>
            <w:r w:rsidR="00DA23D9">
              <w:rPr>
                <w:i/>
                <w:iCs/>
                <w:sz w:val="22"/>
                <w:szCs w:val="22"/>
              </w:rPr>
              <w:br/>
            </w:r>
            <w:hyperlink r:id="rId8" w:history="1">
              <w:r w:rsidRPr="00DA23D9">
                <w:rPr>
                  <w:rStyle w:val="Hyperlink"/>
                  <w:i/>
                  <w:iCs/>
                  <w:sz w:val="22"/>
                  <w:szCs w:val="22"/>
                </w:rPr>
                <w:t>Resolución 146 (Rev. Bucarest, 2022) de la Conferencia de Plenipotenciarios</w:t>
              </w:r>
            </w:hyperlink>
          </w:p>
        </w:tc>
      </w:tr>
      <w:bookmarkEnd w:id="0"/>
    </w:tbl>
    <w:p w14:paraId="7ABB80A6" w14:textId="77777777" w:rsidR="00093EEB" w:rsidRPr="00BB6FD8" w:rsidRDefault="00093EEB"/>
    <w:p w14:paraId="0643605C"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28691E5F" w14:textId="77777777" w:rsidR="00B7139B" w:rsidRPr="00F926F2" w:rsidRDefault="00B7139B" w:rsidP="00A44DA7">
      <w:pPr>
        <w:pStyle w:val="Headingb"/>
        <w:rPr>
          <w:lang w:eastAsia="zh-CN"/>
        </w:rPr>
      </w:pPr>
      <w:r w:rsidRPr="00F926F2">
        <w:rPr>
          <w:lang w:eastAsia="zh-CN"/>
        </w:rPr>
        <w:lastRenderedPageBreak/>
        <w:t>Antecedentes</w:t>
      </w:r>
    </w:p>
    <w:p w14:paraId="63BED8AF" w14:textId="320C888D" w:rsidR="00B7139B" w:rsidRPr="00F926F2" w:rsidRDefault="00B7139B" w:rsidP="00B7139B">
      <w:pPr>
        <w:jc w:val="both"/>
      </w:pPr>
      <w:r w:rsidRPr="00C3029B">
        <w:t>En la Resolución 146 (Rev. Bucarest, 2022) de la Conferencia de Plenipotenciarios se encarga al Consejo de la UIT que, en su reunión de 2023, examine y revise</w:t>
      </w:r>
      <w:r>
        <w:t xml:space="preserve"> </w:t>
      </w:r>
      <w:r w:rsidRPr="00C3029B">
        <w:t xml:space="preserve">el mandato del </w:t>
      </w:r>
      <w:r>
        <w:t>GE-RTI</w:t>
      </w:r>
      <w:r w:rsidRPr="00C3029B">
        <w:t xml:space="preserve">. Por consiguiente, en su reunión de 2023 (11-21 de julio de 2023), el Consejo de la UIT aprobó, entre otros, </w:t>
      </w:r>
      <w:r>
        <w:t>el</w:t>
      </w:r>
      <w:r w:rsidRPr="00C3029B">
        <w:t xml:space="preserve"> siguiente mandato</w:t>
      </w:r>
      <w:r w:rsidRPr="00F926F2">
        <w:t>:</w:t>
      </w:r>
    </w:p>
    <w:p w14:paraId="2B8B97EE" w14:textId="564650C6" w:rsidR="00B7139B" w:rsidRPr="00F926F2" w:rsidRDefault="00B7139B" w:rsidP="00B7139B">
      <w:pPr>
        <w:pStyle w:val="enumlev1"/>
        <w:jc w:val="both"/>
        <w:rPr>
          <w:i/>
          <w:iCs/>
        </w:rPr>
      </w:pPr>
      <w:r w:rsidRPr="00F926F2">
        <w:rPr>
          <w:i/>
          <w:iCs/>
        </w:rPr>
        <w:t>2</w:t>
      </w:r>
      <w:r w:rsidR="003400E7">
        <w:rPr>
          <w:i/>
          <w:iCs/>
        </w:rPr>
        <w:t>)</w:t>
      </w:r>
      <w:r w:rsidRPr="00F926F2">
        <w:rPr>
          <w:i/>
          <w:iCs/>
        </w:rPr>
        <w:tab/>
        <w:t xml:space="preserve">Teniendo en cuenta la labor de los dos anteriores Grupos de Expertos, en el examen se podrán abordar, entre otras cosas: </w:t>
      </w:r>
    </w:p>
    <w:p w14:paraId="25503D96" w14:textId="04DA5B92" w:rsidR="00B7139B" w:rsidRPr="00DA23D9" w:rsidRDefault="00B7139B" w:rsidP="00B7139B">
      <w:pPr>
        <w:pStyle w:val="enumlev2"/>
        <w:jc w:val="both"/>
        <w:rPr>
          <w:i/>
          <w:iCs/>
          <w:spacing w:val="-3"/>
        </w:rPr>
      </w:pPr>
      <w:r w:rsidRPr="00DA23D9">
        <w:rPr>
          <w:i/>
          <w:iCs/>
          <w:spacing w:val="-3"/>
        </w:rPr>
        <w:t>a)</w:t>
      </w:r>
      <w:r w:rsidRPr="00DA23D9">
        <w:rPr>
          <w:i/>
          <w:iCs/>
          <w:spacing w:val="-3"/>
        </w:rPr>
        <w:tab/>
        <w:t>las nuevas tendencias en las telecomunicaciones/TIC y los nuevos problemas del entorno internacional de las telecomunicaciones/TIC que pueden repercutir en el RTI;</w:t>
      </w:r>
    </w:p>
    <w:p w14:paraId="125758D8" w14:textId="77777777" w:rsidR="00B7139B" w:rsidRPr="00F926F2" w:rsidRDefault="00B7139B" w:rsidP="00B7139B">
      <w:pPr>
        <w:pStyle w:val="enumlev2"/>
        <w:jc w:val="both"/>
        <w:rPr>
          <w:i/>
          <w:iCs/>
        </w:rPr>
      </w:pPr>
      <w:r w:rsidRPr="00F926F2">
        <w:rPr>
          <w:i/>
          <w:iCs/>
        </w:rPr>
        <w:t>b)</w:t>
      </w:r>
      <w:r w:rsidRPr="00F926F2">
        <w:rPr>
          <w:i/>
          <w:iCs/>
        </w:rPr>
        <w:tab/>
        <w:t>datos empíricos de la utilización actual del RTI por parte de los organismos y/o administraciones de explotación y la proporción de los servicios de telecomunicaciones mundiales que se basan actualmente en el RTI; y</w:t>
      </w:r>
    </w:p>
    <w:p w14:paraId="3BF81688" w14:textId="77777777" w:rsidR="00B7139B" w:rsidRPr="00F926F2" w:rsidRDefault="00B7139B" w:rsidP="00B7139B">
      <w:pPr>
        <w:pStyle w:val="enumlev2"/>
        <w:jc w:val="both"/>
        <w:rPr>
          <w:i/>
          <w:iCs/>
        </w:rPr>
      </w:pPr>
      <w:r w:rsidRPr="00F926F2">
        <w:rPr>
          <w:i/>
          <w:iCs/>
        </w:rPr>
        <w:t>c)</w:t>
      </w:r>
      <w:r w:rsidRPr="00F926F2">
        <w:rPr>
          <w:i/>
          <w:iCs/>
        </w:rPr>
        <w:tab/>
        <w:t>la pertinencia del RTI que está conformado por "los principios rectores de alto nivel" en el entorno actual de telecomunicaciones/TIC.</w:t>
      </w:r>
    </w:p>
    <w:p w14:paraId="378544DC" w14:textId="77777777" w:rsidR="00B7139B" w:rsidRPr="00F926F2" w:rsidRDefault="00B7139B" w:rsidP="00A44DA7">
      <w:pPr>
        <w:pStyle w:val="Headingb"/>
      </w:pPr>
      <w:r w:rsidRPr="00F926F2">
        <w:t>Labor del Grupo de Expertos sobre el RTI</w:t>
      </w:r>
    </w:p>
    <w:p w14:paraId="0EAF8384" w14:textId="77777777" w:rsidR="00B7139B" w:rsidRPr="00F926F2" w:rsidRDefault="00B7139B" w:rsidP="00B7139B">
      <w:pPr>
        <w:jc w:val="both"/>
      </w:pPr>
      <w:r w:rsidRPr="00F926F2">
        <w:t>Los Estados Miembros han participado activamente en el Grupo de Expertos para demostrar la pertinencia del RTI. A tal fin, se presentaron diversas contribuciones de varios países con el fin de demostrar</w:t>
      </w:r>
      <w:r w:rsidRPr="00F926F2">
        <w:rPr>
          <w:szCs w:val="24"/>
        </w:rPr>
        <w:t>:</w:t>
      </w:r>
    </w:p>
    <w:p w14:paraId="7E551F63" w14:textId="77777777" w:rsidR="00B7139B" w:rsidRPr="00F926F2" w:rsidRDefault="00B7139B" w:rsidP="00DA23D9">
      <w:pPr>
        <w:pStyle w:val="enumlev1"/>
        <w:jc w:val="both"/>
      </w:pPr>
      <w:r w:rsidRPr="00F926F2">
        <w:t>a)</w:t>
      </w:r>
      <w:r w:rsidRPr="00F926F2">
        <w:tab/>
        <w:t>la existencia de nuevas tendencias en las telecomunicaciones/TIC y los nuevos problemas del entorno internacional de las telecomunicaciones/TIC que pueden repercutir en el RTI;</w:t>
      </w:r>
    </w:p>
    <w:p w14:paraId="22A22143" w14:textId="77777777" w:rsidR="00B7139B" w:rsidRPr="00F926F2" w:rsidRDefault="00B7139B" w:rsidP="00DA23D9">
      <w:pPr>
        <w:pStyle w:val="enumlev1"/>
        <w:jc w:val="both"/>
      </w:pPr>
      <w:r w:rsidRPr="00F926F2">
        <w:t>b)</w:t>
      </w:r>
      <w:r w:rsidRPr="00F926F2">
        <w:tab/>
        <w:t>la existencia de datos empíricos de la utilización actual del RTI por parte de los organismos y/o administraciones de explotación y la proporción de los servicios de telecomunicaciones mundiales que se basan actualmente en el RTI.</w:t>
      </w:r>
    </w:p>
    <w:p w14:paraId="40E2CA67" w14:textId="77777777" w:rsidR="00B7139B" w:rsidRPr="00F926F2" w:rsidRDefault="00B7139B" w:rsidP="00B7139B">
      <w:pPr>
        <w:jc w:val="both"/>
      </w:pPr>
      <w:r w:rsidRPr="00F15007">
        <w:t xml:space="preserve">Para garantizar que todas las personas puedan beneficiarse de la utilización y el desarrollo de las TIC y promover un mundo conectado e inclusivo, el RTI sigue desempeñando un papel importante para facilitar esta misión de la UIT. </w:t>
      </w:r>
      <w:proofErr w:type="gramStart"/>
      <w:r w:rsidRPr="00F15007">
        <w:t>A día de hoy</w:t>
      </w:r>
      <w:proofErr w:type="gramEnd"/>
      <w:r w:rsidRPr="00F15007">
        <w:t>, no se ha identificado ningún otro instrumento que pueda sustituir al RTI para ayudar a lograr la conectividad mundial, teniendo en cuenta los retos económicos y las necesidades de los países en desarrollo</w:t>
      </w:r>
      <w:r w:rsidRPr="00F926F2">
        <w:t xml:space="preserve">. </w:t>
      </w:r>
    </w:p>
    <w:p w14:paraId="577B9AB2" w14:textId="3B135D5E" w:rsidR="00B7139B" w:rsidRDefault="00B7139B" w:rsidP="00B7139B">
      <w:pPr>
        <w:jc w:val="both"/>
      </w:pPr>
      <w:r>
        <w:t>A pesar de ello, todavía no se ha llegado a un acuerdo en el seno del Grupo sobre la forma de avanzar. Creemos que el RTI es una herramienta y, con la cooperación de todos los Estados</w:t>
      </w:r>
      <w:r w:rsidR="00A44DA7">
        <w:t> </w:t>
      </w:r>
      <w:r>
        <w:t>Miembros, podremos encontrar un terreno común que sirva de punto de partida.</w:t>
      </w:r>
    </w:p>
    <w:p w14:paraId="3BEA913B" w14:textId="566B9F74" w:rsidR="00B7139B" w:rsidRPr="00F926F2" w:rsidRDefault="00B7139B" w:rsidP="00B7139B">
      <w:pPr>
        <w:jc w:val="both"/>
      </w:pPr>
      <w:r>
        <w:t xml:space="preserve">En diversos Artículos del actual RTI (tanto en la versión de 1988 como en la de 2012) se hace referencia a los organismos de explotación en lugar de a los Estados Miembros. Hace 20 años pudo resultar apropiado, </w:t>
      </w:r>
      <w:proofErr w:type="spellStart"/>
      <w:r>
        <w:t>mas</w:t>
      </w:r>
      <w:proofErr w:type="spellEnd"/>
      <w:r>
        <w:t xml:space="preserve"> en el mundo actual el RTI debería dirigirse únicamente a los Estados Miembros y no a los organismos de explotación. Los </w:t>
      </w:r>
      <w:r w:rsidRPr="0018268A">
        <w:t xml:space="preserve">Estados Miembros, a través de sus normativas y políticas nacionales, </w:t>
      </w:r>
      <w:r>
        <w:t xml:space="preserve">serán los </w:t>
      </w:r>
      <w:r w:rsidRPr="0018268A">
        <w:t>responsables de garantizar que los operadores apliquen las disposiciones y directrices de</w:t>
      </w:r>
      <w:r w:rsidR="003400E7">
        <w:t>l</w:t>
      </w:r>
      <w:r w:rsidRPr="0018268A">
        <w:t xml:space="preserve"> RTI.</w:t>
      </w:r>
      <w:r w:rsidRPr="00F926F2">
        <w:t xml:space="preserve"> </w:t>
      </w:r>
    </w:p>
    <w:p w14:paraId="30D253DC" w14:textId="77777777" w:rsidR="00B7139B" w:rsidRPr="00246648" w:rsidRDefault="00B7139B" w:rsidP="00A44DA7">
      <w:pPr>
        <w:pStyle w:val="Headingb"/>
      </w:pPr>
      <w:r>
        <w:rPr>
          <w:lang w:eastAsia="zh-CN"/>
        </w:rPr>
        <w:lastRenderedPageBreak/>
        <w:t>Propuesta</w:t>
      </w:r>
    </w:p>
    <w:p w14:paraId="0FE7E715" w14:textId="77777777" w:rsidR="00B7139B" w:rsidRDefault="00B7139B" w:rsidP="00DA23D9">
      <w:pPr>
        <w:keepNext/>
        <w:jc w:val="both"/>
      </w:pPr>
      <w:r>
        <w:t xml:space="preserve">Los autores de la presente contribución consideran fundamental que se intensifiquen los esfuerzos para encontrar posiciones comunes que permitan disponer de una versión del tratado aceptable para todos los Estados Miembros y que redunde en beneficio de todos. </w:t>
      </w:r>
    </w:p>
    <w:p w14:paraId="4E98C108" w14:textId="77777777" w:rsidR="00B7139B" w:rsidRDefault="00B7139B" w:rsidP="00B7139B">
      <w:pPr>
        <w:jc w:val="both"/>
      </w:pPr>
      <w:r>
        <w:t>Esperamos seguir participando en los trabajos del Grupo de Expertos sobre el RTI para garantizar que éste desempeña su mandato con eficacia.</w:t>
      </w:r>
    </w:p>
    <w:p w14:paraId="6652F163" w14:textId="77777777" w:rsidR="00DA23D9" w:rsidRPr="00246648" w:rsidRDefault="00DA23D9" w:rsidP="00B7139B">
      <w:pPr>
        <w:jc w:val="both"/>
      </w:pPr>
    </w:p>
    <w:p w14:paraId="5075084B" w14:textId="77777777" w:rsidR="00F92BED" w:rsidRPr="00F92BED" w:rsidRDefault="00F92BED" w:rsidP="00F92BED">
      <w:pPr>
        <w:jc w:val="center"/>
      </w:pPr>
      <w:r>
        <w:t>______________</w:t>
      </w:r>
    </w:p>
    <w:sectPr w:rsidR="00F92BED" w:rsidRPr="00F92BED" w:rsidSect="00C538FC">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6842D" w14:textId="77777777" w:rsidR="008C59C8" w:rsidRDefault="008C59C8">
      <w:r>
        <w:separator/>
      </w:r>
    </w:p>
  </w:endnote>
  <w:endnote w:type="continuationSeparator" w:id="0">
    <w:p w14:paraId="77731802" w14:textId="77777777" w:rsidR="008C59C8" w:rsidRDefault="008C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9CA3A41" w14:textId="77777777" w:rsidTr="00E31DCE">
      <w:trPr>
        <w:jc w:val="center"/>
      </w:trPr>
      <w:tc>
        <w:tcPr>
          <w:tcW w:w="1803" w:type="dxa"/>
          <w:vAlign w:val="center"/>
        </w:tcPr>
        <w:p w14:paraId="6BEA189D" w14:textId="5F86AF7A" w:rsidR="003273A4" w:rsidRDefault="002946E2" w:rsidP="003273A4">
          <w:pPr>
            <w:pStyle w:val="Header"/>
            <w:jc w:val="left"/>
            <w:rPr>
              <w:noProof/>
            </w:rPr>
          </w:pPr>
          <w:r>
            <w:rPr>
              <w:noProof/>
            </w:rPr>
            <w:t xml:space="preserve">gDoc </w:t>
          </w:r>
          <w:r w:rsidR="00395CD7">
            <w:rPr>
              <w:noProof/>
            </w:rPr>
            <w:t>2501368</w:t>
          </w:r>
        </w:p>
      </w:tc>
      <w:tc>
        <w:tcPr>
          <w:tcW w:w="8261" w:type="dxa"/>
        </w:tcPr>
        <w:p w14:paraId="0EBF3E6B" w14:textId="512B287C"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395CD7">
            <w:rPr>
              <w:bCs/>
            </w:rPr>
            <w:t>92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3E29AFF9"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7C16FAE" w14:textId="77777777" w:rsidTr="00E31DCE">
      <w:trPr>
        <w:jc w:val="center"/>
      </w:trPr>
      <w:tc>
        <w:tcPr>
          <w:tcW w:w="1803" w:type="dxa"/>
          <w:vAlign w:val="center"/>
        </w:tcPr>
        <w:p w14:paraId="1EF9A43C"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6A1E4EC9" w14:textId="2118088B"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B7139B">
            <w:rPr>
              <w:bCs/>
            </w:rPr>
            <w:t>92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2E626F3"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4AF6A" w14:textId="77777777" w:rsidR="008C59C8" w:rsidRDefault="008C59C8">
      <w:r>
        <w:t>____________________</w:t>
      </w:r>
    </w:p>
  </w:footnote>
  <w:footnote w:type="continuationSeparator" w:id="0">
    <w:p w14:paraId="18A662C4" w14:textId="77777777" w:rsidR="008C59C8" w:rsidRDefault="008C5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2CAE8381" w14:textId="77777777" w:rsidTr="00666D09">
      <w:trPr>
        <w:trHeight w:val="1104"/>
        <w:jc w:val="center"/>
      </w:trPr>
      <w:tc>
        <w:tcPr>
          <w:tcW w:w="5998" w:type="dxa"/>
          <w:vAlign w:val="center"/>
        </w:tcPr>
        <w:p w14:paraId="121F3971"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C90AFEE" wp14:editId="75B9FFB2">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52EB6C81" w14:textId="77777777" w:rsidR="00666D09" w:rsidRDefault="00666D09" w:rsidP="001559F5">
          <w:pPr>
            <w:pStyle w:val="Header"/>
            <w:jc w:val="right"/>
            <w:rPr>
              <w:rFonts w:ascii="Arial" w:hAnsi="Arial" w:cs="Arial"/>
              <w:b/>
              <w:bCs/>
              <w:color w:val="009CD6"/>
              <w:szCs w:val="18"/>
            </w:rPr>
          </w:pPr>
        </w:p>
      </w:tc>
    </w:tr>
  </w:tbl>
  <w:p w14:paraId="3DF7C24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B933F61" wp14:editId="5AF365D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C2EA3"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9B"/>
    <w:rsid w:val="000007D1"/>
    <w:rsid w:val="00050932"/>
    <w:rsid w:val="000516C1"/>
    <w:rsid w:val="0006007D"/>
    <w:rsid w:val="00093EEB"/>
    <w:rsid w:val="000B0D00"/>
    <w:rsid w:val="000B7C15"/>
    <w:rsid w:val="000D1D0F"/>
    <w:rsid w:val="000E3F07"/>
    <w:rsid w:val="000F5290"/>
    <w:rsid w:val="0010165C"/>
    <w:rsid w:val="00146BFB"/>
    <w:rsid w:val="001559F5"/>
    <w:rsid w:val="00157AC4"/>
    <w:rsid w:val="00160819"/>
    <w:rsid w:val="0016169C"/>
    <w:rsid w:val="00194B2B"/>
    <w:rsid w:val="001B6E2B"/>
    <w:rsid w:val="001F14A2"/>
    <w:rsid w:val="00246FB1"/>
    <w:rsid w:val="002801AA"/>
    <w:rsid w:val="002946E2"/>
    <w:rsid w:val="002C3F32"/>
    <w:rsid w:val="002C4676"/>
    <w:rsid w:val="002C70B0"/>
    <w:rsid w:val="002F3CC4"/>
    <w:rsid w:val="003032E2"/>
    <w:rsid w:val="0031300A"/>
    <w:rsid w:val="003273A4"/>
    <w:rsid w:val="003400E7"/>
    <w:rsid w:val="0034796E"/>
    <w:rsid w:val="00395CD7"/>
    <w:rsid w:val="00473962"/>
    <w:rsid w:val="004B5D49"/>
    <w:rsid w:val="004D3A3C"/>
    <w:rsid w:val="00513630"/>
    <w:rsid w:val="00560125"/>
    <w:rsid w:val="00585553"/>
    <w:rsid w:val="005B34D9"/>
    <w:rsid w:val="005D0CCF"/>
    <w:rsid w:val="005F3BCB"/>
    <w:rsid w:val="005F410F"/>
    <w:rsid w:val="0060149A"/>
    <w:rsid w:val="00601924"/>
    <w:rsid w:val="00603B35"/>
    <w:rsid w:val="006447EA"/>
    <w:rsid w:val="0064481D"/>
    <w:rsid w:val="0064731F"/>
    <w:rsid w:val="00664572"/>
    <w:rsid w:val="00666D09"/>
    <w:rsid w:val="006710F6"/>
    <w:rsid w:val="00677A97"/>
    <w:rsid w:val="006C1B56"/>
    <w:rsid w:val="006D4761"/>
    <w:rsid w:val="00726872"/>
    <w:rsid w:val="00760F1C"/>
    <w:rsid w:val="00763D4A"/>
    <w:rsid w:val="007657F0"/>
    <w:rsid w:val="0077110E"/>
    <w:rsid w:val="0077252D"/>
    <w:rsid w:val="007955DA"/>
    <w:rsid w:val="007E5DD3"/>
    <w:rsid w:val="007F350B"/>
    <w:rsid w:val="00820BE4"/>
    <w:rsid w:val="008451E8"/>
    <w:rsid w:val="0087783C"/>
    <w:rsid w:val="008C59C8"/>
    <w:rsid w:val="008F6ABC"/>
    <w:rsid w:val="00913B9C"/>
    <w:rsid w:val="00927F93"/>
    <w:rsid w:val="00956E77"/>
    <w:rsid w:val="00981E4F"/>
    <w:rsid w:val="009A338E"/>
    <w:rsid w:val="009F4811"/>
    <w:rsid w:val="009F4840"/>
    <w:rsid w:val="00A44DA7"/>
    <w:rsid w:val="00A63A41"/>
    <w:rsid w:val="00A94438"/>
    <w:rsid w:val="00AA390C"/>
    <w:rsid w:val="00B0200A"/>
    <w:rsid w:val="00B060DF"/>
    <w:rsid w:val="00B574DB"/>
    <w:rsid w:val="00B7139B"/>
    <w:rsid w:val="00B826C2"/>
    <w:rsid w:val="00B8298E"/>
    <w:rsid w:val="00BB6FD8"/>
    <w:rsid w:val="00BD0723"/>
    <w:rsid w:val="00BD2518"/>
    <w:rsid w:val="00BF1D1C"/>
    <w:rsid w:val="00C20C59"/>
    <w:rsid w:val="00C2727F"/>
    <w:rsid w:val="00C538FC"/>
    <w:rsid w:val="00C55B1F"/>
    <w:rsid w:val="00CF1A67"/>
    <w:rsid w:val="00D2750E"/>
    <w:rsid w:val="00D375E0"/>
    <w:rsid w:val="00D50A36"/>
    <w:rsid w:val="00D62446"/>
    <w:rsid w:val="00DA23D9"/>
    <w:rsid w:val="00DA4EA2"/>
    <w:rsid w:val="00DC3D3E"/>
    <w:rsid w:val="00DE2C90"/>
    <w:rsid w:val="00DE3B24"/>
    <w:rsid w:val="00E06947"/>
    <w:rsid w:val="00E11319"/>
    <w:rsid w:val="00E21444"/>
    <w:rsid w:val="00E34072"/>
    <w:rsid w:val="00E3592D"/>
    <w:rsid w:val="00E50D76"/>
    <w:rsid w:val="00E8018B"/>
    <w:rsid w:val="00E92DE8"/>
    <w:rsid w:val="00EB1212"/>
    <w:rsid w:val="00ED65AB"/>
    <w:rsid w:val="00EF458A"/>
    <w:rsid w:val="00F12850"/>
    <w:rsid w:val="00F24B71"/>
    <w:rsid w:val="00F33BF4"/>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19817"/>
  <w15:docId w15:val="{AD8B1BAC-B252-4C66-A6E1-ED16C6A8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DA23D9"/>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character" w:styleId="CommentReference">
    <w:name w:val="annotation reference"/>
    <w:basedOn w:val="DefaultParagraphFont"/>
    <w:semiHidden/>
    <w:unhideWhenUsed/>
    <w:rsid w:val="00B7139B"/>
    <w:rPr>
      <w:sz w:val="16"/>
      <w:szCs w:val="16"/>
    </w:rPr>
  </w:style>
  <w:style w:type="paragraph" w:styleId="CommentText">
    <w:name w:val="annotation text"/>
    <w:basedOn w:val="Normal"/>
    <w:link w:val="CommentTextChar"/>
    <w:unhideWhenUsed/>
    <w:rsid w:val="00B7139B"/>
    <w:rPr>
      <w:sz w:val="20"/>
    </w:rPr>
  </w:style>
  <w:style w:type="character" w:customStyle="1" w:styleId="CommentTextChar">
    <w:name w:val="Comment Text Char"/>
    <w:basedOn w:val="DefaultParagraphFont"/>
    <w:link w:val="CommentText"/>
    <w:rsid w:val="00B7139B"/>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B7139B"/>
    <w:rPr>
      <w:b/>
      <w:bCs/>
    </w:rPr>
  </w:style>
  <w:style w:type="character" w:customStyle="1" w:styleId="CommentSubjectChar">
    <w:name w:val="Comment Subject Char"/>
    <w:basedOn w:val="CommentTextChar"/>
    <w:link w:val="CommentSubject"/>
    <w:semiHidden/>
    <w:rsid w:val="00B7139B"/>
    <w:rPr>
      <w:rFonts w:ascii="Calibri"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6-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23-CL-C-0121/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25-CL-C-0026/es"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3</Pages>
  <Words>704</Words>
  <Characters>3961</Characters>
  <Application>Microsoft Office Word</Application>
  <DocSecurity>0</DocSecurity>
  <Lines>79</Lines>
  <Paragraphs>37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4628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los resultados de las 3ª y 4ª reuniones del Grupo de Expertos sobre el Reglamento de las Telecomunicaciones Internacionales</dc:title>
  <dc:subject>Consejo 2025 de la UIT</dc:subject>
  <cp:keywords>C2025, C25, Council-25</cp:keywords>
  <dc:description/>
  <cp:lastPrinted>2006-03-24T09:51:00Z</cp:lastPrinted>
  <dcterms:created xsi:type="dcterms:W3CDTF">2025-06-12T14:17:00Z</dcterms:created>
  <dcterms:modified xsi:type="dcterms:W3CDTF">2025-06-12T14:25:00Z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