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3E1C2769" w14:textId="77777777" w:rsidTr="00AD3606">
        <w:trPr>
          <w:cantSplit/>
          <w:trHeight w:val="23"/>
        </w:trPr>
        <w:tc>
          <w:tcPr>
            <w:tcW w:w="3969" w:type="dxa"/>
            <w:vMerge w:val="restart"/>
            <w:tcMar>
              <w:left w:w="0" w:type="dxa"/>
            </w:tcMar>
          </w:tcPr>
          <w:p w14:paraId="7147B863" w14:textId="368A22EE"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BF2FDA">
              <w:rPr>
                <w:b/>
              </w:rPr>
              <w:t>PL 2</w:t>
            </w:r>
          </w:p>
        </w:tc>
        <w:tc>
          <w:tcPr>
            <w:tcW w:w="5245" w:type="dxa"/>
          </w:tcPr>
          <w:p w14:paraId="6779937E" w14:textId="666F23E4" w:rsidR="00AD3606" w:rsidRPr="00C0458D" w:rsidRDefault="00AD3606" w:rsidP="00472BAD">
            <w:pPr>
              <w:tabs>
                <w:tab w:val="left" w:pos="851"/>
              </w:tabs>
              <w:spacing w:before="0" w:line="240" w:lineRule="atLeast"/>
              <w:jc w:val="right"/>
              <w:rPr>
                <w:b/>
              </w:rPr>
            </w:pPr>
            <w:r w:rsidRPr="00C0458D">
              <w:rPr>
                <w:b/>
              </w:rPr>
              <w:t>Document C2</w:t>
            </w:r>
            <w:r w:rsidR="00BF1FDE" w:rsidRPr="00C0458D">
              <w:rPr>
                <w:b/>
              </w:rPr>
              <w:t>5</w:t>
            </w:r>
            <w:r w:rsidRPr="00C0458D">
              <w:rPr>
                <w:b/>
              </w:rPr>
              <w:t>/</w:t>
            </w:r>
            <w:r w:rsidR="00BF169A">
              <w:rPr>
                <w:b/>
              </w:rPr>
              <w:t>92</w:t>
            </w:r>
            <w:r w:rsidRPr="00C0458D">
              <w:rPr>
                <w:b/>
              </w:rPr>
              <w:t>-E</w:t>
            </w:r>
          </w:p>
        </w:tc>
      </w:tr>
      <w:tr w:rsidR="00AD3606" w:rsidRPr="00C0458D" w14:paraId="3E3F9DA5" w14:textId="77777777" w:rsidTr="00AD3606">
        <w:trPr>
          <w:cantSplit/>
        </w:trPr>
        <w:tc>
          <w:tcPr>
            <w:tcW w:w="3969" w:type="dxa"/>
            <w:vMerge/>
          </w:tcPr>
          <w:p w14:paraId="5920AA6E"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3A646D91" w:rsidR="00AD3606" w:rsidRPr="00C0458D" w:rsidRDefault="00BF169A" w:rsidP="00AD3606">
            <w:pPr>
              <w:tabs>
                <w:tab w:val="left" w:pos="851"/>
              </w:tabs>
              <w:spacing w:before="0"/>
              <w:jc w:val="right"/>
              <w:rPr>
                <w:b/>
              </w:rPr>
            </w:pPr>
            <w:r>
              <w:rPr>
                <w:b/>
              </w:rPr>
              <w:t>3 June 2025</w:t>
            </w:r>
          </w:p>
        </w:tc>
      </w:tr>
      <w:tr w:rsidR="00AD3606" w:rsidRPr="00C0458D" w14:paraId="75730376" w14:textId="77777777" w:rsidTr="00AD3606">
        <w:trPr>
          <w:cantSplit/>
          <w:trHeight w:val="23"/>
        </w:trPr>
        <w:tc>
          <w:tcPr>
            <w:tcW w:w="3969" w:type="dxa"/>
            <w:vMerge/>
          </w:tcPr>
          <w:p w14:paraId="298F937E"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14DA91C4" w14:textId="77777777" w:rsidTr="00AD3606">
        <w:trPr>
          <w:cantSplit/>
          <w:trHeight w:val="23"/>
        </w:trPr>
        <w:tc>
          <w:tcPr>
            <w:tcW w:w="3969" w:type="dxa"/>
          </w:tcPr>
          <w:p w14:paraId="5858B25D" w14:textId="77777777" w:rsidR="00472BAD" w:rsidRPr="00C0458D" w:rsidRDefault="00472BAD" w:rsidP="00AD3606">
            <w:pPr>
              <w:tabs>
                <w:tab w:val="left" w:pos="851"/>
              </w:tabs>
              <w:spacing w:line="240" w:lineRule="atLeast"/>
              <w:rPr>
                <w:b/>
              </w:rPr>
            </w:pPr>
          </w:p>
        </w:tc>
        <w:tc>
          <w:tcPr>
            <w:tcW w:w="5245" w:type="dxa"/>
          </w:tcPr>
          <w:p w14:paraId="5DBF7439" w14:textId="77777777" w:rsidR="00472BAD" w:rsidRPr="00C0458D" w:rsidRDefault="00472BAD" w:rsidP="00AD3606">
            <w:pPr>
              <w:tabs>
                <w:tab w:val="left" w:pos="851"/>
              </w:tabs>
              <w:spacing w:before="0" w:line="240" w:lineRule="atLeast"/>
              <w:jc w:val="right"/>
              <w:rPr>
                <w:b/>
              </w:rPr>
            </w:pPr>
          </w:p>
        </w:tc>
      </w:tr>
      <w:tr w:rsidR="00AD3606" w:rsidRPr="00C0458D" w14:paraId="2481FF59" w14:textId="77777777" w:rsidTr="00AD3606">
        <w:trPr>
          <w:cantSplit/>
        </w:trPr>
        <w:tc>
          <w:tcPr>
            <w:tcW w:w="9214" w:type="dxa"/>
            <w:gridSpan w:val="2"/>
            <w:tcMar>
              <w:left w:w="0" w:type="dxa"/>
            </w:tcMar>
          </w:tcPr>
          <w:p w14:paraId="2016C4A0" w14:textId="15B18606" w:rsidR="00AD3606" w:rsidRPr="000F7289" w:rsidRDefault="00945CC6" w:rsidP="00945CC6">
            <w:pPr>
              <w:pStyle w:val="Source"/>
              <w:framePr w:hSpace="0" w:wrap="auto" w:vAnchor="margin" w:hAnchor="text" w:xAlign="left" w:yAlign="inline"/>
            </w:pPr>
            <w:bookmarkStart w:id="8" w:name="dsource" w:colFirst="0" w:colLast="0"/>
            <w:bookmarkEnd w:id="7"/>
            <w:r w:rsidRPr="00945CC6">
              <w:t xml:space="preserve">Contribution by </w:t>
            </w:r>
            <w:r w:rsidR="00C321E1">
              <w:t>South Africa</w:t>
            </w:r>
            <w:r w:rsidR="00395344">
              <w:t xml:space="preserve"> (Republic of)</w:t>
            </w:r>
            <w:r w:rsidR="00572C8C">
              <w:t xml:space="preserve">, </w:t>
            </w:r>
            <w:r w:rsidR="00395344" w:rsidRPr="00395344">
              <w:t>Saudi Arabia (Kingdom of)</w:t>
            </w:r>
            <w:r w:rsidR="00395344">
              <w:t xml:space="preserve">, </w:t>
            </w:r>
            <w:r w:rsidR="00395344" w:rsidRPr="00395344">
              <w:t>Egypt (Arab Republic of)</w:t>
            </w:r>
            <w:r w:rsidR="00395344">
              <w:t xml:space="preserve">, and </w:t>
            </w:r>
            <w:r w:rsidR="00395344" w:rsidRPr="00395344">
              <w:t>Kenya (Republic of)</w:t>
            </w:r>
          </w:p>
        </w:tc>
      </w:tr>
      <w:tr w:rsidR="00AD3606" w:rsidRPr="00C0458D" w14:paraId="3A759762" w14:textId="77777777" w:rsidTr="00AD3606">
        <w:trPr>
          <w:cantSplit/>
        </w:trPr>
        <w:tc>
          <w:tcPr>
            <w:tcW w:w="9214" w:type="dxa"/>
            <w:gridSpan w:val="2"/>
            <w:tcMar>
              <w:left w:w="0" w:type="dxa"/>
            </w:tcMar>
          </w:tcPr>
          <w:p w14:paraId="2A2DCF47" w14:textId="58C50293" w:rsidR="00AD3606" w:rsidRPr="000F7289" w:rsidRDefault="00B573A3" w:rsidP="00601590">
            <w:pPr>
              <w:pStyle w:val="Subtitle"/>
              <w:framePr w:hSpace="0" w:wrap="auto" w:xAlign="left" w:yAlign="inline"/>
            </w:pPr>
            <w:bookmarkStart w:id="9" w:name="_Hlk199919805"/>
            <w:bookmarkStart w:id="10" w:name="dtitle1" w:colFirst="0" w:colLast="0"/>
            <w:bookmarkEnd w:id="8"/>
            <w:r>
              <w:t xml:space="preserve">REPORT ON THE OUTCOMES OF THE </w:t>
            </w:r>
            <w:r w:rsidR="00601590">
              <w:t>3</w:t>
            </w:r>
            <w:r w:rsidR="00601590" w:rsidRPr="00E46C2A">
              <w:rPr>
                <w:vertAlign w:val="superscript"/>
              </w:rPr>
              <w:t>rd</w:t>
            </w:r>
            <w:r w:rsidR="00601590">
              <w:t xml:space="preserve"> </w:t>
            </w:r>
            <w:r>
              <w:t xml:space="preserve">AND </w:t>
            </w:r>
            <w:r w:rsidR="00601590">
              <w:t>4</w:t>
            </w:r>
            <w:r w:rsidR="00601590" w:rsidRPr="00E46C2A">
              <w:rPr>
                <w:vertAlign w:val="superscript"/>
              </w:rPr>
              <w:t>th</w:t>
            </w:r>
            <w:r w:rsidR="00601590">
              <w:t xml:space="preserve"> </w:t>
            </w:r>
            <w:r>
              <w:t>MEETINGS OF</w:t>
            </w:r>
            <w:r w:rsidR="00797C7D">
              <w:t xml:space="preserve"> THE EXPERT GROUP </w:t>
            </w:r>
            <w:r w:rsidR="00117710">
              <w:t xml:space="preserve">ON </w:t>
            </w:r>
            <w:r w:rsidR="00797C7D">
              <w:t xml:space="preserve">INTERNATIONAL TELECOMMUNICATIONS </w:t>
            </w:r>
            <w:r w:rsidR="00851CF2">
              <w:t>REGULATIONS</w:t>
            </w:r>
            <w:bookmarkEnd w:id="9"/>
          </w:p>
        </w:tc>
      </w:tr>
      <w:tr w:rsidR="00AD3606" w:rsidRPr="00C0458D" w14:paraId="72B25568" w14:textId="77777777" w:rsidTr="00AD3606">
        <w:trPr>
          <w:cantSplit/>
        </w:trPr>
        <w:tc>
          <w:tcPr>
            <w:tcW w:w="9214" w:type="dxa"/>
            <w:gridSpan w:val="2"/>
            <w:tcBorders>
              <w:top w:val="single" w:sz="4" w:space="0" w:color="auto"/>
              <w:bottom w:val="single" w:sz="4" w:space="0" w:color="auto"/>
            </w:tcBorders>
            <w:tcMar>
              <w:left w:w="0" w:type="dxa"/>
            </w:tcMar>
          </w:tcPr>
          <w:p w14:paraId="4C3D541B" w14:textId="602F71CA" w:rsidR="00AD3606" w:rsidRPr="00C0458D" w:rsidRDefault="00F16BAB" w:rsidP="00F16BAB">
            <w:pPr>
              <w:spacing w:before="160"/>
              <w:rPr>
                <w:b/>
                <w:bCs/>
                <w:sz w:val="26"/>
                <w:szCs w:val="26"/>
              </w:rPr>
            </w:pPr>
            <w:r w:rsidRPr="00C0458D">
              <w:rPr>
                <w:b/>
                <w:bCs/>
                <w:sz w:val="26"/>
                <w:szCs w:val="26"/>
              </w:rPr>
              <w:t>Purpose</w:t>
            </w:r>
          </w:p>
          <w:p w14:paraId="06AE5953" w14:textId="17A03A78" w:rsidR="00C321E1" w:rsidRDefault="00B573A3" w:rsidP="00BF169A">
            <w:pPr>
              <w:jc w:val="both"/>
            </w:pPr>
            <w:r>
              <w:t>The purpose of this contribution is to</w:t>
            </w:r>
            <w:r w:rsidR="00C321E1">
              <w:t xml:space="preserve"> </w:t>
            </w:r>
            <w:r w:rsidR="007C67DF">
              <w:t>emphasi</w:t>
            </w:r>
            <w:r w:rsidR="00C75A9C">
              <w:t>s</w:t>
            </w:r>
            <w:r w:rsidR="007C67DF">
              <w:t>e to the Council the significance of International Telecommunication Regulations (ITRs) in ensuring that all individuals can benefit from the use and advancement o</w:t>
            </w:r>
            <w:r w:rsidR="00C321E1">
              <w:t xml:space="preserve">f </w:t>
            </w:r>
            <w:r w:rsidR="007C67DF">
              <w:t>information and communication technologies (ICTs). ITRs play a vital role in fostering a connected and inclusive world. Therefore, they should be reviewed to reflect new trends and emerging issues in the telecommunications and ICT sectors.</w:t>
            </w:r>
            <w:r w:rsidR="00013FC2">
              <w:t xml:space="preserve"> </w:t>
            </w:r>
          </w:p>
          <w:p w14:paraId="547090D5" w14:textId="77777777" w:rsidR="00E27F65" w:rsidRPr="00E27F65" w:rsidRDefault="00E27F65" w:rsidP="00E27F65">
            <w:pPr>
              <w:jc w:val="both"/>
              <w:rPr>
                <w:b/>
                <w:bCs/>
              </w:rPr>
            </w:pPr>
            <w:r w:rsidRPr="00E27F65">
              <w:rPr>
                <w:b/>
                <w:bCs/>
              </w:rPr>
              <w:t>Action required by the Council</w:t>
            </w:r>
          </w:p>
          <w:p w14:paraId="7D712DB7" w14:textId="77777777" w:rsidR="00E27F65" w:rsidRPr="00E27F65" w:rsidRDefault="00E27F65" w:rsidP="00E27F65">
            <w:pPr>
              <w:jc w:val="both"/>
            </w:pPr>
            <w:r w:rsidRPr="00E27F65">
              <w:t xml:space="preserve">Council is requested to </w:t>
            </w:r>
            <w:r w:rsidRPr="008E3D6A">
              <w:rPr>
                <w:b/>
                <w:bCs/>
              </w:rPr>
              <w:t>consider</w:t>
            </w:r>
            <w:r w:rsidRPr="00E27F65">
              <w:t xml:space="preserve"> and </w:t>
            </w:r>
            <w:r w:rsidRPr="008E3D6A">
              <w:rPr>
                <w:b/>
                <w:bCs/>
              </w:rPr>
              <w:t>note</w:t>
            </w:r>
            <w:r w:rsidRPr="00E27F65">
              <w:t xml:space="preserve"> this contribution.</w:t>
            </w:r>
          </w:p>
          <w:p w14:paraId="759BB7F1" w14:textId="77777777" w:rsidR="00E27F65" w:rsidRPr="00E27F65" w:rsidRDefault="00E27F65" w:rsidP="00E27F65">
            <w:pPr>
              <w:jc w:val="both"/>
            </w:pPr>
            <w:r w:rsidRPr="00E27F65">
              <w:t>_______________</w:t>
            </w:r>
          </w:p>
          <w:p w14:paraId="71EC8CD6" w14:textId="77777777" w:rsidR="00E27F65" w:rsidRPr="00E27F65" w:rsidRDefault="00E27F65" w:rsidP="00E27F65">
            <w:pPr>
              <w:jc w:val="both"/>
              <w:rPr>
                <w:b/>
                <w:bCs/>
              </w:rPr>
            </w:pPr>
            <w:r w:rsidRPr="00E27F65">
              <w:rPr>
                <w:b/>
                <w:bCs/>
              </w:rPr>
              <w:t>References</w:t>
            </w:r>
          </w:p>
          <w:p w14:paraId="7089D4B7" w14:textId="7DD1AB0E" w:rsidR="00567453" w:rsidRPr="00F22C5D" w:rsidRDefault="00744D1E" w:rsidP="009F3B7E">
            <w:pPr>
              <w:spacing w:after="120"/>
              <w:jc w:val="both"/>
              <w:rPr>
                <w:i/>
                <w:iCs/>
                <w:sz w:val="22"/>
                <w:szCs w:val="22"/>
              </w:rPr>
            </w:pPr>
            <w:r w:rsidRPr="00F22C5D">
              <w:rPr>
                <w:bCs/>
                <w:i/>
                <w:iCs/>
                <w:sz w:val="22"/>
                <w:szCs w:val="22"/>
              </w:rPr>
              <w:t xml:space="preserve">Council </w:t>
            </w:r>
            <w:r w:rsidR="001C2DDD" w:rsidRPr="00F22C5D">
              <w:rPr>
                <w:bCs/>
                <w:i/>
                <w:iCs/>
                <w:sz w:val="22"/>
                <w:szCs w:val="22"/>
              </w:rPr>
              <w:t xml:space="preserve">Document </w:t>
            </w:r>
            <w:hyperlink r:id="rId8" w:history="1">
              <w:r w:rsidR="001C2DDD" w:rsidRPr="00F22C5D">
                <w:rPr>
                  <w:rStyle w:val="Hyperlink"/>
                  <w:bCs/>
                  <w:i/>
                  <w:iCs/>
                  <w:sz w:val="22"/>
                  <w:szCs w:val="22"/>
                </w:rPr>
                <w:t>C25/26</w:t>
              </w:r>
            </w:hyperlink>
            <w:r w:rsidRPr="00F22C5D">
              <w:rPr>
                <w:bCs/>
                <w:i/>
                <w:iCs/>
                <w:sz w:val="22"/>
                <w:szCs w:val="22"/>
              </w:rPr>
              <w:t xml:space="preserve">; Council </w:t>
            </w:r>
            <w:hyperlink r:id="rId9" w:history="1">
              <w:r w:rsidRPr="00F22C5D">
                <w:rPr>
                  <w:rStyle w:val="Hyperlink"/>
                  <w:bCs/>
                  <w:i/>
                  <w:iCs/>
                  <w:sz w:val="22"/>
                  <w:szCs w:val="22"/>
                </w:rPr>
                <w:t xml:space="preserve">Resolution 1379 </w:t>
              </w:r>
              <w:r w:rsidRPr="00F22C5D">
                <w:rPr>
                  <w:rStyle w:val="Hyperlink"/>
                  <w:i/>
                  <w:iCs/>
                  <w:sz w:val="22"/>
                  <w:szCs w:val="22"/>
                  <w:lang w:val="en-ZA"/>
                </w:rPr>
                <w:t>(C16, last amended C23)</w:t>
              </w:r>
            </w:hyperlink>
            <w:r w:rsidR="00682287" w:rsidRPr="00F22C5D">
              <w:rPr>
                <w:i/>
                <w:iCs/>
                <w:sz w:val="22"/>
                <w:szCs w:val="22"/>
                <w:lang w:val="en-ZA"/>
              </w:rPr>
              <w:t xml:space="preserve">; </w:t>
            </w:r>
            <w:hyperlink r:id="rId10" w:history="1">
              <w:r w:rsidR="00682287" w:rsidRPr="00F22C5D">
                <w:rPr>
                  <w:rStyle w:val="Hyperlink"/>
                  <w:i/>
                  <w:iCs/>
                  <w:sz w:val="22"/>
                  <w:szCs w:val="22"/>
                  <w:lang w:val="en-ZA"/>
                </w:rPr>
                <w:t>Resolution 146</w:t>
              </w:r>
              <w:r w:rsidR="009F3B7E" w:rsidRPr="00F22C5D">
                <w:rPr>
                  <w:rStyle w:val="Hyperlink"/>
                  <w:i/>
                  <w:iCs/>
                  <w:sz w:val="22"/>
                  <w:szCs w:val="22"/>
                  <w:lang w:val="en-ZA"/>
                </w:rPr>
                <w:t xml:space="preserve"> (Rev. Bucharest, 2022)</w:t>
              </w:r>
            </w:hyperlink>
            <w:r w:rsidR="009F3B7E" w:rsidRPr="00F22C5D">
              <w:rPr>
                <w:i/>
                <w:iCs/>
                <w:sz w:val="22"/>
                <w:szCs w:val="22"/>
                <w:lang w:val="en-ZA"/>
              </w:rPr>
              <w:t xml:space="preserve"> of the Plenipotentiary Conference</w:t>
            </w:r>
          </w:p>
        </w:tc>
      </w:tr>
      <w:bookmarkEnd w:id="2"/>
      <w:bookmarkEnd w:id="3"/>
      <w:bookmarkEnd w:id="4"/>
      <w:bookmarkEnd w:id="5"/>
      <w:bookmarkEnd w:id="10"/>
    </w:tbl>
    <w:p w14:paraId="35C6D0A5" w14:textId="69B1AB78" w:rsidR="009F3B7E" w:rsidRDefault="009F3B7E" w:rsidP="00E40084">
      <w:pPr>
        <w:tabs>
          <w:tab w:val="clear" w:pos="567"/>
          <w:tab w:val="clear" w:pos="1134"/>
          <w:tab w:val="clear" w:pos="1701"/>
          <w:tab w:val="clear" w:pos="2268"/>
          <w:tab w:val="clear" w:pos="2835"/>
        </w:tabs>
        <w:overflowPunct/>
        <w:autoSpaceDE/>
        <w:autoSpaceDN/>
        <w:adjustRightInd/>
        <w:spacing w:before="0"/>
        <w:jc w:val="both"/>
        <w:textAlignment w:val="auto"/>
      </w:pPr>
    </w:p>
    <w:p w14:paraId="600C01C5" w14:textId="77777777" w:rsidR="009F3B7E" w:rsidRDefault="009F3B7E">
      <w:pPr>
        <w:tabs>
          <w:tab w:val="clear" w:pos="567"/>
          <w:tab w:val="clear" w:pos="1134"/>
          <w:tab w:val="clear" w:pos="1701"/>
          <w:tab w:val="clear" w:pos="2268"/>
          <w:tab w:val="clear" w:pos="2835"/>
        </w:tabs>
        <w:overflowPunct/>
        <w:autoSpaceDE/>
        <w:autoSpaceDN/>
        <w:adjustRightInd/>
        <w:spacing w:before="0"/>
        <w:textAlignment w:val="auto"/>
      </w:pPr>
      <w:r>
        <w:br w:type="page"/>
      </w:r>
    </w:p>
    <w:p w14:paraId="661E5CB1" w14:textId="77777777" w:rsidR="00BF2FDA" w:rsidRDefault="00BF2FDA" w:rsidP="009F3B7E">
      <w:pPr>
        <w:jc w:val="both"/>
        <w:rPr>
          <w:b/>
          <w:bCs/>
          <w:sz w:val="26"/>
          <w:szCs w:val="26"/>
        </w:rPr>
        <w:sectPr w:rsidR="00BF2FDA"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pPr>
    </w:p>
    <w:p w14:paraId="74FA1021" w14:textId="77777777" w:rsidR="009F3B7E" w:rsidRPr="00C321E1" w:rsidRDefault="009F3B7E" w:rsidP="00601590">
      <w:pPr>
        <w:pStyle w:val="Headingb"/>
      </w:pPr>
      <w:r>
        <w:lastRenderedPageBreak/>
        <w:t>Background</w:t>
      </w:r>
    </w:p>
    <w:p w14:paraId="3849AC76" w14:textId="289A03B5" w:rsidR="009F3B7E" w:rsidRDefault="009F3B7E" w:rsidP="009F3B7E">
      <w:pPr>
        <w:jc w:val="both"/>
      </w:pPr>
      <w:hyperlink w:history="1">
        <w:r w:rsidRPr="00670000">
          <w:t>Resolution 146 (Rev. Bucharest, 2022)</w:t>
        </w:r>
      </w:hyperlink>
      <w:r>
        <w:t xml:space="preserve"> </w:t>
      </w:r>
      <w:r w:rsidRPr="00670000">
        <w:t>of the Plenipotentiary Conference</w:t>
      </w:r>
      <w:r>
        <w:t xml:space="preserve"> </w:t>
      </w:r>
      <w:r w:rsidRPr="00670000">
        <w:t>instruct</w:t>
      </w:r>
      <w:r>
        <w:t xml:space="preserve">ed </w:t>
      </w:r>
      <w:r w:rsidRPr="00670000">
        <w:t>the ITU</w:t>
      </w:r>
      <w:r>
        <w:t xml:space="preserve"> </w:t>
      </w:r>
      <w:r w:rsidRPr="00670000">
        <w:t>Council</w:t>
      </w:r>
      <w:r>
        <w:t xml:space="preserve"> </w:t>
      </w:r>
      <w:r w:rsidRPr="00670000">
        <w:t>to review and revise, at its 2023 session, the Terms of Reference for EG-ITRs.</w:t>
      </w:r>
      <w:r w:rsidR="003016D8">
        <w:t xml:space="preserve"> </w:t>
      </w:r>
      <w:r w:rsidRPr="00ED2C50">
        <w:t>Therefore, at its 2023 session (11-21 July 2023), the ITU Council approved</w:t>
      </w:r>
      <w:r>
        <w:t>, amongst others,</w:t>
      </w:r>
      <w:r w:rsidRPr="00ED2C50">
        <w:t xml:space="preserve"> the following Terms of Reference</w:t>
      </w:r>
      <w:r>
        <w:t>:</w:t>
      </w:r>
    </w:p>
    <w:p w14:paraId="7D6A090C" w14:textId="0BE4A347" w:rsidR="009F3B7E" w:rsidRPr="00B94D89" w:rsidRDefault="00601590" w:rsidP="00601590">
      <w:pPr>
        <w:pStyle w:val="enumlev1"/>
        <w:jc w:val="both"/>
        <w:rPr>
          <w:i/>
          <w:iCs/>
        </w:rPr>
      </w:pPr>
      <w:r>
        <w:tab/>
      </w:r>
      <w:r w:rsidRPr="00B94D89">
        <w:rPr>
          <w:i/>
          <w:iCs/>
        </w:rPr>
        <w:t>2</w:t>
      </w:r>
      <w:r w:rsidRPr="00B94D89">
        <w:rPr>
          <w:i/>
          <w:iCs/>
        </w:rPr>
        <w:tab/>
      </w:r>
      <w:r w:rsidR="009F3B7E" w:rsidRPr="00B94D89">
        <w:rPr>
          <w:i/>
          <w:iCs/>
        </w:rPr>
        <w:t>Taking into consideration the work of the previous two Expert Groups, the review may consider, among others –</w:t>
      </w:r>
    </w:p>
    <w:p w14:paraId="1B8ADDA6" w14:textId="5D5887F9" w:rsidR="009F3B7E" w:rsidRPr="00B94D89" w:rsidRDefault="00601590" w:rsidP="00601590">
      <w:pPr>
        <w:pStyle w:val="enumlev2"/>
        <w:jc w:val="both"/>
        <w:rPr>
          <w:i/>
          <w:iCs/>
        </w:rPr>
      </w:pPr>
      <w:r w:rsidRPr="00B94D89">
        <w:rPr>
          <w:i/>
          <w:iCs/>
        </w:rPr>
        <w:t>a)</w:t>
      </w:r>
      <w:r w:rsidRPr="00B94D89">
        <w:rPr>
          <w:i/>
          <w:iCs/>
        </w:rPr>
        <w:tab/>
      </w:r>
      <w:r w:rsidR="009F3B7E" w:rsidRPr="00B94D89">
        <w:rPr>
          <w:i/>
          <w:iCs/>
        </w:rPr>
        <w:t>new trends in telecommunications/ICT and emerging issues in international telecommunications/ICT environment which may impact the ITRs;</w:t>
      </w:r>
    </w:p>
    <w:p w14:paraId="3965E6E5" w14:textId="2865499A" w:rsidR="009F3B7E" w:rsidRPr="00B94D89" w:rsidRDefault="00601590" w:rsidP="00601590">
      <w:pPr>
        <w:pStyle w:val="enumlev2"/>
        <w:jc w:val="both"/>
        <w:rPr>
          <w:i/>
          <w:iCs/>
        </w:rPr>
      </w:pPr>
      <w:r w:rsidRPr="00B94D89">
        <w:rPr>
          <w:i/>
          <w:iCs/>
        </w:rPr>
        <w:t>b)</w:t>
      </w:r>
      <w:r w:rsidRPr="00B94D89">
        <w:rPr>
          <w:i/>
          <w:iCs/>
        </w:rPr>
        <w:tab/>
      </w:r>
      <w:r w:rsidR="009F3B7E" w:rsidRPr="00B94D89">
        <w:rPr>
          <w:i/>
          <w:iCs/>
        </w:rPr>
        <w:t>empirical data on the current use of the ITRs by operating agencies and/or administrations and the proportion of global telecommunication services which now rely on the ITRs; and</w:t>
      </w:r>
    </w:p>
    <w:p w14:paraId="1557C4DF" w14:textId="50C5733C" w:rsidR="009F3B7E" w:rsidRPr="00B94D89" w:rsidRDefault="00601590" w:rsidP="00601590">
      <w:pPr>
        <w:pStyle w:val="enumlev2"/>
        <w:jc w:val="both"/>
        <w:rPr>
          <w:i/>
          <w:iCs/>
        </w:rPr>
      </w:pPr>
      <w:r w:rsidRPr="00B94D89">
        <w:rPr>
          <w:i/>
          <w:iCs/>
        </w:rPr>
        <w:t>c)</w:t>
      </w:r>
      <w:r w:rsidRPr="00B94D89">
        <w:rPr>
          <w:i/>
          <w:iCs/>
        </w:rPr>
        <w:tab/>
      </w:r>
      <w:r w:rsidR="009F3B7E" w:rsidRPr="00B94D89">
        <w:rPr>
          <w:i/>
          <w:iCs/>
        </w:rPr>
        <w:t>the relevance of the ITRs which “consist of high-level guiding principles" in the current telecommunication/ICT environment.</w:t>
      </w:r>
    </w:p>
    <w:p w14:paraId="1FBD16E2" w14:textId="48206CBC" w:rsidR="009F3B7E" w:rsidRDefault="009F3B7E" w:rsidP="00601590">
      <w:pPr>
        <w:pStyle w:val="Headingb"/>
      </w:pPr>
      <w:r>
        <w:t>Work of the Expert Group</w:t>
      </w:r>
      <w:r w:rsidR="00601590">
        <w:t xml:space="preserve"> on </w:t>
      </w:r>
      <w:proofErr w:type="spellStart"/>
      <w:r>
        <w:t>ITRs</w:t>
      </w:r>
      <w:proofErr w:type="spellEnd"/>
    </w:p>
    <w:p w14:paraId="342398CB" w14:textId="77777777" w:rsidR="009F3B7E" w:rsidRPr="00B25B43" w:rsidRDefault="009F3B7E" w:rsidP="00601590">
      <w:pPr>
        <w:jc w:val="both"/>
      </w:pPr>
      <w:r>
        <w:t xml:space="preserve">Member States </w:t>
      </w:r>
      <w:r w:rsidRPr="00051A68">
        <w:t xml:space="preserve">have actively participated in the expert group to demonstrate the </w:t>
      </w:r>
      <w:r>
        <w:t>relevance</w:t>
      </w:r>
      <w:r w:rsidRPr="00051A68">
        <w:t xml:space="preserve"> of the ITRs.</w:t>
      </w:r>
      <w:r>
        <w:t xml:space="preserve"> </w:t>
      </w:r>
      <w:r w:rsidRPr="00051A68">
        <w:rPr>
          <w:szCs w:val="24"/>
        </w:rPr>
        <w:t xml:space="preserve">To this end, several multi-country contributions were submitted </w:t>
      </w:r>
      <w:r>
        <w:rPr>
          <w:szCs w:val="24"/>
        </w:rPr>
        <w:t>to demonstrate</w:t>
      </w:r>
      <w:r w:rsidRPr="00051A68">
        <w:rPr>
          <w:szCs w:val="24"/>
        </w:rPr>
        <w:t>:</w:t>
      </w:r>
    </w:p>
    <w:p w14:paraId="54A98288" w14:textId="6F06846E" w:rsidR="009F3B7E" w:rsidRPr="00601590" w:rsidRDefault="00601590" w:rsidP="00601590">
      <w:pPr>
        <w:pStyle w:val="enumlev1"/>
        <w:jc w:val="both"/>
      </w:pPr>
      <w:r>
        <w:t>a)</w:t>
      </w:r>
      <w:r>
        <w:tab/>
      </w:r>
      <w:r w:rsidR="009F3B7E" w:rsidRPr="00601590">
        <w:t>the existence of new trends in telecommunications/ICT and emerging issues in international telecommunications/ICT environment which impact the ITRs;</w:t>
      </w:r>
    </w:p>
    <w:p w14:paraId="4BE88CE9" w14:textId="25287DB4" w:rsidR="009F3B7E" w:rsidRPr="00601590" w:rsidRDefault="00601590" w:rsidP="00601590">
      <w:pPr>
        <w:pStyle w:val="enumlev1"/>
        <w:jc w:val="both"/>
      </w:pPr>
      <w:r w:rsidRPr="0040365D">
        <w:t>b)</w:t>
      </w:r>
      <w:r w:rsidRPr="0040365D">
        <w:tab/>
      </w:r>
      <w:r w:rsidR="009F3B7E" w:rsidRPr="00601590">
        <w:t>the existence of empirical data on the current use of the ITRs by operating agencies and/or administrations and the proportion of global telecommunication services which rely on the ITRs.</w:t>
      </w:r>
    </w:p>
    <w:p w14:paraId="3372B6AA" w14:textId="77777777" w:rsidR="009F3B7E" w:rsidRDefault="009F3B7E" w:rsidP="00601590">
      <w:pPr>
        <w:jc w:val="both"/>
      </w:pPr>
      <w:r>
        <w:t>T</w:t>
      </w:r>
      <w:r w:rsidRPr="00051A68">
        <w:t>o ensure that all people can benefit from the use and development of ICTs, and to promote a connected</w:t>
      </w:r>
      <w:r>
        <w:t>, inclusive world, ITRs still play an important role in facilitating</w:t>
      </w:r>
      <w:r w:rsidRPr="00051A68">
        <w:t xml:space="preserve"> th</w:t>
      </w:r>
      <w:r>
        <w:t>is mission of the ITU</w:t>
      </w:r>
      <w:r w:rsidRPr="00051A68">
        <w:t>.</w:t>
      </w:r>
      <w:r>
        <w:t xml:space="preserve"> </w:t>
      </w:r>
      <w:r w:rsidRPr="00FD49CB">
        <w:t xml:space="preserve">As matters currently stand, there is no other instrument that has been </w:t>
      </w:r>
      <w:r>
        <w:t>identified</w:t>
      </w:r>
      <w:r w:rsidRPr="00FD49CB">
        <w:t xml:space="preserve"> as a substitute </w:t>
      </w:r>
      <w:r>
        <w:t>for</w:t>
      </w:r>
      <w:r w:rsidRPr="00FD49CB">
        <w:t xml:space="preserve"> ITRs to assist in attain</w:t>
      </w:r>
      <w:r>
        <w:t>ing</w:t>
      </w:r>
      <w:r w:rsidRPr="00FD49CB">
        <w:t xml:space="preserve"> global connectivity, bearing in mind the </w:t>
      </w:r>
      <w:r>
        <w:t xml:space="preserve">economic </w:t>
      </w:r>
      <w:r w:rsidRPr="00FD49CB">
        <w:t xml:space="preserve">challenges </w:t>
      </w:r>
      <w:r>
        <w:t>and needs of the</w:t>
      </w:r>
      <w:r w:rsidRPr="00FD49CB">
        <w:t xml:space="preserve"> developing countries. </w:t>
      </w:r>
    </w:p>
    <w:p w14:paraId="52D66070" w14:textId="17664587" w:rsidR="009F3B7E" w:rsidRDefault="009F3B7E" w:rsidP="009F3B7E">
      <w:pPr>
        <w:jc w:val="both"/>
      </w:pPr>
      <w:r>
        <w:t xml:space="preserve">Despite that, there is still no agreement within the group on the way forward. We believe that the ITRs are a tool, and with the cooperation of all </w:t>
      </w:r>
      <w:r w:rsidR="0040365D">
        <w:t>Member States</w:t>
      </w:r>
      <w:r>
        <w:t>, we will be able to find common ground from which to start.</w:t>
      </w:r>
    </w:p>
    <w:p w14:paraId="053E89E0" w14:textId="0D09BC06" w:rsidR="009F3B7E" w:rsidRDefault="009F3B7E" w:rsidP="009F3B7E">
      <w:pPr>
        <w:jc w:val="both"/>
      </w:pPr>
      <w:r>
        <w:t xml:space="preserve">Several articles in the current ITRs (both the 1988 and 2012 versions) address operating agencies rather than </w:t>
      </w:r>
      <w:r w:rsidR="0040365D">
        <w:t>Member States</w:t>
      </w:r>
      <w:r>
        <w:t xml:space="preserve">. This might have been appropriate 20 years ago. However, in today’s world, the ITRs should address only Member States and not operating agencies. Member States, through their national regulations and policies, </w:t>
      </w:r>
      <w:r w:rsidRPr="00304C58">
        <w:t xml:space="preserve">would then be responsible for ensuring </w:t>
      </w:r>
      <w:r>
        <w:t xml:space="preserve">that operators apply the provisions and directions of the ITRs. </w:t>
      </w:r>
    </w:p>
    <w:p w14:paraId="72DAF41B" w14:textId="77777777" w:rsidR="009F3B7E" w:rsidRPr="00C321E1" w:rsidRDefault="009F3B7E" w:rsidP="00601590">
      <w:pPr>
        <w:pStyle w:val="Headingb"/>
      </w:pPr>
      <w:r w:rsidRPr="00C321E1">
        <w:t>Proposal</w:t>
      </w:r>
    </w:p>
    <w:p w14:paraId="54D3A213" w14:textId="6C6AC98B" w:rsidR="009F3B7E" w:rsidRDefault="009F3B7E" w:rsidP="009F3B7E">
      <w:pPr>
        <w:jc w:val="both"/>
      </w:pPr>
      <w:r>
        <w:t xml:space="preserve">The authors of this contribution believe that it is essential to </w:t>
      </w:r>
      <w:r w:rsidRPr="005F7635">
        <w:t xml:space="preserve">intensify </w:t>
      </w:r>
      <w:r>
        <w:t xml:space="preserve">efforts toward finding common grounds to be able to have one version of the treaty that is acceptable to all Member States and that will benefit all. </w:t>
      </w:r>
    </w:p>
    <w:p w14:paraId="55FD8CE4" w14:textId="77777777" w:rsidR="009F3B7E" w:rsidRDefault="009F3B7E" w:rsidP="009F3B7E">
      <w:pPr>
        <w:jc w:val="both"/>
      </w:pPr>
      <w:r>
        <w:t>We look forward to continuing to participate in the work of the Expert Group-ITRs to ensure that the expert group discharges its mandate effectively.</w:t>
      </w:r>
    </w:p>
    <w:p w14:paraId="44C36689" w14:textId="77777777" w:rsidR="00601590" w:rsidRDefault="00601590" w:rsidP="00601590">
      <w:pPr>
        <w:spacing w:before="0"/>
        <w:jc w:val="both"/>
      </w:pPr>
    </w:p>
    <w:p w14:paraId="6A3AB7FF" w14:textId="20355468" w:rsidR="007A3FCD" w:rsidRPr="00C0458D" w:rsidRDefault="0040365D" w:rsidP="00F22C5D">
      <w:pPr>
        <w:tabs>
          <w:tab w:val="clear" w:pos="567"/>
          <w:tab w:val="clear" w:pos="1134"/>
          <w:tab w:val="clear" w:pos="1701"/>
          <w:tab w:val="clear" w:pos="2268"/>
          <w:tab w:val="clear" w:pos="2835"/>
        </w:tabs>
        <w:overflowPunct/>
        <w:autoSpaceDE/>
        <w:autoSpaceDN/>
        <w:adjustRightInd/>
        <w:spacing w:before="0"/>
        <w:jc w:val="center"/>
        <w:textAlignment w:val="auto"/>
      </w:pPr>
      <w:r>
        <w:t>_____________</w:t>
      </w:r>
    </w:p>
    <w:sectPr w:rsidR="007A3FCD" w:rsidRPr="00C0458D" w:rsidSect="00F22C5D">
      <w:headerReference w:type="default" r:id="rId14"/>
      <w:footerReference w:type="default" r:id="rId15"/>
      <w:headerReference w:type="first" r:id="rId16"/>
      <w:footerReference w:type="first" r:id="rId17"/>
      <w:pgSz w:w="11907" w:h="16834" w:code="9"/>
      <w:pgMar w:top="1134" w:right="1418" w:bottom="1134" w:left="1418"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A38A" w14:textId="77777777" w:rsidR="001A15CC" w:rsidRDefault="001A15CC">
      <w:r>
        <w:separator/>
      </w:r>
    </w:p>
  </w:endnote>
  <w:endnote w:type="continuationSeparator" w:id="0">
    <w:p w14:paraId="36AA8358" w14:textId="77777777" w:rsidR="001A15CC" w:rsidRDefault="001A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42469C">
      <w:trPr>
        <w:jc w:val="center"/>
      </w:trPr>
      <w:tc>
        <w:tcPr>
          <w:tcW w:w="1803" w:type="dxa"/>
          <w:vAlign w:val="center"/>
        </w:tcPr>
        <w:p w14:paraId="5B3DDD9A" w14:textId="77777777" w:rsidR="00EE49E8" w:rsidRDefault="00C6520B" w:rsidP="00EE49E8">
          <w:pPr>
            <w:pStyle w:val="Header"/>
            <w:jc w:val="left"/>
            <w:rPr>
              <w:noProof/>
            </w:rPr>
          </w:pPr>
          <w:r>
            <w:rPr>
              <w:noProof/>
            </w:rPr>
            <w:t>gDoc #</w:t>
          </w:r>
        </w:p>
      </w:tc>
      <w:tc>
        <w:tcPr>
          <w:tcW w:w="8261" w:type="dxa"/>
        </w:tcPr>
        <w:p w14:paraId="6F6B3A01" w14:textId="5DBB222E" w:rsidR="00EE49E8" w:rsidRPr="00E06FD5" w:rsidRDefault="00EE49E8"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/xx-E</w:t>
          </w:r>
          <w:r>
            <w:rPr>
              <w:bCs/>
            </w:rPr>
            <w:tab/>
          </w:r>
          <w:r>
            <w:fldChar w:fldCharType="begin"/>
          </w:r>
          <w:r>
            <w:instrText>PAGE</w:instrText>
          </w:r>
          <w:r>
            <w:fldChar w:fldCharType="separate"/>
          </w:r>
          <w:r w:rsidR="005F7635">
            <w:rPr>
              <w:noProof/>
            </w:rPr>
            <w:t>2</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w:history="1">
            <w:r w:rsidRPr="006B77F1">
              <w:rPr>
                <w:rStyle w:val="Hyperlink"/>
                <w:u w:val="none"/>
              </w:rPr>
              <w:t>council.itu.int/2025</w:t>
            </w:r>
          </w:hyperlink>
        </w:p>
      </w:tc>
      <w:tc>
        <w:tcPr>
          <w:tcW w:w="8261" w:type="dxa"/>
        </w:tcPr>
        <w:p w14:paraId="68F817AE" w14:textId="629A7DA1" w:rsidR="00EE49E8" w:rsidRPr="00E06FD5" w:rsidRDefault="00EE49E8"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2E740C">
            <w:rPr>
              <w:bCs/>
            </w:rPr>
            <w:t>92</w:t>
          </w:r>
          <w:r w:rsidRPr="00623AE3">
            <w:rPr>
              <w:bCs/>
            </w:rPr>
            <w:t>-E</w:t>
          </w:r>
          <w:r>
            <w:rPr>
              <w:bCs/>
            </w:rPr>
            <w:tab/>
          </w:r>
          <w:r>
            <w:fldChar w:fldCharType="begin"/>
          </w:r>
          <w:r>
            <w:instrText>PAGE</w:instrText>
          </w:r>
          <w:r>
            <w:fldChar w:fldCharType="separate"/>
          </w:r>
          <w:r w:rsidR="005F7635">
            <w:rPr>
              <w:noProof/>
            </w:rP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F2FDA" w:rsidRPr="00784011" w14:paraId="210BF9AB" w14:textId="77777777" w:rsidTr="0042469C">
      <w:trPr>
        <w:jc w:val="center"/>
      </w:trPr>
      <w:tc>
        <w:tcPr>
          <w:tcW w:w="1803" w:type="dxa"/>
          <w:vAlign w:val="center"/>
        </w:tcPr>
        <w:p w14:paraId="78E53931" w14:textId="77777777" w:rsidR="00BF2FDA" w:rsidRDefault="00BF2FDA" w:rsidP="00EE49E8">
          <w:pPr>
            <w:pStyle w:val="Header"/>
            <w:jc w:val="left"/>
            <w:rPr>
              <w:noProof/>
            </w:rPr>
          </w:pPr>
          <w:r>
            <w:rPr>
              <w:noProof/>
            </w:rPr>
            <w:t>gDoc #</w:t>
          </w:r>
        </w:p>
      </w:tc>
      <w:tc>
        <w:tcPr>
          <w:tcW w:w="8261" w:type="dxa"/>
        </w:tcPr>
        <w:p w14:paraId="0CCFF58E" w14:textId="77777777" w:rsidR="00BF2FDA" w:rsidRPr="00E06FD5" w:rsidRDefault="00BF2FDA"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/xx-E</w:t>
          </w:r>
          <w:r>
            <w:rPr>
              <w:bCs/>
            </w:rPr>
            <w:tab/>
          </w:r>
          <w:r>
            <w:fldChar w:fldCharType="begin"/>
          </w:r>
          <w:r>
            <w:instrText>PAGE</w:instrText>
          </w:r>
          <w:r>
            <w:fldChar w:fldCharType="separate"/>
          </w:r>
          <w:r>
            <w:rPr>
              <w:noProof/>
            </w:rPr>
            <w:t>2</w:t>
          </w:r>
          <w:r>
            <w:rPr>
              <w:noProof/>
            </w:rPr>
            <w:fldChar w:fldCharType="end"/>
          </w:r>
        </w:p>
      </w:tc>
    </w:tr>
  </w:tbl>
  <w:p w14:paraId="6375C79F" w14:textId="77777777" w:rsidR="00BF2FDA" w:rsidRPr="00DB1936" w:rsidRDefault="00BF2FDA" w:rsidP="00EE49E8">
    <w:pPr>
      <w:pStyle w:val="Header"/>
      <w:tabs>
        <w:tab w:val="left" w:pos="8080"/>
        <w:tab w:val="right" w:pos="9072"/>
      </w:tabs>
      <w:jc w:val="left"/>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BF2FDA" w:rsidRPr="00784011" w14:paraId="75FC4FB6" w14:textId="77777777" w:rsidTr="006B77F1">
      <w:trPr>
        <w:jc w:val="center"/>
      </w:trPr>
      <w:tc>
        <w:tcPr>
          <w:tcW w:w="1803" w:type="dxa"/>
          <w:vAlign w:val="center"/>
        </w:tcPr>
        <w:p w14:paraId="3314958D" w14:textId="1F04B085" w:rsidR="00BF2FDA" w:rsidRPr="006B77F1" w:rsidRDefault="00BF2FDA" w:rsidP="00EE49E8">
          <w:pPr>
            <w:pStyle w:val="Header"/>
            <w:jc w:val="left"/>
            <w:rPr>
              <w:noProof/>
            </w:rPr>
          </w:pPr>
          <w:hyperlink w:history="1">
            <w:proofErr w:type="spellStart"/>
            <w:r>
              <w:t>gDoc</w:t>
            </w:r>
            <w:proofErr w:type="spellEnd"/>
          </w:hyperlink>
          <w:r w:rsidR="004E67D5">
            <w:t xml:space="preserve"> </w:t>
          </w:r>
          <w:proofErr w:type="spellStart"/>
          <w:r w:rsidR="004E67D5" w:rsidRPr="004E67D5">
            <w:t>R2501363</w:t>
          </w:r>
          <w:proofErr w:type="spellEnd"/>
          <w:r>
            <w:t xml:space="preserve"> </w:t>
          </w:r>
        </w:p>
      </w:tc>
      <w:tc>
        <w:tcPr>
          <w:tcW w:w="8261" w:type="dxa"/>
        </w:tcPr>
        <w:p w14:paraId="37BA0270" w14:textId="77777777" w:rsidR="00BF2FDA" w:rsidRPr="00E06FD5" w:rsidRDefault="00BF2FDA"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rPr>
            <w:t>92</w:t>
          </w:r>
          <w:r w:rsidRPr="00623AE3">
            <w:rPr>
              <w:bCs/>
            </w:rPr>
            <w:t>-E</w:t>
          </w:r>
          <w:r>
            <w:rPr>
              <w:bCs/>
            </w:rPr>
            <w:tab/>
          </w:r>
          <w:r>
            <w:fldChar w:fldCharType="begin"/>
          </w:r>
          <w:r>
            <w:instrText>PAGE</w:instrText>
          </w:r>
          <w:r>
            <w:fldChar w:fldCharType="separate"/>
          </w:r>
          <w:r>
            <w:rPr>
              <w:noProof/>
            </w:rPr>
            <w:t>1</w:t>
          </w:r>
          <w:r>
            <w:rPr>
              <w:noProof/>
            </w:rPr>
            <w:fldChar w:fldCharType="end"/>
          </w:r>
        </w:p>
      </w:tc>
    </w:tr>
  </w:tbl>
  <w:p w14:paraId="6B8AEED4" w14:textId="77777777" w:rsidR="00BF2FDA" w:rsidRPr="00BF2FDA" w:rsidRDefault="00BF2FDA" w:rsidP="00EE49E8">
    <w:pPr>
      <w:pStyle w:val="Header"/>
      <w:tabs>
        <w:tab w:val="left" w:pos="8080"/>
        <w:tab w:val="right" w:pos="9072"/>
      </w:tabs>
      <w:jc w:val="right"/>
      <w:rPr>
        <w:bC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B45A" w14:textId="77777777" w:rsidR="001A15CC" w:rsidRDefault="001A15CC">
      <w:r>
        <w:t>____________________</w:t>
      </w:r>
    </w:p>
  </w:footnote>
  <w:footnote w:type="continuationSeparator" w:id="0">
    <w:p w14:paraId="30788707" w14:textId="77777777" w:rsidR="001A15CC" w:rsidRDefault="001A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C91CFC">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1" w:name="_Hlk133422111"/>
          <w:r>
            <w:rPr>
              <w:rFonts w:ascii="Arial" w:hAnsi="Arial" w:cs="Arial"/>
              <w:b/>
              <w:bCs/>
              <w:noProof/>
              <w:color w:val="009CD6"/>
              <w:sz w:val="36"/>
              <w:szCs w:val="36"/>
              <w:lang w:val="en-US"/>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C724958" w14:textId="77777777" w:rsidR="00AD3606" w:rsidRDefault="00AD3606">
    <w:pPr>
      <w:pStyle w:val="Header"/>
    </w:pPr>
    <w:r w:rsidRPr="00802C2C">
      <w:rPr>
        <w:rFonts w:ascii="Avenir Nxt2 W1G Medium" w:eastAsia="Avenir Nxt2 W1G Medium" w:hAnsi="Avenir Nxt2 W1G Medium" w:cs="Avenir Nxt2 W1G Medium"/>
        <w:noProof/>
        <w:lang w:val="en-US"/>
      </w:rPr>
      <mc:AlternateContent>
        <mc:Choice Requires="wps">
          <w:drawing>
            <wp:anchor distT="0" distB="0" distL="114300" distR="114300" simplePos="0" relativeHeight="251659264"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DF0CA" id="Rectangle 5" o:spid="_x0000_s1026" style="position:absolute;margin-left:.3pt;margin-top:47.35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9793" w14:textId="77777777" w:rsidR="00BF2FDA" w:rsidRDefault="00BF2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D867" w14:textId="387808F0" w:rsidR="00BF2FDA" w:rsidRDefault="00BF2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70646"/>
    <w:multiLevelType w:val="hybridMultilevel"/>
    <w:tmpl w:val="EB02572E"/>
    <w:lvl w:ilvl="0" w:tplc="FFFFFFFF">
      <w:start w:val="1"/>
      <w:numFmt w:val="decimal"/>
      <w:lvlText w:val="%1."/>
      <w:lvlJc w:val="left"/>
      <w:pPr>
        <w:ind w:left="667" w:hanging="525"/>
      </w:pPr>
      <w:rPr>
        <w:b w:val="0"/>
        <w:bCs/>
        <w:i w:val="0"/>
        <w:iCs/>
        <w:sz w:val="22"/>
        <w:szCs w:val="22"/>
      </w:rPr>
    </w:lvl>
    <w:lvl w:ilvl="1" w:tplc="27AC6FC4">
      <w:start w:val="1"/>
      <w:numFmt w:val="lowerLetter"/>
      <w:lvlText w:val="(%2)"/>
      <w:lvlJc w:val="left"/>
      <w:pPr>
        <w:ind w:left="1287" w:hanging="360"/>
      </w:pPr>
      <w:rPr>
        <w:rFonts w:eastAsiaTheme="minorEastAsia" w:cstheme="minorBidi" w:hint="default"/>
      </w:rPr>
    </w:lvl>
    <w:lvl w:ilvl="2" w:tplc="2160DFF8">
      <w:start w:val="1"/>
      <w:numFmt w:val="decimal"/>
      <w:lvlText w:val="%3"/>
      <w:lvlJc w:val="left"/>
      <w:pPr>
        <w:ind w:left="2550" w:hanging="570"/>
      </w:pPr>
      <w:rPr>
        <w:rFonts w:hint="default"/>
      </w:rPr>
    </w:lvl>
    <w:lvl w:ilvl="3" w:tplc="27AC6FC4">
      <w:start w:val="1"/>
      <w:numFmt w:val="lowerLetter"/>
      <w:lvlText w:val="(%4)"/>
      <w:lvlJc w:val="left"/>
      <w:pPr>
        <w:ind w:left="3240" w:hanging="720"/>
      </w:pPr>
      <w:rPr>
        <w:rFonts w:eastAsiaTheme="minorEastAsia" w:cstheme="minorBidi" w:hint="default"/>
      </w:rPr>
    </w:lvl>
    <w:lvl w:ilvl="4" w:tplc="1C4E4CD2">
      <w:start w:val="1"/>
      <w:numFmt w:val="bullet"/>
      <w:lvlText w:val="–"/>
      <w:lvlJc w:val="left"/>
      <w:pPr>
        <w:ind w:left="3600" w:hanging="360"/>
      </w:pPr>
      <w:rPr>
        <w:rFonts w:ascii="Verdana" w:eastAsia="Times New Roman" w:hAnsi="Verdana" w:cs="Times New Roman" w:hint="default"/>
      </w:rPr>
    </w:lvl>
    <w:lvl w:ilvl="5" w:tplc="028278C2" w:tentative="1">
      <w:start w:val="1"/>
      <w:numFmt w:val="lowerRoman"/>
      <w:lvlText w:val="%6."/>
      <w:lvlJc w:val="right"/>
      <w:pPr>
        <w:ind w:left="4320" w:hanging="180"/>
      </w:pPr>
    </w:lvl>
    <w:lvl w:ilvl="6" w:tplc="467A0FAE" w:tentative="1">
      <w:start w:val="1"/>
      <w:numFmt w:val="decimal"/>
      <w:lvlText w:val="%7."/>
      <w:lvlJc w:val="left"/>
      <w:pPr>
        <w:ind w:left="5040" w:hanging="360"/>
      </w:pPr>
    </w:lvl>
    <w:lvl w:ilvl="7" w:tplc="05C6C98A" w:tentative="1">
      <w:start w:val="1"/>
      <w:numFmt w:val="lowerLetter"/>
      <w:lvlText w:val="%8."/>
      <w:lvlJc w:val="left"/>
      <w:pPr>
        <w:ind w:left="5760" w:hanging="360"/>
      </w:pPr>
    </w:lvl>
    <w:lvl w:ilvl="8" w:tplc="31ECA4BC" w:tentative="1">
      <w:start w:val="1"/>
      <w:numFmt w:val="lowerRoman"/>
      <w:lvlText w:val="%9."/>
      <w:lvlJc w:val="right"/>
      <w:pPr>
        <w:ind w:left="6480" w:hanging="180"/>
      </w:pPr>
    </w:lvl>
  </w:abstractNum>
  <w:abstractNum w:abstractNumId="2" w15:restartNumberingAfterBreak="0">
    <w:nsid w:val="18B4739B"/>
    <w:multiLevelType w:val="hybridMultilevel"/>
    <w:tmpl w:val="B4D2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642D4"/>
    <w:multiLevelType w:val="hybridMultilevel"/>
    <w:tmpl w:val="15FA6A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C1304EC"/>
    <w:multiLevelType w:val="hybridMultilevel"/>
    <w:tmpl w:val="3B78B43E"/>
    <w:lvl w:ilvl="0" w:tplc="3C4A4C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71125"/>
    <w:multiLevelType w:val="hybridMultilevel"/>
    <w:tmpl w:val="96525C7A"/>
    <w:lvl w:ilvl="0" w:tplc="EBC8F5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66F2F"/>
    <w:multiLevelType w:val="hybridMultilevel"/>
    <w:tmpl w:val="71C4CD06"/>
    <w:lvl w:ilvl="0" w:tplc="E8360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F45541"/>
    <w:multiLevelType w:val="hybridMultilevel"/>
    <w:tmpl w:val="A9105E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7A7F9E"/>
    <w:multiLevelType w:val="hybridMultilevel"/>
    <w:tmpl w:val="2478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45502"/>
    <w:multiLevelType w:val="hybridMultilevel"/>
    <w:tmpl w:val="2DC09DDC"/>
    <w:lvl w:ilvl="0" w:tplc="5A886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27AF1"/>
    <w:multiLevelType w:val="hybridMultilevel"/>
    <w:tmpl w:val="92843F52"/>
    <w:lvl w:ilvl="0" w:tplc="27AC6FC4">
      <w:start w:val="1"/>
      <w:numFmt w:val="lowerLetter"/>
      <w:lvlText w:val="(%1)"/>
      <w:lvlJc w:val="left"/>
      <w:pPr>
        <w:ind w:left="1500" w:hanging="360"/>
      </w:pPr>
      <w:rPr>
        <w:rFonts w:eastAsiaTheme="minorEastAsia" w:cstheme="minorBidi"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BB77E5F"/>
    <w:multiLevelType w:val="hybridMultilevel"/>
    <w:tmpl w:val="27DC7DE2"/>
    <w:lvl w:ilvl="0" w:tplc="39328B9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3971352">
    <w:abstractNumId w:val="0"/>
  </w:num>
  <w:num w:numId="2" w16cid:durableId="482241570">
    <w:abstractNumId w:val="1"/>
  </w:num>
  <w:num w:numId="3" w16cid:durableId="1666979527">
    <w:abstractNumId w:val="5"/>
  </w:num>
  <w:num w:numId="4" w16cid:durableId="1676763396">
    <w:abstractNumId w:val="6"/>
  </w:num>
  <w:num w:numId="5" w16cid:durableId="872423968">
    <w:abstractNumId w:val="2"/>
  </w:num>
  <w:num w:numId="6" w16cid:durableId="1518227585">
    <w:abstractNumId w:val="8"/>
  </w:num>
  <w:num w:numId="7" w16cid:durableId="214511561">
    <w:abstractNumId w:val="7"/>
  </w:num>
  <w:num w:numId="8" w16cid:durableId="1124928444">
    <w:abstractNumId w:val="11"/>
  </w:num>
  <w:num w:numId="9" w16cid:durableId="631595137">
    <w:abstractNumId w:val="9"/>
  </w:num>
  <w:num w:numId="10" w16cid:durableId="1445805243">
    <w:abstractNumId w:val="4"/>
  </w:num>
  <w:num w:numId="11" w16cid:durableId="1767385948">
    <w:abstractNumId w:val="3"/>
  </w:num>
  <w:num w:numId="12" w16cid:durableId="1735808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1F8"/>
    <w:rsid w:val="00001DFF"/>
    <w:rsid w:val="00003306"/>
    <w:rsid w:val="00013FC2"/>
    <w:rsid w:val="000210D4"/>
    <w:rsid w:val="00024659"/>
    <w:rsid w:val="00051637"/>
    <w:rsid w:val="00051A68"/>
    <w:rsid w:val="00054296"/>
    <w:rsid w:val="0005640A"/>
    <w:rsid w:val="0006007D"/>
    <w:rsid w:val="00063016"/>
    <w:rsid w:val="00066795"/>
    <w:rsid w:val="000745AB"/>
    <w:rsid w:val="00076AF6"/>
    <w:rsid w:val="00085CF2"/>
    <w:rsid w:val="00091854"/>
    <w:rsid w:val="00091897"/>
    <w:rsid w:val="00097CB5"/>
    <w:rsid w:val="000A2B1D"/>
    <w:rsid w:val="000A5721"/>
    <w:rsid w:val="000A6667"/>
    <w:rsid w:val="000A68C1"/>
    <w:rsid w:val="000B1705"/>
    <w:rsid w:val="000B5BE6"/>
    <w:rsid w:val="000C5287"/>
    <w:rsid w:val="000C57C9"/>
    <w:rsid w:val="000D5E34"/>
    <w:rsid w:val="000D75B2"/>
    <w:rsid w:val="000E6E83"/>
    <w:rsid w:val="000F5C30"/>
    <w:rsid w:val="000F5DDB"/>
    <w:rsid w:val="000F7289"/>
    <w:rsid w:val="0010504C"/>
    <w:rsid w:val="00111878"/>
    <w:rsid w:val="001121F5"/>
    <w:rsid w:val="00117710"/>
    <w:rsid w:val="00121DAD"/>
    <w:rsid w:val="00122502"/>
    <w:rsid w:val="00122E84"/>
    <w:rsid w:val="0013543C"/>
    <w:rsid w:val="001400DC"/>
    <w:rsid w:val="00140CE1"/>
    <w:rsid w:val="0015042B"/>
    <w:rsid w:val="001539BF"/>
    <w:rsid w:val="00161E95"/>
    <w:rsid w:val="00162913"/>
    <w:rsid w:val="0017539C"/>
    <w:rsid w:val="00175AC2"/>
    <w:rsid w:val="0017609F"/>
    <w:rsid w:val="001918FF"/>
    <w:rsid w:val="00194A0E"/>
    <w:rsid w:val="00195573"/>
    <w:rsid w:val="001A15CC"/>
    <w:rsid w:val="001A3154"/>
    <w:rsid w:val="001A7D1D"/>
    <w:rsid w:val="001B51DD"/>
    <w:rsid w:val="001C2DDD"/>
    <w:rsid w:val="001C628E"/>
    <w:rsid w:val="001C67C7"/>
    <w:rsid w:val="001D6C23"/>
    <w:rsid w:val="001E0F7B"/>
    <w:rsid w:val="001E26FE"/>
    <w:rsid w:val="001E5B3B"/>
    <w:rsid w:val="001F0D26"/>
    <w:rsid w:val="001F3062"/>
    <w:rsid w:val="001F5569"/>
    <w:rsid w:val="00200665"/>
    <w:rsid w:val="00206B50"/>
    <w:rsid w:val="00210EAB"/>
    <w:rsid w:val="002119FD"/>
    <w:rsid w:val="002130E0"/>
    <w:rsid w:val="00215855"/>
    <w:rsid w:val="00217C20"/>
    <w:rsid w:val="00221939"/>
    <w:rsid w:val="00221F46"/>
    <w:rsid w:val="0022590E"/>
    <w:rsid w:val="00234CEF"/>
    <w:rsid w:val="00240B32"/>
    <w:rsid w:val="00240D8D"/>
    <w:rsid w:val="00244963"/>
    <w:rsid w:val="00252FF7"/>
    <w:rsid w:val="0025751A"/>
    <w:rsid w:val="00264425"/>
    <w:rsid w:val="00265875"/>
    <w:rsid w:val="00267562"/>
    <w:rsid w:val="0027303B"/>
    <w:rsid w:val="0027559E"/>
    <w:rsid w:val="0028109B"/>
    <w:rsid w:val="002A2188"/>
    <w:rsid w:val="002B1F58"/>
    <w:rsid w:val="002C1C7A"/>
    <w:rsid w:val="002C35D8"/>
    <w:rsid w:val="002C54E2"/>
    <w:rsid w:val="002D6871"/>
    <w:rsid w:val="002E740C"/>
    <w:rsid w:val="002F6943"/>
    <w:rsid w:val="0030160F"/>
    <w:rsid w:val="003016D8"/>
    <w:rsid w:val="00302AA7"/>
    <w:rsid w:val="00315056"/>
    <w:rsid w:val="00316B3D"/>
    <w:rsid w:val="00320223"/>
    <w:rsid w:val="00321771"/>
    <w:rsid w:val="00322D0D"/>
    <w:rsid w:val="00327B4E"/>
    <w:rsid w:val="00330103"/>
    <w:rsid w:val="00332C37"/>
    <w:rsid w:val="00351EFE"/>
    <w:rsid w:val="00361465"/>
    <w:rsid w:val="003622CC"/>
    <w:rsid w:val="00371F33"/>
    <w:rsid w:val="00384F74"/>
    <w:rsid w:val="003877F5"/>
    <w:rsid w:val="00391553"/>
    <w:rsid w:val="00393557"/>
    <w:rsid w:val="003936D3"/>
    <w:rsid w:val="003942D4"/>
    <w:rsid w:val="00395344"/>
    <w:rsid w:val="003958A8"/>
    <w:rsid w:val="00396E10"/>
    <w:rsid w:val="00396F60"/>
    <w:rsid w:val="003A0937"/>
    <w:rsid w:val="003B29C2"/>
    <w:rsid w:val="003B3D41"/>
    <w:rsid w:val="003B7867"/>
    <w:rsid w:val="003C2533"/>
    <w:rsid w:val="003C4CF4"/>
    <w:rsid w:val="003D453C"/>
    <w:rsid w:val="003D5A7F"/>
    <w:rsid w:val="003E2565"/>
    <w:rsid w:val="003F0D10"/>
    <w:rsid w:val="0040365D"/>
    <w:rsid w:val="0040435A"/>
    <w:rsid w:val="00406360"/>
    <w:rsid w:val="00411A03"/>
    <w:rsid w:val="004143CF"/>
    <w:rsid w:val="0041542D"/>
    <w:rsid w:val="00416A24"/>
    <w:rsid w:val="004271F4"/>
    <w:rsid w:val="00427BFF"/>
    <w:rsid w:val="00431D9E"/>
    <w:rsid w:val="00433CE8"/>
    <w:rsid w:val="00434734"/>
    <w:rsid w:val="00434A5C"/>
    <w:rsid w:val="0044571F"/>
    <w:rsid w:val="00453079"/>
    <w:rsid w:val="004544D9"/>
    <w:rsid w:val="00456AA2"/>
    <w:rsid w:val="00462806"/>
    <w:rsid w:val="00463287"/>
    <w:rsid w:val="00471EEB"/>
    <w:rsid w:val="00472BAD"/>
    <w:rsid w:val="004811F8"/>
    <w:rsid w:val="00484009"/>
    <w:rsid w:val="00490E72"/>
    <w:rsid w:val="00491157"/>
    <w:rsid w:val="00491BA9"/>
    <w:rsid w:val="004921C8"/>
    <w:rsid w:val="00495B0B"/>
    <w:rsid w:val="004972D2"/>
    <w:rsid w:val="0049747D"/>
    <w:rsid w:val="004A13B2"/>
    <w:rsid w:val="004A1B8B"/>
    <w:rsid w:val="004A42D5"/>
    <w:rsid w:val="004A51E3"/>
    <w:rsid w:val="004B25A1"/>
    <w:rsid w:val="004B7B32"/>
    <w:rsid w:val="004C4187"/>
    <w:rsid w:val="004C621D"/>
    <w:rsid w:val="004D0E64"/>
    <w:rsid w:val="004D1851"/>
    <w:rsid w:val="004D2F1B"/>
    <w:rsid w:val="004D599D"/>
    <w:rsid w:val="004E2EA5"/>
    <w:rsid w:val="004E3AEB"/>
    <w:rsid w:val="004E660E"/>
    <w:rsid w:val="004E67D5"/>
    <w:rsid w:val="0050223C"/>
    <w:rsid w:val="0052290B"/>
    <w:rsid w:val="005243FF"/>
    <w:rsid w:val="00537026"/>
    <w:rsid w:val="00553176"/>
    <w:rsid w:val="00556553"/>
    <w:rsid w:val="00563ECB"/>
    <w:rsid w:val="0056443B"/>
    <w:rsid w:val="00564FBC"/>
    <w:rsid w:val="0056663A"/>
    <w:rsid w:val="00567453"/>
    <w:rsid w:val="00572C8C"/>
    <w:rsid w:val="005800BC"/>
    <w:rsid w:val="00581E04"/>
    <w:rsid w:val="00582442"/>
    <w:rsid w:val="005C3482"/>
    <w:rsid w:val="005C692D"/>
    <w:rsid w:val="005D27C0"/>
    <w:rsid w:val="005D7194"/>
    <w:rsid w:val="005E0F2D"/>
    <w:rsid w:val="005F1E9A"/>
    <w:rsid w:val="005F3269"/>
    <w:rsid w:val="005F617A"/>
    <w:rsid w:val="005F7635"/>
    <w:rsid w:val="00601590"/>
    <w:rsid w:val="00602235"/>
    <w:rsid w:val="00612174"/>
    <w:rsid w:val="0061557C"/>
    <w:rsid w:val="00623AE3"/>
    <w:rsid w:val="00626808"/>
    <w:rsid w:val="00626E7B"/>
    <w:rsid w:val="00630C4D"/>
    <w:rsid w:val="006315D2"/>
    <w:rsid w:val="00644EC6"/>
    <w:rsid w:val="0064737F"/>
    <w:rsid w:val="00653028"/>
    <w:rsid w:val="006535F1"/>
    <w:rsid w:val="0065557D"/>
    <w:rsid w:val="00660D50"/>
    <w:rsid w:val="00662984"/>
    <w:rsid w:val="00670000"/>
    <w:rsid w:val="006716BB"/>
    <w:rsid w:val="006738F8"/>
    <w:rsid w:val="006750E8"/>
    <w:rsid w:val="00682287"/>
    <w:rsid w:val="006842D9"/>
    <w:rsid w:val="00692F8F"/>
    <w:rsid w:val="006A1514"/>
    <w:rsid w:val="006B1859"/>
    <w:rsid w:val="006B6680"/>
    <w:rsid w:val="006B6DCC"/>
    <w:rsid w:val="006B77F1"/>
    <w:rsid w:val="006C3128"/>
    <w:rsid w:val="006C3354"/>
    <w:rsid w:val="006C5ECF"/>
    <w:rsid w:val="006D40AB"/>
    <w:rsid w:val="006D7CF5"/>
    <w:rsid w:val="006F0E23"/>
    <w:rsid w:val="00702DEF"/>
    <w:rsid w:val="00706861"/>
    <w:rsid w:val="007127DC"/>
    <w:rsid w:val="00722551"/>
    <w:rsid w:val="00722F52"/>
    <w:rsid w:val="00723FA9"/>
    <w:rsid w:val="007249F0"/>
    <w:rsid w:val="007266FC"/>
    <w:rsid w:val="00732A5A"/>
    <w:rsid w:val="00744D1E"/>
    <w:rsid w:val="007475B1"/>
    <w:rsid w:val="0075051B"/>
    <w:rsid w:val="007522E7"/>
    <w:rsid w:val="0075754F"/>
    <w:rsid w:val="00762934"/>
    <w:rsid w:val="00762987"/>
    <w:rsid w:val="0077110E"/>
    <w:rsid w:val="007723CA"/>
    <w:rsid w:val="00772E83"/>
    <w:rsid w:val="0077718D"/>
    <w:rsid w:val="00777586"/>
    <w:rsid w:val="007816EB"/>
    <w:rsid w:val="00781869"/>
    <w:rsid w:val="00782D83"/>
    <w:rsid w:val="00782F25"/>
    <w:rsid w:val="007920B5"/>
    <w:rsid w:val="00793188"/>
    <w:rsid w:val="00794D34"/>
    <w:rsid w:val="00797C7D"/>
    <w:rsid w:val="007A0C4F"/>
    <w:rsid w:val="007A3FCD"/>
    <w:rsid w:val="007A4234"/>
    <w:rsid w:val="007B19CF"/>
    <w:rsid w:val="007B4D8C"/>
    <w:rsid w:val="007C2933"/>
    <w:rsid w:val="007C2CCF"/>
    <w:rsid w:val="007C333C"/>
    <w:rsid w:val="007C5CA0"/>
    <w:rsid w:val="007C67DF"/>
    <w:rsid w:val="007D01AF"/>
    <w:rsid w:val="007D5759"/>
    <w:rsid w:val="007E229D"/>
    <w:rsid w:val="007E4867"/>
    <w:rsid w:val="007F7D8A"/>
    <w:rsid w:val="0080189E"/>
    <w:rsid w:val="008052D5"/>
    <w:rsid w:val="00813E5E"/>
    <w:rsid w:val="0081576C"/>
    <w:rsid w:val="00820A98"/>
    <w:rsid w:val="0082637E"/>
    <w:rsid w:val="00830254"/>
    <w:rsid w:val="00831341"/>
    <w:rsid w:val="0083279B"/>
    <w:rsid w:val="0083581B"/>
    <w:rsid w:val="008365EF"/>
    <w:rsid w:val="00837A00"/>
    <w:rsid w:val="00842D60"/>
    <w:rsid w:val="00851ACB"/>
    <w:rsid w:val="00851CF2"/>
    <w:rsid w:val="00854B8B"/>
    <w:rsid w:val="00861B4A"/>
    <w:rsid w:val="00862731"/>
    <w:rsid w:val="00863874"/>
    <w:rsid w:val="00864AFF"/>
    <w:rsid w:val="00865925"/>
    <w:rsid w:val="00875AA3"/>
    <w:rsid w:val="008A18D6"/>
    <w:rsid w:val="008A5843"/>
    <w:rsid w:val="008B4A6A"/>
    <w:rsid w:val="008B55F5"/>
    <w:rsid w:val="008B6B75"/>
    <w:rsid w:val="008B6C26"/>
    <w:rsid w:val="008C58D0"/>
    <w:rsid w:val="008C7E27"/>
    <w:rsid w:val="008E19D1"/>
    <w:rsid w:val="008E3D6A"/>
    <w:rsid w:val="008F3498"/>
    <w:rsid w:val="008F60BC"/>
    <w:rsid w:val="008F7448"/>
    <w:rsid w:val="008F77DA"/>
    <w:rsid w:val="0090147A"/>
    <w:rsid w:val="00901B38"/>
    <w:rsid w:val="00901CC2"/>
    <w:rsid w:val="00903A53"/>
    <w:rsid w:val="009056D2"/>
    <w:rsid w:val="0090759F"/>
    <w:rsid w:val="009173EF"/>
    <w:rsid w:val="00926C50"/>
    <w:rsid w:val="00926F20"/>
    <w:rsid w:val="00932906"/>
    <w:rsid w:val="009335BC"/>
    <w:rsid w:val="00937EFD"/>
    <w:rsid w:val="00945CC6"/>
    <w:rsid w:val="009538C9"/>
    <w:rsid w:val="00955925"/>
    <w:rsid w:val="00961B0B"/>
    <w:rsid w:val="00962D33"/>
    <w:rsid w:val="00964476"/>
    <w:rsid w:val="0096468A"/>
    <w:rsid w:val="00964A29"/>
    <w:rsid w:val="00971BB5"/>
    <w:rsid w:val="00977D18"/>
    <w:rsid w:val="00981F18"/>
    <w:rsid w:val="00983516"/>
    <w:rsid w:val="009A03FA"/>
    <w:rsid w:val="009B38C3"/>
    <w:rsid w:val="009C4DC6"/>
    <w:rsid w:val="009C7612"/>
    <w:rsid w:val="009E17BD"/>
    <w:rsid w:val="009E485A"/>
    <w:rsid w:val="009F01E5"/>
    <w:rsid w:val="009F3B7E"/>
    <w:rsid w:val="00A04CEC"/>
    <w:rsid w:val="00A10E25"/>
    <w:rsid w:val="00A11910"/>
    <w:rsid w:val="00A16AC5"/>
    <w:rsid w:val="00A16F6D"/>
    <w:rsid w:val="00A26F0E"/>
    <w:rsid w:val="00A27F92"/>
    <w:rsid w:val="00A310AF"/>
    <w:rsid w:val="00A32257"/>
    <w:rsid w:val="00A3662D"/>
    <w:rsid w:val="00A368FC"/>
    <w:rsid w:val="00A36D20"/>
    <w:rsid w:val="00A432D5"/>
    <w:rsid w:val="00A43FB4"/>
    <w:rsid w:val="00A44EF9"/>
    <w:rsid w:val="00A459E6"/>
    <w:rsid w:val="00A500D4"/>
    <w:rsid w:val="00A514A4"/>
    <w:rsid w:val="00A52560"/>
    <w:rsid w:val="00A55622"/>
    <w:rsid w:val="00A625A3"/>
    <w:rsid w:val="00A67417"/>
    <w:rsid w:val="00A76782"/>
    <w:rsid w:val="00A77154"/>
    <w:rsid w:val="00A82D83"/>
    <w:rsid w:val="00A83502"/>
    <w:rsid w:val="00A91F08"/>
    <w:rsid w:val="00A94BAB"/>
    <w:rsid w:val="00AA3891"/>
    <w:rsid w:val="00AA4DED"/>
    <w:rsid w:val="00AA56BA"/>
    <w:rsid w:val="00AD15B3"/>
    <w:rsid w:val="00AD3606"/>
    <w:rsid w:val="00AD4A3D"/>
    <w:rsid w:val="00AD677D"/>
    <w:rsid w:val="00AE1A34"/>
    <w:rsid w:val="00AF6E49"/>
    <w:rsid w:val="00B04A67"/>
    <w:rsid w:val="00B0583C"/>
    <w:rsid w:val="00B10191"/>
    <w:rsid w:val="00B10448"/>
    <w:rsid w:val="00B23591"/>
    <w:rsid w:val="00B25B43"/>
    <w:rsid w:val="00B40A81"/>
    <w:rsid w:val="00B44910"/>
    <w:rsid w:val="00B50007"/>
    <w:rsid w:val="00B518E3"/>
    <w:rsid w:val="00B573A3"/>
    <w:rsid w:val="00B63751"/>
    <w:rsid w:val="00B72267"/>
    <w:rsid w:val="00B76EB6"/>
    <w:rsid w:val="00B7737B"/>
    <w:rsid w:val="00B824C8"/>
    <w:rsid w:val="00B84B9D"/>
    <w:rsid w:val="00B90B3C"/>
    <w:rsid w:val="00B9131F"/>
    <w:rsid w:val="00B94D89"/>
    <w:rsid w:val="00B96F26"/>
    <w:rsid w:val="00BA031A"/>
    <w:rsid w:val="00BB0646"/>
    <w:rsid w:val="00BB66C8"/>
    <w:rsid w:val="00BC251A"/>
    <w:rsid w:val="00BD032B"/>
    <w:rsid w:val="00BD08B0"/>
    <w:rsid w:val="00BE01C6"/>
    <w:rsid w:val="00BE2640"/>
    <w:rsid w:val="00BE538A"/>
    <w:rsid w:val="00BF1325"/>
    <w:rsid w:val="00BF169A"/>
    <w:rsid w:val="00BF1FDE"/>
    <w:rsid w:val="00BF209B"/>
    <w:rsid w:val="00BF2FDA"/>
    <w:rsid w:val="00BF6C5C"/>
    <w:rsid w:val="00C01189"/>
    <w:rsid w:val="00C0458D"/>
    <w:rsid w:val="00C11783"/>
    <w:rsid w:val="00C25F39"/>
    <w:rsid w:val="00C321E1"/>
    <w:rsid w:val="00C374DE"/>
    <w:rsid w:val="00C4199A"/>
    <w:rsid w:val="00C42FA7"/>
    <w:rsid w:val="00C459AD"/>
    <w:rsid w:val="00C4791C"/>
    <w:rsid w:val="00C47AD4"/>
    <w:rsid w:val="00C51603"/>
    <w:rsid w:val="00C52D81"/>
    <w:rsid w:val="00C52E51"/>
    <w:rsid w:val="00C55198"/>
    <w:rsid w:val="00C634D7"/>
    <w:rsid w:val="00C64A27"/>
    <w:rsid w:val="00C6520B"/>
    <w:rsid w:val="00C663D0"/>
    <w:rsid w:val="00C727D5"/>
    <w:rsid w:val="00C75A9C"/>
    <w:rsid w:val="00CA6393"/>
    <w:rsid w:val="00CA7995"/>
    <w:rsid w:val="00CB18FF"/>
    <w:rsid w:val="00CB3A44"/>
    <w:rsid w:val="00CB6E2F"/>
    <w:rsid w:val="00CC0D49"/>
    <w:rsid w:val="00CC1940"/>
    <w:rsid w:val="00CC2FFB"/>
    <w:rsid w:val="00CC3A1F"/>
    <w:rsid w:val="00CC6F92"/>
    <w:rsid w:val="00CD0C08"/>
    <w:rsid w:val="00CD5527"/>
    <w:rsid w:val="00CE03FB"/>
    <w:rsid w:val="00CE433C"/>
    <w:rsid w:val="00CF0161"/>
    <w:rsid w:val="00CF33F3"/>
    <w:rsid w:val="00CF4A2B"/>
    <w:rsid w:val="00D019F1"/>
    <w:rsid w:val="00D024CA"/>
    <w:rsid w:val="00D06183"/>
    <w:rsid w:val="00D077A3"/>
    <w:rsid w:val="00D22C42"/>
    <w:rsid w:val="00D2328F"/>
    <w:rsid w:val="00D233B4"/>
    <w:rsid w:val="00D27072"/>
    <w:rsid w:val="00D321D1"/>
    <w:rsid w:val="00D32A81"/>
    <w:rsid w:val="00D34B67"/>
    <w:rsid w:val="00D35547"/>
    <w:rsid w:val="00D5366C"/>
    <w:rsid w:val="00D610BF"/>
    <w:rsid w:val="00D65041"/>
    <w:rsid w:val="00D70E20"/>
    <w:rsid w:val="00D81CB3"/>
    <w:rsid w:val="00D84826"/>
    <w:rsid w:val="00D849B6"/>
    <w:rsid w:val="00DA7002"/>
    <w:rsid w:val="00DB069F"/>
    <w:rsid w:val="00DB0C2F"/>
    <w:rsid w:val="00DB0FC2"/>
    <w:rsid w:val="00DB1512"/>
    <w:rsid w:val="00DB1698"/>
    <w:rsid w:val="00DB1936"/>
    <w:rsid w:val="00DB384B"/>
    <w:rsid w:val="00DB5B51"/>
    <w:rsid w:val="00DB75E1"/>
    <w:rsid w:val="00DC0C9C"/>
    <w:rsid w:val="00DD07C7"/>
    <w:rsid w:val="00DD11ED"/>
    <w:rsid w:val="00DD36EA"/>
    <w:rsid w:val="00DE110F"/>
    <w:rsid w:val="00DF0189"/>
    <w:rsid w:val="00DF26C9"/>
    <w:rsid w:val="00DF3CED"/>
    <w:rsid w:val="00E06FD5"/>
    <w:rsid w:val="00E10E80"/>
    <w:rsid w:val="00E124F0"/>
    <w:rsid w:val="00E227F3"/>
    <w:rsid w:val="00E27F65"/>
    <w:rsid w:val="00E32AA3"/>
    <w:rsid w:val="00E33B2B"/>
    <w:rsid w:val="00E34C23"/>
    <w:rsid w:val="00E40084"/>
    <w:rsid w:val="00E40F74"/>
    <w:rsid w:val="00E46C2A"/>
    <w:rsid w:val="00E5240C"/>
    <w:rsid w:val="00E545C6"/>
    <w:rsid w:val="00E55FEF"/>
    <w:rsid w:val="00E56768"/>
    <w:rsid w:val="00E60F04"/>
    <w:rsid w:val="00E6172F"/>
    <w:rsid w:val="00E65B24"/>
    <w:rsid w:val="00E702E1"/>
    <w:rsid w:val="00E748EA"/>
    <w:rsid w:val="00E854E4"/>
    <w:rsid w:val="00E86DBF"/>
    <w:rsid w:val="00E95109"/>
    <w:rsid w:val="00E969AF"/>
    <w:rsid w:val="00EA5F08"/>
    <w:rsid w:val="00EB04CA"/>
    <w:rsid w:val="00EB0D6F"/>
    <w:rsid w:val="00EB2232"/>
    <w:rsid w:val="00EB469C"/>
    <w:rsid w:val="00EB56DD"/>
    <w:rsid w:val="00EB781D"/>
    <w:rsid w:val="00EC5337"/>
    <w:rsid w:val="00EC6F47"/>
    <w:rsid w:val="00ED270B"/>
    <w:rsid w:val="00ED2C50"/>
    <w:rsid w:val="00EE301F"/>
    <w:rsid w:val="00EE49E8"/>
    <w:rsid w:val="00EF07CC"/>
    <w:rsid w:val="00EF1069"/>
    <w:rsid w:val="00F16BAB"/>
    <w:rsid w:val="00F17A4E"/>
    <w:rsid w:val="00F2150A"/>
    <w:rsid w:val="00F22C5D"/>
    <w:rsid w:val="00F231D8"/>
    <w:rsid w:val="00F23DCB"/>
    <w:rsid w:val="00F377B5"/>
    <w:rsid w:val="00F37E11"/>
    <w:rsid w:val="00F41209"/>
    <w:rsid w:val="00F41AE0"/>
    <w:rsid w:val="00F43F71"/>
    <w:rsid w:val="00F44C00"/>
    <w:rsid w:val="00F45D2C"/>
    <w:rsid w:val="00F46C5F"/>
    <w:rsid w:val="00F632C0"/>
    <w:rsid w:val="00F641E1"/>
    <w:rsid w:val="00F92560"/>
    <w:rsid w:val="00F94A63"/>
    <w:rsid w:val="00FA1C28"/>
    <w:rsid w:val="00FA30DD"/>
    <w:rsid w:val="00FA4C33"/>
    <w:rsid w:val="00FA4D9C"/>
    <w:rsid w:val="00FA5904"/>
    <w:rsid w:val="00FB1279"/>
    <w:rsid w:val="00FB6B76"/>
    <w:rsid w:val="00FB7596"/>
    <w:rsid w:val="00FD49CB"/>
    <w:rsid w:val="00FD62BA"/>
    <w:rsid w:val="00FE27EF"/>
    <w:rsid w:val="00FE4077"/>
    <w:rsid w:val="00FE500D"/>
    <w:rsid w:val="00FE6C36"/>
    <w:rsid w:val="00FE77D2"/>
    <w:rsid w:val="00FF085B"/>
    <w:rsid w:val="00FF2257"/>
    <w:rsid w:val="00FF39B1"/>
    <w:rsid w:val="00FF482E"/>
    <w:rsid w:val="00FF493E"/>
    <w:rsid w:val="00FF5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095992CB-951E-46F8-828A-E2188A25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47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customStyle="1" w:styleId="UnresolvedMention1">
    <w:name w:val="Unresolved Mention1"/>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7A0C4F"/>
    <w:pPr>
      <w:ind w:left="720"/>
      <w:contextualSpacing/>
    </w:pPr>
  </w:style>
  <w:style w:type="paragraph" w:styleId="Revision">
    <w:name w:val="Revision"/>
    <w:hidden/>
    <w:uiPriority w:val="99"/>
    <w:semiHidden/>
    <w:rsid w:val="007D5759"/>
    <w:rPr>
      <w:rFonts w:ascii="Calibri" w:hAnsi="Calibri"/>
      <w:sz w:val="24"/>
      <w:lang w:val="en-GB" w:eastAsia="en-US"/>
    </w:rPr>
  </w:style>
  <w:style w:type="paragraph" w:styleId="BalloonText">
    <w:name w:val="Balloon Text"/>
    <w:basedOn w:val="Normal"/>
    <w:link w:val="BalloonTextChar"/>
    <w:semiHidden/>
    <w:unhideWhenUsed/>
    <w:rsid w:val="00396F6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96F60"/>
    <w:rPr>
      <w:rFonts w:ascii="Segoe UI" w:hAnsi="Segoe UI" w:cs="Segoe UI"/>
      <w:sz w:val="18"/>
      <w:szCs w:val="18"/>
      <w:lang w:val="en-GB" w:eastAsia="en-US"/>
    </w:rPr>
  </w:style>
  <w:style w:type="character" w:customStyle="1" w:styleId="UnresolvedMention2">
    <w:name w:val="Unresolved Mention2"/>
    <w:basedOn w:val="DefaultParagraphFont"/>
    <w:uiPriority w:val="99"/>
    <w:semiHidden/>
    <w:unhideWhenUsed/>
    <w:rsid w:val="001C2DDD"/>
    <w:rPr>
      <w:color w:val="605E5C"/>
      <w:shd w:val="clear" w:color="auto" w:fill="E1DFDD"/>
    </w:rPr>
  </w:style>
  <w:style w:type="character" w:styleId="CommentReference">
    <w:name w:val="annotation reference"/>
    <w:basedOn w:val="DefaultParagraphFont"/>
    <w:semiHidden/>
    <w:unhideWhenUsed/>
    <w:rsid w:val="00837A00"/>
    <w:rPr>
      <w:sz w:val="16"/>
      <w:szCs w:val="16"/>
    </w:rPr>
  </w:style>
  <w:style w:type="paragraph" w:styleId="CommentText">
    <w:name w:val="annotation text"/>
    <w:basedOn w:val="Normal"/>
    <w:link w:val="CommentTextChar"/>
    <w:semiHidden/>
    <w:unhideWhenUsed/>
    <w:rsid w:val="00837A00"/>
    <w:rPr>
      <w:sz w:val="20"/>
    </w:rPr>
  </w:style>
  <w:style w:type="character" w:customStyle="1" w:styleId="CommentTextChar">
    <w:name w:val="Comment Text Char"/>
    <w:basedOn w:val="DefaultParagraphFont"/>
    <w:link w:val="CommentText"/>
    <w:semiHidden/>
    <w:rsid w:val="00837A00"/>
    <w:rPr>
      <w:rFonts w:ascii="Calibri" w:hAnsi="Calibri"/>
      <w:lang w:val="en-GB" w:eastAsia="en-US"/>
    </w:rPr>
  </w:style>
  <w:style w:type="paragraph" w:styleId="CommentSubject">
    <w:name w:val="annotation subject"/>
    <w:basedOn w:val="CommentText"/>
    <w:next w:val="CommentText"/>
    <w:link w:val="CommentSubjectChar"/>
    <w:semiHidden/>
    <w:unhideWhenUsed/>
    <w:rsid w:val="00837A00"/>
    <w:rPr>
      <w:b/>
      <w:bCs/>
    </w:rPr>
  </w:style>
  <w:style w:type="character" w:customStyle="1" w:styleId="CommentSubjectChar">
    <w:name w:val="Comment Subject Char"/>
    <w:basedOn w:val="CommentTextChar"/>
    <w:link w:val="CommentSubject"/>
    <w:semiHidden/>
    <w:rsid w:val="00837A00"/>
    <w:rPr>
      <w:rFonts w:ascii="Calibri" w:hAnsi="Calibri"/>
      <w:b/>
      <w:bCs/>
      <w:lang w:val="en-GB" w:eastAsia="en-US"/>
    </w:rPr>
  </w:style>
  <w:style w:type="character" w:styleId="UnresolvedMention">
    <w:name w:val="Unresolved Mention"/>
    <w:basedOn w:val="DefaultParagraphFont"/>
    <w:uiPriority w:val="99"/>
    <w:semiHidden/>
    <w:unhideWhenUsed/>
    <w:rsid w:val="00F22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26/en"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itu.int/en/council/Documents/basic-texts-2023/RES-146-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23-CL-C-0121/e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3148A-E8A3-495E-AAE5-44F25C5D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602</Words>
  <Characters>3578</Characters>
  <Application>Microsoft Office Word</Application>
  <DocSecurity>0</DocSecurity>
  <Lines>76</Lines>
  <Paragraphs>37</Paragraphs>
  <ScaleCrop>false</ScaleCrop>
  <HeadingPairs>
    <vt:vector size="2" baseType="variant">
      <vt:variant>
        <vt:lpstr>Title</vt:lpstr>
      </vt:variant>
      <vt:variant>
        <vt:i4>1</vt:i4>
      </vt:variant>
    </vt:vector>
  </HeadingPairs>
  <TitlesOfParts>
    <vt:vector size="1" baseType="lpstr">
      <vt:lpstr>Multicountry contribution - Report on the outcomes of the 3rd and 4th meetings of the Expert Group on International Telecommunications Regulations</vt:lpstr>
    </vt:vector>
  </TitlesOfParts>
  <Manager>General Secretariat</Manager>
  <Company>International Telecommunication Union (ITU)</Company>
  <LinksUpToDate>false</LinksUpToDate>
  <CharactersWithSpaces>4143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Report on the outcomes of the 3rd and 4th meetings of the Expert Group on International Telecommunications Regulations</dc:title>
  <dc:subject>Council 2025</dc:subject>
  <cp:keywords>C25; C2025; Council 2025; ITU160</cp:keywords>
  <dc:description/>
  <cp:lastPrinted>2000-07-18T13:30:00Z</cp:lastPrinted>
  <dcterms:created xsi:type="dcterms:W3CDTF">2025-06-04T07:10:00Z</dcterms:created>
  <dcterms:modified xsi:type="dcterms:W3CDTF">2025-06-04T15:57:00Z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