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3AB2C92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D74C62" w:rsidRPr="00D74C62">
              <w:rPr>
                <w:rFonts w:cstheme="minorHAnsi"/>
                <w:b/>
                <w:bCs/>
              </w:rPr>
              <w:t>PL 2</w:t>
            </w:r>
          </w:p>
        </w:tc>
        <w:tc>
          <w:tcPr>
            <w:tcW w:w="5245" w:type="dxa"/>
          </w:tcPr>
          <w:p w14:paraId="64410F78" w14:textId="7A3D2816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="00D74C62" w:rsidRPr="00D74C62">
              <w:rPr>
                <w:b/>
              </w:rPr>
              <w:t>C25</w:t>
            </w:r>
            <w:proofErr w:type="spellEnd"/>
            <w:r w:rsidR="00D74C62" w:rsidRPr="00D74C62">
              <w:rPr>
                <w:b/>
              </w:rPr>
              <w:t>/92-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785D1B20" w:rsidR="00E24D59" w:rsidRPr="00E85629" w:rsidRDefault="00D74C62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687C20D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D74C62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45F815A4" w:rsidR="00E24D59" w:rsidRPr="00E24D59" w:rsidRDefault="007C53CD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7C53CD">
              <w:rPr>
                <w:rFonts w:cstheme="minorHAnsi" w:hint="eastAsia"/>
                <w:sz w:val="34"/>
                <w:szCs w:val="34"/>
                <w:lang w:eastAsia="zh-CN"/>
              </w:rPr>
              <w:t>南非</w:t>
            </w:r>
            <w:r>
              <w:rPr>
                <w:rFonts w:cstheme="minorHAnsi" w:hint="eastAsia"/>
                <w:sz w:val="34"/>
                <w:szCs w:val="34"/>
                <w:lang w:eastAsia="zh-CN"/>
              </w:rPr>
              <w:t>（</w:t>
            </w:r>
            <w:r w:rsidRPr="007C53CD">
              <w:rPr>
                <w:rFonts w:cstheme="minorHAnsi" w:hint="eastAsia"/>
                <w:sz w:val="34"/>
                <w:szCs w:val="34"/>
                <w:lang w:eastAsia="zh-CN"/>
              </w:rPr>
              <w:t>共和国</w:t>
            </w:r>
            <w:r w:rsidRPr="00F37C24">
              <w:rPr>
                <w:rFonts w:cstheme="minorHAnsi" w:hint="eastAsia"/>
                <w:sz w:val="34"/>
                <w:szCs w:val="34"/>
                <w:lang w:eastAsia="zh-CN"/>
              </w:rPr>
              <w:t>）、沙特阿拉伯（王国）、</w:t>
            </w:r>
            <w:r w:rsidR="00110EDD">
              <w:rPr>
                <w:rFonts w:cstheme="minorHAnsi"/>
                <w:sz w:val="34"/>
                <w:szCs w:val="34"/>
                <w:lang w:eastAsia="zh-CN"/>
              </w:rPr>
              <w:br/>
            </w:r>
            <w:r w:rsidRPr="00F37C24">
              <w:rPr>
                <w:rFonts w:cstheme="minorHAnsi" w:hint="eastAsia"/>
                <w:sz w:val="34"/>
                <w:szCs w:val="34"/>
                <w:lang w:eastAsia="zh-CN"/>
              </w:rPr>
              <w:t>（阿拉伯）埃及（共和国）</w:t>
            </w:r>
            <w:r w:rsidR="00D74C62" w:rsidRPr="00F37C24">
              <w:rPr>
                <w:rFonts w:cstheme="minorHAnsi" w:hint="eastAsia"/>
                <w:sz w:val="34"/>
                <w:szCs w:val="34"/>
                <w:lang w:eastAsia="zh-CN"/>
              </w:rPr>
              <w:t>和</w:t>
            </w:r>
            <w:r w:rsidRPr="00F37C24">
              <w:rPr>
                <w:rFonts w:cstheme="minorHAnsi" w:hint="eastAsia"/>
                <w:sz w:val="34"/>
                <w:szCs w:val="34"/>
                <w:lang w:eastAsia="zh-CN"/>
              </w:rPr>
              <w:t>肯尼亚（共和国）</w:t>
            </w:r>
            <w:r w:rsidR="00D74C62" w:rsidRPr="00F37C24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1CD71C8D" w:rsidR="00E24D59" w:rsidRPr="00477D57" w:rsidRDefault="001B5CF9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eastAsia="SimSun" w:hint="eastAsia"/>
                <w:lang w:eastAsia="zh-CN"/>
              </w:rPr>
              <w:t>关于《</w:t>
            </w:r>
            <w:r w:rsidRPr="001B5CF9">
              <w:rPr>
                <w:rFonts w:eastAsia="SimSun" w:hint="eastAsia"/>
                <w:lang w:eastAsia="zh-CN"/>
              </w:rPr>
              <w:t>国际电信规则</w:t>
            </w:r>
            <w:r>
              <w:rPr>
                <w:rFonts w:eastAsia="SimSun" w:hint="eastAsia"/>
                <w:lang w:eastAsia="zh-CN"/>
              </w:rPr>
              <w:t>》</w:t>
            </w:r>
            <w:r w:rsidRPr="001B5CF9">
              <w:rPr>
                <w:rFonts w:eastAsia="SimSun" w:hint="eastAsia"/>
                <w:lang w:eastAsia="zh-CN"/>
              </w:rPr>
              <w:t>专家组</w:t>
            </w:r>
            <w:r w:rsidR="00D74C62" w:rsidRPr="00D74C62">
              <w:rPr>
                <w:rFonts w:eastAsia="SimSun" w:hint="eastAsia"/>
                <w:lang w:eastAsia="zh-CN"/>
              </w:rPr>
              <w:t>第</w:t>
            </w:r>
            <w:r w:rsidRPr="00D74C62">
              <w:rPr>
                <w:rFonts w:eastAsia="SimSun"/>
                <w:lang w:eastAsia="zh-CN"/>
              </w:rPr>
              <w:t>3</w:t>
            </w:r>
            <w:r w:rsidRPr="00D74C62">
              <w:rPr>
                <w:rFonts w:eastAsia="SimSun" w:hint="eastAsia"/>
                <w:lang w:eastAsia="zh-CN"/>
              </w:rPr>
              <w:t>次</w:t>
            </w:r>
            <w:r w:rsidR="00D74C62" w:rsidRPr="00D74C62">
              <w:rPr>
                <w:rFonts w:eastAsia="SimSun" w:hint="eastAsia"/>
                <w:lang w:eastAsia="zh-CN"/>
              </w:rPr>
              <w:t>和第</w:t>
            </w:r>
            <w:r w:rsidRPr="00D74C62">
              <w:rPr>
                <w:rFonts w:eastAsia="SimSun"/>
                <w:lang w:eastAsia="zh-CN"/>
              </w:rPr>
              <w:t>4</w:t>
            </w:r>
            <w:r w:rsidR="00D74C62" w:rsidRPr="00D74C62">
              <w:rPr>
                <w:rFonts w:eastAsia="SimSun" w:hint="eastAsia"/>
                <w:lang w:eastAsia="zh-CN"/>
              </w:rPr>
              <w:t>次会议成果</w:t>
            </w:r>
            <w:r>
              <w:rPr>
                <w:rFonts w:eastAsia="SimSun" w:hint="eastAsia"/>
                <w:lang w:eastAsia="zh-CN"/>
              </w:rPr>
              <w:t>的</w:t>
            </w:r>
            <w:r w:rsidR="00D74C62" w:rsidRPr="00D74C62">
              <w:rPr>
                <w:rFonts w:eastAsia="SimSun" w:hint="eastAsia"/>
                <w:lang w:eastAsia="zh-CN"/>
              </w:rPr>
              <w:t>报告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5963001B" w:rsidR="003F086E" w:rsidRPr="00D74C62" w:rsidRDefault="00D74C62" w:rsidP="00D74C62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D74C62">
              <w:rPr>
                <w:rFonts w:eastAsiaTheme="majorEastAsia" w:cs="Calibri" w:hint="eastAsia"/>
                <w:lang w:eastAsia="zh-CN"/>
              </w:rPr>
              <w:t>本文稿</w:t>
            </w:r>
            <w:r w:rsidR="00C86163">
              <w:rPr>
                <w:rFonts w:eastAsiaTheme="majorEastAsia" w:cs="Calibri" w:hint="eastAsia"/>
                <w:lang w:eastAsia="zh-CN"/>
              </w:rPr>
              <w:t>旨在</w:t>
            </w:r>
            <w:r w:rsidRPr="00D74C62">
              <w:rPr>
                <w:rFonts w:eastAsiaTheme="majorEastAsia" w:cs="Calibri" w:hint="eastAsia"/>
                <w:lang w:eastAsia="zh-CN"/>
              </w:rPr>
              <w:t>向理事会强调</w:t>
            </w:r>
            <w:r w:rsidR="00C86163">
              <w:rPr>
                <w:rFonts w:eastAsiaTheme="majorEastAsia" w:cs="Calibri" w:hint="eastAsia"/>
                <w:lang w:eastAsia="zh-CN"/>
              </w:rPr>
              <w:t>《</w:t>
            </w:r>
            <w:r w:rsidR="00E66650" w:rsidRPr="00E66650">
              <w:rPr>
                <w:rFonts w:eastAsiaTheme="majorEastAsia" w:cs="Calibri" w:hint="eastAsia"/>
                <w:lang w:eastAsia="zh-CN"/>
              </w:rPr>
              <w:t>国际电信规则</w:t>
            </w:r>
            <w:r w:rsidR="00C86163">
              <w:rPr>
                <w:rFonts w:eastAsiaTheme="majorEastAsia" w:cs="Calibri" w:hint="eastAsia"/>
                <w:lang w:eastAsia="zh-CN"/>
              </w:rPr>
              <w:t>》</w:t>
            </w:r>
            <w:r w:rsidR="00E66650">
              <w:rPr>
                <w:rFonts w:eastAsiaTheme="majorEastAsia" w:cs="Calibri" w:hint="eastAsia"/>
                <w:lang w:eastAsia="zh-CN"/>
              </w:rPr>
              <w:t>（</w:t>
            </w:r>
            <w:proofErr w:type="spellStart"/>
            <w:r w:rsidR="00E66650" w:rsidRPr="00D74C62">
              <w:rPr>
                <w:rFonts w:eastAsiaTheme="majorEastAsia" w:cs="Calibri"/>
                <w:lang w:eastAsia="zh-CN"/>
              </w:rPr>
              <w:t>ITR</w:t>
            </w:r>
            <w:proofErr w:type="spellEnd"/>
            <w:r w:rsidR="00E66650">
              <w:rPr>
                <w:rFonts w:eastAsiaTheme="majorEastAsia" w:cs="Calibri" w:hint="eastAsia"/>
                <w:lang w:eastAsia="zh-CN"/>
              </w:rPr>
              <w:t>）</w:t>
            </w:r>
            <w:r w:rsidR="007A4599">
              <w:rPr>
                <w:rFonts w:eastAsiaTheme="majorEastAsia" w:cs="Calibri" w:hint="eastAsia"/>
                <w:lang w:eastAsia="zh-CN"/>
              </w:rPr>
              <w:t>对于</w:t>
            </w:r>
            <w:r w:rsidRPr="00D74C62">
              <w:rPr>
                <w:rFonts w:eastAsiaTheme="majorEastAsia" w:cs="Calibri" w:hint="eastAsia"/>
                <w:lang w:eastAsia="zh-CN"/>
              </w:rPr>
              <w:t>确保</w:t>
            </w:r>
            <w:r w:rsidR="00E66650">
              <w:rPr>
                <w:rFonts w:eastAsiaTheme="majorEastAsia" w:cs="Calibri" w:hint="eastAsia"/>
                <w:lang w:eastAsia="zh-CN"/>
              </w:rPr>
              <w:t>所有人都能从</w:t>
            </w:r>
            <w:r w:rsidRPr="00D74C62">
              <w:rPr>
                <w:rFonts w:eastAsiaTheme="majorEastAsia" w:cs="Calibri" w:hint="eastAsia"/>
                <w:lang w:eastAsia="zh-CN"/>
              </w:rPr>
              <w:t>信息通信技术</w:t>
            </w:r>
            <w:r w:rsidR="00E66650">
              <w:rPr>
                <w:rFonts w:eastAsiaTheme="majorEastAsia" w:cs="Calibri" w:hint="eastAsia"/>
                <w:lang w:eastAsia="zh-CN"/>
              </w:rPr>
              <w:t>（</w:t>
            </w:r>
            <w:r w:rsidR="00E66650" w:rsidRPr="00D74C62">
              <w:rPr>
                <w:rFonts w:eastAsiaTheme="majorEastAsia" w:cs="Calibri"/>
                <w:lang w:eastAsia="zh-CN"/>
              </w:rPr>
              <w:t>ICT</w:t>
            </w:r>
            <w:r w:rsidR="00E66650">
              <w:rPr>
                <w:rFonts w:eastAsiaTheme="majorEastAsia" w:cs="Calibri" w:hint="eastAsia"/>
                <w:lang w:eastAsia="zh-CN"/>
              </w:rPr>
              <w:t>）</w:t>
            </w:r>
            <w:r w:rsidRPr="00D74C62">
              <w:rPr>
                <w:rFonts w:eastAsiaTheme="majorEastAsia" w:cs="Calibri" w:hint="eastAsia"/>
                <w:lang w:eastAsia="zh-CN"/>
              </w:rPr>
              <w:t>的使用和进步</w:t>
            </w:r>
            <w:r w:rsidR="00E66650">
              <w:rPr>
                <w:rFonts w:eastAsiaTheme="majorEastAsia" w:cs="Calibri" w:hint="eastAsia"/>
                <w:lang w:eastAsia="zh-CN"/>
              </w:rPr>
              <w:t>中受益</w:t>
            </w:r>
            <w:r w:rsidRPr="00D74C62">
              <w:rPr>
                <w:rFonts w:eastAsiaTheme="majorEastAsia" w:cs="Calibri" w:hint="eastAsia"/>
                <w:lang w:eastAsia="zh-CN"/>
              </w:rPr>
              <w:t>的重要性</w:t>
            </w:r>
            <w:r w:rsidR="00E66650">
              <w:rPr>
                <w:rFonts w:eastAsiaTheme="majorEastAsia" w:cs="Calibri" w:hint="eastAsia"/>
                <w:lang w:eastAsia="zh-CN"/>
              </w:rPr>
              <w:t>。</w:t>
            </w:r>
            <w:proofErr w:type="spellStart"/>
            <w:r w:rsidR="00E66650" w:rsidRPr="00D74C62">
              <w:rPr>
                <w:rFonts w:eastAsiaTheme="majorEastAsia" w:cs="Calibri"/>
                <w:lang w:eastAsia="zh-CN"/>
              </w:rPr>
              <w:t>ITR</w:t>
            </w:r>
            <w:proofErr w:type="spellEnd"/>
            <w:r w:rsidRPr="00D74C62">
              <w:rPr>
                <w:rFonts w:eastAsiaTheme="majorEastAsia" w:cs="Calibri" w:hint="eastAsia"/>
                <w:lang w:eastAsia="zh-CN"/>
              </w:rPr>
              <w:t>在</w:t>
            </w:r>
            <w:r w:rsidR="00AA0EAA">
              <w:rPr>
                <w:rFonts w:eastAsiaTheme="majorEastAsia" w:cs="Calibri" w:hint="eastAsia"/>
                <w:lang w:eastAsia="zh-CN"/>
              </w:rPr>
              <w:t>构建</w:t>
            </w:r>
            <w:r w:rsidRPr="00D74C62">
              <w:rPr>
                <w:rFonts w:eastAsiaTheme="majorEastAsia" w:cs="Calibri" w:hint="eastAsia"/>
                <w:lang w:eastAsia="zh-CN"/>
              </w:rPr>
              <w:t>互连和包容的世界方面发挥着至关重要的作用</w:t>
            </w:r>
            <w:r w:rsidR="00E66650">
              <w:rPr>
                <w:rFonts w:eastAsiaTheme="majorEastAsia" w:cs="Calibri" w:hint="eastAsia"/>
                <w:lang w:eastAsia="zh-CN"/>
              </w:rPr>
              <w:t>。</w:t>
            </w:r>
            <w:r w:rsidRPr="00D74C62">
              <w:rPr>
                <w:rFonts w:eastAsiaTheme="majorEastAsia" w:cs="Calibri" w:hint="eastAsia"/>
                <w:lang w:eastAsia="zh-CN"/>
              </w:rPr>
              <w:t>因此</w:t>
            </w:r>
            <w:r w:rsidR="00E66650">
              <w:rPr>
                <w:rFonts w:eastAsiaTheme="majorEastAsia" w:cs="Calibri" w:hint="eastAsia"/>
                <w:lang w:eastAsia="zh-CN"/>
              </w:rPr>
              <w:t>，</w:t>
            </w:r>
            <w:r w:rsidRPr="00D74C62">
              <w:rPr>
                <w:rFonts w:eastAsiaTheme="majorEastAsia" w:cs="Calibri" w:hint="eastAsia"/>
                <w:lang w:eastAsia="zh-CN"/>
              </w:rPr>
              <w:t>应对其进行</w:t>
            </w:r>
            <w:r w:rsidR="00E66650">
              <w:rPr>
                <w:rFonts w:eastAsiaTheme="majorEastAsia" w:cs="Calibri" w:hint="eastAsia"/>
                <w:lang w:eastAsia="zh-CN"/>
              </w:rPr>
              <w:t>审查，</w:t>
            </w:r>
            <w:r w:rsidRPr="00D74C62">
              <w:rPr>
                <w:rFonts w:eastAsiaTheme="majorEastAsia" w:cs="Calibri" w:hint="eastAsia"/>
                <w:lang w:eastAsia="zh-CN"/>
              </w:rPr>
              <w:t>以反映电信和</w:t>
            </w:r>
            <w:r w:rsidR="00E66650" w:rsidRPr="00D74C62">
              <w:rPr>
                <w:rFonts w:eastAsiaTheme="majorEastAsia" w:cs="Calibri"/>
                <w:lang w:eastAsia="zh-CN"/>
              </w:rPr>
              <w:t>ICT</w:t>
            </w:r>
            <w:r w:rsidRPr="00D74C62">
              <w:rPr>
                <w:rFonts w:eastAsiaTheme="majorEastAsia" w:cs="Calibri" w:hint="eastAsia"/>
                <w:lang w:eastAsia="zh-CN"/>
              </w:rPr>
              <w:t>行业的</w:t>
            </w:r>
            <w:r w:rsidR="00E66650">
              <w:rPr>
                <w:rFonts w:eastAsiaTheme="majorEastAsia" w:cs="Calibri" w:hint="eastAsia"/>
                <w:lang w:eastAsia="zh-CN"/>
              </w:rPr>
              <w:t>新</w:t>
            </w:r>
            <w:r w:rsidRPr="00D74C62">
              <w:rPr>
                <w:rFonts w:eastAsiaTheme="majorEastAsia" w:cs="Calibri" w:hint="eastAsia"/>
                <w:lang w:eastAsia="zh-CN"/>
              </w:rPr>
              <w:t>趋势和</w:t>
            </w:r>
            <w:r w:rsidR="00E66650">
              <w:rPr>
                <w:rFonts w:eastAsiaTheme="majorEastAsia" w:cs="Calibri" w:hint="eastAsia"/>
                <w:lang w:eastAsia="zh-CN"/>
              </w:rPr>
              <w:t>不断出现的</w:t>
            </w:r>
            <w:r w:rsidRPr="00D74C62">
              <w:rPr>
                <w:rFonts w:eastAsiaTheme="majorEastAsia" w:cs="Calibri" w:hint="eastAsia"/>
                <w:lang w:eastAsia="zh-CN"/>
              </w:rPr>
              <w:t>新问题</w:t>
            </w:r>
            <w:r w:rsidR="00E66650">
              <w:rPr>
                <w:rFonts w:eastAsiaTheme="majorEastAsia" w:cs="Calibri" w:hint="eastAsia"/>
                <w:lang w:eastAsia="zh-CN"/>
              </w:rPr>
              <w:t>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2C04A266" w:rsidR="003F086E" w:rsidRPr="00D74C62" w:rsidRDefault="00D74C62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D74C62">
              <w:rPr>
                <w:rFonts w:eastAsiaTheme="majorEastAsia" w:cs="Calibri" w:hint="eastAsia"/>
                <w:lang w:eastAsia="zh-CN"/>
              </w:rPr>
              <w:t>请理事会审议</w:t>
            </w:r>
            <w:r w:rsidR="007A4599">
              <w:rPr>
                <w:rFonts w:eastAsiaTheme="majorEastAsia" w:cs="Calibri" w:hint="eastAsia"/>
                <w:lang w:eastAsia="zh-CN"/>
              </w:rPr>
              <w:t>本</w:t>
            </w:r>
            <w:r w:rsidR="007A4599" w:rsidRPr="00D74C62">
              <w:rPr>
                <w:rFonts w:eastAsiaTheme="majorEastAsia" w:cs="Calibri" w:hint="eastAsia"/>
                <w:lang w:eastAsia="zh-CN"/>
              </w:rPr>
              <w:t>文稿</w:t>
            </w:r>
            <w:r w:rsidRPr="00D74C62">
              <w:rPr>
                <w:rFonts w:eastAsiaTheme="majorEastAsia" w:cs="Calibri" w:hint="eastAsia"/>
                <w:lang w:eastAsia="zh-CN"/>
              </w:rPr>
              <w:t>并记录在案</w:t>
            </w:r>
            <w:r w:rsidR="00B45D8F">
              <w:rPr>
                <w:rFonts w:eastAsiaTheme="majorEastAsia" w:cs="Calibri" w:hint="eastAsia"/>
                <w:lang w:eastAsia="zh-CN"/>
              </w:rPr>
              <w:t>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445712EB" w:rsidR="00E24D59" w:rsidRPr="00D74C62" w:rsidRDefault="00D74C62" w:rsidP="00D62844">
            <w:pPr>
              <w:spacing w:after="120"/>
              <w:ind w:firstLineChars="200" w:firstLine="440"/>
              <w:rPr>
                <w:rFonts w:eastAsiaTheme="majorEastAsia" w:cs="Calibri"/>
                <w:sz w:val="22"/>
                <w:szCs w:val="22"/>
                <w:lang w:eastAsia="zh-CN"/>
              </w:rPr>
            </w:pPr>
            <w:r w:rsidRPr="00D74C62">
              <w:rPr>
                <w:rFonts w:ascii="STKaiti" w:eastAsia="STKaiti" w:hAnsi="STKaiti" w:cs="Calibri" w:hint="eastAsia"/>
                <w:sz w:val="22"/>
                <w:szCs w:val="22"/>
                <w:lang w:val="en-ZA" w:eastAsia="zh-CN"/>
              </w:rPr>
              <w:t>理事会</w:t>
            </w:r>
            <w:r w:rsidR="00EC4F79">
              <w:fldChar w:fldCharType="begin"/>
            </w:r>
            <w:r w:rsidR="00EC4F79">
              <w:rPr>
                <w:lang w:eastAsia="zh-CN"/>
              </w:rPr>
              <w:instrText>HYPERLINK "https://www.itu.int/md/S25-CL-C-0026/en"</w:instrText>
            </w:r>
            <w:r w:rsidR="00EC4F79">
              <w:fldChar w:fldCharType="separate"/>
            </w:r>
            <w:proofErr w:type="spellStart"/>
            <w:r w:rsidR="00EC4F79" w:rsidRPr="00EC4F79">
              <w:rPr>
                <w:rStyle w:val="Hyperlink"/>
                <w:rFonts w:eastAsiaTheme="majorEastAsia" w:cs="Calibri"/>
                <w:bCs/>
                <w:noProof w:val="0"/>
                <w:sz w:val="22"/>
                <w:szCs w:val="22"/>
                <w:lang w:eastAsia="zh-CN"/>
              </w:rPr>
              <w:t>C25</w:t>
            </w:r>
            <w:proofErr w:type="spellEnd"/>
            <w:r w:rsidR="00EC4F79" w:rsidRPr="00EC4F79">
              <w:rPr>
                <w:rStyle w:val="Hyperlink"/>
                <w:rFonts w:eastAsiaTheme="majorEastAsia" w:cs="Calibri"/>
                <w:bCs/>
                <w:noProof w:val="0"/>
                <w:sz w:val="22"/>
                <w:szCs w:val="22"/>
                <w:lang w:eastAsia="zh-CN"/>
              </w:rPr>
              <w:t>/26</w:t>
            </w:r>
            <w:r w:rsidR="00EC4F79">
              <w:fldChar w:fldCharType="end"/>
            </w:r>
            <w:r w:rsidRPr="00D74C62">
              <w:rPr>
                <w:rFonts w:ascii="STKaiti" w:eastAsia="STKaiti" w:hAnsi="STKaiti" w:cs="Calibri" w:hint="eastAsia"/>
                <w:sz w:val="22"/>
                <w:szCs w:val="22"/>
                <w:lang w:val="en-ZA" w:eastAsia="zh-CN"/>
              </w:rPr>
              <w:t>号文件</w:t>
            </w:r>
            <w:r w:rsidR="00EC4F79">
              <w:rPr>
                <w:rFonts w:ascii="STKaiti" w:eastAsia="STKaiti" w:hAnsi="STKaiti" w:cs="Calibri" w:hint="eastAsia"/>
                <w:sz w:val="22"/>
                <w:szCs w:val="22"/>
                <w:lang w:val="en-ZA" w:eastAsia="zh-CN"/>
              </w:rPr>
              <w:t>；</w:t>
            </w:r>
            <w:r w:rsidRPr="00D74C62">
              <w:rPr>
                <w:rFonts w:ascii="STKaiti" w:eastAsia="STKaiti" w:hAnsi="STKaiti" w:cs="Calibri" w:hint="eastAsia"/>
                <w:sz w:val="22"/>
                <w:szCs w:val="22"/>
                <w:lang w:val="en-ZA" w:eastAsia="zh-CN"/>
              </w:rPr>
              <w:t>理事会</w:t>
            </w:r>
            <w:hyperlink r:id="rId8" w:history="1">
              <w:r w:rsidR="00EC4F79" w:rsidRPr="00EC4F79">
                <w:rPr>
                  <w:rStyle w:val="Hyperlink"/>
                  <w:rFonts w:ascii="STKaiti" w:eastAsia="STKaiti" w:hAnsi="STKaiti" w:cs="Calibri" w:hint="eastAsia"/>
                  <w:bCs/>
                  <w:noProof w:val="0"/>
                  <w:sz w:val="22"/>
                  <w:szCs w:val="22"/>
                  <w:lang w:eastAsia="zh-CN"/>
                </w:rPr>
                <w:t>第</w:t>
              </w:r>
              <w:r w:rsidR="00EC4F79" w:rsidRPr="00EC4F79">
                <w:rPr>
                  <w:rStyle w:val="Hyperlink"/>
                  <w:rFonts w:eastAsiaTheme="majorEastAsia" w:cs="Calibri"/>
                  <w:bCs/>
                  <w:noProof w:val="0"/>
                  <w:sz w:val="22"/>
                  <w:szCs w:val="22"/>
                  <w:lang w:eastAsia="zh-CN"/>
                </w:rPr>
                <w:t>1379</w:t>
              </w:r>
              <w:r w:rsidR="00EC4F79" w:rsidRPr="00EC4F79">
                <w:rPr>
                  <w:rStyle w:val="Hyperlink"/>
                  <w:rFonts w:ascii="STKaiti" w:eastAsia="STKaiti" w:hAnsi="STKaiti" w:cs="Calibri" w:hint="eastAsia"/>
                  <w:bCs/>
                  <w:noProof w:val="0"/>
                  <w:sz w:val="22"/>
                  <w:szCs w:val="22"/>
                  <w:lang w:eastAsia="zh-CN"/>
                </w:rPr>
                <w:t>号决议（</w:t>
              </w:r>
              <w:proofErr w:type="spellStart"/>
              <w:r w:rsidR="00EC4F79" w:rsidRPr="00EC4F79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val="en-ZA" w:eastAsia="zh-CN"/>
                </w:rPr>
                <w:t>C16</w:t>
              </w:r>
              <w:proofErr w:type="spellEnd"/>
              <w:r w:rsidR="00EC4F79" w:rsidRPr="00EC4F79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val="en-ZA" w:eastAsia="zh-CN"/>
                </w:rPr>
                <w:t>，最后修正</w:t>
              </w:r>
              <w:proofErr w:type="spellStart"/>
              <w:r w:rsidR="00EC4F79" w:rsidRPr="00EC4F79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val="en-ZA" w:eastAsia="zh-CN"/>
                </w:rPr>
                <w:t>C23</w:t>
              </w:r>
              <w:proofErr w:type="spellEnd"/>
              <w:r w:rsidR="00EC4F79" w:rsidRPr="00EC4F79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val="en-ZA" w:eastAsia="zh-CN"/>
                </w:rPr>
                <w:t>）</w:t>
              </w:r>
            </w:hyperlink>
            <w:r w:rsidR="00EC4F79">
              <w:rPr>
                <w:rFonts w:ascii="STKaiti" w:eastAsia="STKaiti" w:hAnsi="STKaiti" w:cs="Calibri" w:hint="eastAsia"/>
                <w:sz w:val="22"/>
                <w:szCs w:val="22"/>
                <w:lang w:val="en-ZA" w:eastAsia="zh-CN"/>
              </w:rPr>
              <w:t>；</w:t>
            </w:r>
            <w:r w:rsidRPr="00D74C62">
              <w:rPr>
                <w:rFonts w:ascii="STKaiti" w:eastAsia="STKaiti" w:hAnsi="STKaiti" w:cs="Calibri" w:hint="eastAsia"/>
                <w:sz w:val="22"/>
                <w:szCs w:val="22"/>
                <w:lang w:val="en-ZA" w:eastAsia="zh-CN"/>
              </w:rPr>
              <w:t>全权代表大会</w:t>
            </w:r>
            <w:hyperlink r:id="rId9" w:history="1">
              <w:r w:rsidR="00EC4F79" w:rsidRPr="00EC4F79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val="en-ZA" w:eastAsia="zh-CN"/>
                </w:rPr>
                <w:t>第</w:t>
              </w:r>
              <w:r w:rsidR="00EC4F79" w:rsidRPr="00EC4F79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val="en-ZA" w:eastAsia="zh-CN"/>
                </w:rPr>
                <w:t>146</w:t>
              </w:r>
              <w:r w:rsidR="00EC4F79" w:rsidRPr="00EC4F79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val="en-ZA" w:eastAsia="zh-CN"/>
                </w:rPr>
                <w:t>号决议（</w:t>
              </w:r>
              <w:r w:rsidR="00EC4F79" w:rsidRPr="00EC4F79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val="en-ZA" w:eastAsia="zh-CN"/>
                </w:rPr>
                <w:t>2022</w:t>
              </w:r>
              <w:r w:rsidR="00EC4F79" w:rsidRPr="00EC4F79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val="en-ZA" w:eastAsia="zh-CN"/>
                </w:rPr>
                <w:t>年，布加勒斯特，修订版）</w:t>
              </w:r>
            </w:hyperlink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4EF0A7F" w14:textId="00661B32" w:rsidR="00D74C62" w:rsidRPr="00D74C62" w:rsidRDefault="00D74C62" w:rsidP="00110EDD">
      <w:pPr>
        <w:pStyle w:val="Headingb"/>
        <w:rPr>
          <w:lang w:eastAsia="zh-CN"/>
        </w:rPr>
      </w:pPr>
      <w:r w:rsidRPr="00D74C62">
        <w:rPr>
          <w:rFonts w:hint="eastAsia"/>
          <w:lang w:eastAsia="zh-CN"/>
        </w:rPr>
        <w:lastRenderedPageBreak/>
        <w:t>背景</w:t>
      </w:r>
    </w:p>
    <w:p w14:paraId="617266D4" w14:textId="77F4D0F4" w:rsidR="00D74C62" w:rsidRPr="00D74C62" w:rsidRDefault="00D74C62" w:rsidP="00110EDD">
      <w:pPr>
        <w:ind w:firstLineChars="200" w:firstLine="480"/>
        <w:rPr>
          <w:lang w:eastAsia="zh-CN"/>
        </w:rPr>
      </w:pPr>
      <w:r w:rsidRPr="00D74C62">
        <w:rPr>
          <w:rFonts w:hint="eastAsia"/>
          <w:lang w:eastAsia="zh-CN"/>
        </w:rPr>
        <w:t>全权代表大会第</w:t>
      </w:r>
      <w:r w:rsidRPr="00D74C62">
        <w:rPr>
          <w:rFonts w:hint="eastAsia"/>
          <w:lang w:eastAsia="zh-CN"/>
        </w:rPr>
        <w:t>146</w:t>
      </w:r>
      <w:r w:rsidRPr="00D74C62">
        <w:rPr>
          <w:rFonts w:hint="eastAsia"/>
          <w:lang w:eastAsia="zh-CN"/>
        </w:rPr>
        <w:t>号决议</w:t>
      </w:r>
      <w:r w:rsidR="00342900">
        <w:rPr>
          <w:rFonts w:hint="eastAsia"/>
          <w:lang w:eastAsia="zh-CN"/>
        </w:rPr>
        <w:t>（</w:t>
      </w:r>
      <w:r w:rsidR="00342900" w:rsidRPr="00D74C62">
        <w:rPr>
          <w:rFonts w:hint="eastAsia"/>
          <w:lang w:eastAsia="zh-CN"/>
        </w:rPr>
        <w:t>2022</w:t>
      </w:r>
      <w:r w:rsidR="00342900" w:rsidRPr="00D74C62">
        <w:rPr>
          <w:rFonts w:hint="eastAsia"/>
          <w:lang w:eastAsia="zh-CN"/>
        </w:rPr>
        <w:t>年</w:t>
      </w:r>
      <w:r w:rsidR="00342900">
        <w:rPr>
          <w:rFonts w:hint="eastAsia"/>
          <w:lang w:eastAsia="zh-CN"/>
        </w:rPr>
        <w:t>，</w:t>
      </w:r>
      <w:r w:rsidR="00342900" w:rsidRPr="00D74C62">
        <w:rPr>
          <w:rFonts w:hint="eastAsia"/>
          <w:lang w:eastAsia="zh-CN"/>
        </w:rPr>
        <w:t>布加勒斯特</w:t>
      </w:r>
      <w:r w:rsidR="00342900">
        <w:rPr>
          <w:rFonts w:hint="eastAsia"/>
          <w:lang w:eastAsia="zh-CN"/>
        </w:rPr>
        <w:t>，</w:t>
      </w:r>
      <w:r w:rsidR="00342900" w:rsidRPr="00D74C62">
        <w:rPr>
          <w:rFonts w:hint="eastAsia"/>
          <w:lang w:eastAsia="zh-CN"/>
        </w:rPr>
        <w:t>修订版</w:t>
      </w:r>
      <w:r w:rsidR="00342900">
        <w:rPr>
          <w:rFonts w:hint="eastAsia"/>
          <w:lang w:eastAsia="zh-CN"/>
        </w:rPr>
        <w:t>）</w:t>
      </w:r>
      <w:r w:rsidR="00342900" w:rsidRPr="00342900">
        <w:rPr>
          <w:rFonts w:hint="eastAsia"/>
          <w:lang w:eastAsia="zh-CN"/>
        </w:rPr>
        <w:t>责成国际电联理事会在</w:t>
      </w:r>
      <w:r w:rsidR="00342900" w:rsidRPr="00D74C62">
        <w:rPr>
          <w:lang w:eastAsia="zh-CN"/>
        </w:rPr>
        <w:t>2023</w:t>
      </w:r>
      <w:r w:rsidR="00342900" w:rsidRPr="00342900">
        <w:rPr>
          <w:rFonts w:hint="eastAsia"/>
          <w:lang w:eastAsia="zh-CN"/>
        </w:rPr>
        <w:t>年会议上审查并修订</w:t>
      </w:r>
      <w:proofErr w:type="spellStart"/>
      <w:r w:rsidR="00342900" w:rsidRPr="00D74C62">
        <w:rPr>
          <w:lang w:eastAsia="zh-CN"/>
        </w:rPr>
        <w:t>EG-ITR</w:t>
      </w:r>
      <w:proofErr w:type="spellEnd"/>
      <w:r w:rsidR="00342900" w:rsidRPr="00342900">
        <w:rPr>
          <w:rFonts w:hint="eastAsia"/>
          <w:lang w:eastAsia="zh-CN"/>
        </w:rPr>
        <w:t>的职责范围</w:t>
      </w:r>
      <w:r w:rsidR="00342900">
        <w:rPr>
          <w:rFonts w:hint="eastAsia"/>
          <w:lang w:eastAsia="zh-CN"/>
        </w:rPr>
        <w:t>。</w:t>
      </w:r>
      <w:r w:rsidRPr="00D74C62">
        <w:rPr>
          <w:rFonts w:hint="eastAsia"/>
          <w:lang w:eastAsia="zh-CN"/>
        </w:rPr>
        <w:t>因此</w:t>
      </w:r>
      <w:r w:rsidR="00217349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国际电联理事会在</w:t>
      </w:r>
      <w:r w:rsidR="00217349" w:rsidRPr="00D74C62">
        <w:rPr>
          <w:lang w:eastAsia="zh-CN"/>
        </w:rPr>
        <w:t>2023</w:t>
      </w:r>
      <w:r w:rsidRPr="00D74C62">
        <w:rPr>
          <w:rFonts w:hint="eastAsia"/>
          <w:lang w:eastAsia="zh-CN"/>
        </w:rPr>
        <w:t>年会议</w:t>
      </w:r>
      <w:r w:rsidR="00217349">
        <w:rPr>
          <w:rFonts w:hint="eastAsia"/>
          <w:lang w:eastAsia="zh-CN"/>
        </w:rPr>
        <w:t>（</w:t>
      </w:r>
      <w:r w:rsidR="00217349" w:rsidRPr="00D74C62">
        <w:rPr>
          <w:lang w:eastAsia="zh-CN"/>
        </w:rPr>
        <w:t>2023</w:t>
      </w:r>
      <w:r w:rsidR="00217349" w:rsidRPr="00D74C62">
        <w:rPr>
          <w:rFonts w:hint="eastAsia"/>
          <w:lang w:eastAsia="zh-CN"/>
        </w:rPr>
        <w:t>年</w:t>
      </w:r>
      <w:r w:rsidR="00217349" w:rsidRPr="00D74C62">
        <w:rPr>
          <w:rFonts w:hint="eastAsia"/>
          <w:lang w:eastAsia="zh-CN"/>
        </w:rPr>
        <w:t>7</w:t>
      </w:r>
      <w:r w:rsidR="00217349" w:rsidRPr="00D74C62">
        <w:rPr>
          <w:rFonts w:hint="eastAsia"/>
          <w:lang w:eastAsia="zh-CN"/>
        </w:rPr>
        <w:t>月</w:t>
      </w:r>
      <w:r w:rsidR="00217349" w:rsidRPr="00D74C62">
        <w:rPr>
          <w:lang w:eastAsia="zh-CN"/>
        </w:rPr>
        <w:t>11-21</w:t>
      </w:r>
      <w:r w:rsidR="00217349" w:rsidRPr="00D74C62">
        <w:rPr>
          <w:rFonts w:hint="eastAsia"/>
          <w:lang w:eastAsia="zh-CN"/>
        </w:rPr>
        <w:t>日</w:t>
      </w:r>
      <w:r w:rsidR="00217349">
        <w:rPr>
          <w:rFonts w:hint="eastAsia"/>
          <w:lang w:eastAsia="zh-CN"/>
        </w:rPr>
        <w:t>）</w:t>
      </w:r>
      <w:r w:rsidRPr="00D74C62">
        <w:rPr>
          <w:rFonts w:hint="eastAsia"/>
          <w:lang w:eastAsia="zh-CN"/>
        </w:rPr>
        <w:t>上批准了以下职责范围</w:t>
      </w:r>
      <w:r w:rsidR="00217349">
        <w:rPr>
          <w:rFonts w:hint="eastAsia"/>
          <w:lang w:eastAsia="zh-CN"/>
        </w:rPr>
        <w:t>：</w:t>
      </w:r>
    </w:p>
    <w:p w14:paraId="7CDFB1CC" w14:textId="4C7491B3" w:rsidR="00D74C62" w:rsidRPr="00D74C62" w:rsidRDefault="00C010C4" w:rsidP="00C010C4">
      <w:pPr>
        <w:pStyle w:val="enumlev1"/>
        <w:rPr>
          <w:lang w:eastAsia="zh-CN"/>
        </w:rPr>
      </w:pPr>
      <w:r w:rsidRPr="002374E2">
        <w:rPr>
          <w:i/>
          <w:iCs/>
          <w:lang w:eastAsia="zh-CN"/>
        </w:rPr>
        <w:t>2)</w:t>
      </w:r>
      <w:r w:rsidRPr="002374E2">
        <w:rPr>
          <w:i/>
          <w:iCs/>
          <w:lang w:eastAsia="zh-CN"/>
        </w:rPr>
        <w:tab/>
      </w:r>
      <w:r w:rsidR="00D74C62" w:rsidRPr="00C010C4">
        <w:rPr>
          <w:rFonts w:ascii="STKaiti" w:eastAsia="STKaiti" w:hAnsi="STKaiti" w:hint="eastAsia"/>
          <w:lang w:eastAsia="zh-CN"/>
        </w:rPr>
        <w:t>考虑到前两个专家组的工作，除其他内容外，</w:t>
      </w:r>
      <w:r w:rsidR="007A4599" w:rsidRPr="00C010C4">
        <w:rPr>
          <w:rFonts w:ascii="STKaiti" w:eastAsia="STKaiti" w:hAnsi="STKaiti" w:hint="eastAsia"/>
          <w:lang w:eastAsia="zh-CN"/>
        </w:rPr>
        <w:t>此次审查</w:t>
      </w:r>
      <w:r w:rsidR="00D74C62" w:rsidRPr="00C010C4">
        <w:rPr>
          <w:rFonts w:ascii="STKaiti" w:eastAsia="STKaiti" w:hAnsi="STKaiti" w:hint="eastAsia"/>
          <w:lang w:eastAsia="zh-CN"/>
        </w:rPr>
        <w:t>可考虑</w:t>
      </w:r>
      <w:r>
        <w:rPr>
          <w:rFonts w:ascii="STKaiti" w:eastAsia="STKaiti" w:hAnsi="STKaiti" w:hint="eastAsia"/>
          <w:lang w:eastAsia="zh-CN"/>
        </w:rPr>
        <w:t>：</w:t>
      </w:r>
    </w:p>
    <w:p w14:paraId="2CB4D6B2" w14:textId="54EFA218" w:rsidR="00D74C62" w:rsidRPr="00446057" w:rsidRDefault="00446057" w:rsidP="00446057">
      <w:pPr>
        <w:pStyle w:val="enumlev2"/>
        <w:rPr>
          <w:rFonts w:asciiTheme="minorHAnsi" w:eastAsia="STKaiti" w:hAnsiTheme="minorHAnsi" w:cstheme="minorHAnsi"/>
          <w:lang w:eastAsia="zh-CN"/>
        </w:rPr>
      </w:pPr>
      <w:r w:rsidRPr="002374E2">
        <w:rPr>
          <w:i/>
          <w:iCs/>
          <w:lang w:eastAsia="zh-CN"/>
        </w:rPr>
        <w:t>a)</w:t>
      </w:r>
      <w:r w:rsidRPr="002374E2">
        <w:rPr>
          <w:i/>
          <w:iCs/>
          <w:lang w:eastAsia="zh-CN"/>
        </w:rPr>
        <w:tab/>
      </w:r>
      <w:r w:rsidR="00A819EF" w:rsidRPr="00446057">
        <w:rPr>
          <w:rFonts w:asciiTheme="minorHAnsi" w:eastAsia="STKaiti" w:hAnsiTheme="minorHAnsi" w:cstheme="minorHAnsi"/>
          <w:lang w:eastAsia="zh-CN"/>
        </w:rPr>
        <w:t>电信</w:t>
      </w:r>
      <w:r w:rsidR="00A819EF" w:rsidRPr="00446057">
        <w:rPr>
          <w:rFonts w:asciiTheme="minorHAnsi" w:eastAsia="STKaiti" w:hAnsiTheme="minorHAnsi" w:cstheme="minorHAnsi"/>
          <w:lang w:eastAsia="zh-CN"/>
        </w:rPr>
        <w:t>/ICT</w:t>
      </w:r>
      <w:r w:rsidR="00A819EF" w:rsidRPr="00446057">
        <w:rPr>
          <w:rFonts w:asciiTheme="minorHAnsi" w:eastAsia="STKaiti" w:hAnsiTheme="minorHAnsi" w:cstheme="minorHAnsi"/>
          <w:lang w:eastAsia="zh-CN"/>
        </w:rPr>
        <w:t>领域</w:t>
      </w:r>
      <w:r w:rsidR="00D74C62" w:rsidRPr="00446057">
        <w:rPr>
          <w:rFonts w:asciiTheme="minorHAnsi" w:eastAsia="STKaiti" w:hAnsiTheme="minorHAnsi" w:cstheme="minorHAnsi"/>
          <w:lang w:eastAsia="zh-CN"/>
        </w:rPr>
        <w:t>的新趋势</w:t>
      </w:r>
      <w:r w:rsidR="007A4599" w:rsidRPr="00446057">
        <w:rPr>
          <w:rFonts w:asciiTheme="minorHAnsi" w:eastAsia="STKaiti" w:hAnsiTheme="minorHAnsi" w:cstheme="minorHAnsi"/>
          <w:lang w:eastAsia="zh-CN"/>
        </w:rPr>
        <w:t>，</w:t>
      </w:r>
      <w:r w:rsidR="00A819EF" w:rsidRPr="00446057">
        <w:rPr>
          <w:rFonts w:asciiTheme="minorHAnsi" w:eastAsia="STKaiti" w:hAnsiTheme="minorHAnsi" w:cstheme="minorHAnsi"/>
          <w:lang w:eastAsia="zh-CN"/>
        </w:rPr>
        <w:t>以及</w:t>
      </w:r>
      <w:r w:rsidR="00D74C62" w:rsidRPr="00446057">
        <w:rPr>
          <w:rFonts w:asciiTheme="minorHAnsi" w:eastAsia="STKaiti" w:hAnsiTheme="minorHAnsi" w:cstheme="minorHAnsi"/>
          <w:lang w:eastAsia="zh-CN"/>
        </w:rPr>
        <w:t>国际电信</w:t>
      </w:r>
      <w:r w:rsidR="00A819EF" w:rsidRPr="00446057">
        <w:rPr>
          <w:rFonts w:asciiTheme="minorHAnsi" w:eastAsia="STKaiti" w:hAnsiTheme="minorHAnsi" w:cstheme="minorHAnsi"/>
          <w:lang w:eastAsia="zh-CN"/>
        </w:rPr>
        <w:t>/ICT</w:t>
      </w:r>
      <w:r w:rsidR="00D74C62" w:rsidRPr="00446057">
        <w:rPr>
          <w:rFonts w:asciiTheme="minorHAnsi" w:eastAsia="STKaiti" w:hAnsiTheme="minorHAnsi" w:cstheme="minorHAnsi"/>
          <w:lang w:eastAsia="zh-CN"/>
        </w:rPr>
        <w:t>环境中</w:t>
      </w:r>
      <w:r w:rsidR="007A4599" w:rsidRPr="00446057">
        <w:rPr>
          <w:rFonts w:asciiTheme="minorHAnsi" w:eastAsia="STKaiti" w:hAnsiTheme="minorHAnsi" w:cstheme="minorHAnsi"/>
          <w:lang w:eastAsia="zh-CN"/>
        </w:rPr>
        <w:t>可能影响</w:t>
      </w:r>
      <w:proofErr w:type="spellStart"/>
      <w:r w:rsidR="007A4599" w:rsidRPr="00446057">
        <w:rPr>
          <w:rFonts w:asciiTheme="minorHAnsi" w:eastAsia="STKaiti" w:hAnsiTheme="minorHAnsi" w:cstheme="minorHAnsi"/>
          <w:lang w:eastAsia="zh-CN"/>
        </w:rPr>
        <w:t>ITR</w:t>
      </w:r>
      <w:proofErr w:type="spellEnd"/>
      <w:r w:rsidR="007A4599" w:rsidRPr="00446057">
        <w:rPr>
          <w:rFonts w:asciiTheme="minorHAnsi" w:eastAsia="STKaiti" w:hAnsiTheme="minorHAnsi" w:cstheme="minorHAnsi"/>
          <w:lang w:eastAsia="zh-CN"/>
        </w:rPr>
        <w:t>的</w:t>
      </w:r>
      <w:r w:rsidR="00D74C62" w:rsidRPr="00446057">
        <w:rPr>
          <w:rFonts w:asciiTheme="minorHAnsi" w:eastAsia="STKaiti" w:hAnsiTheme="minorHAnsi" w:cstheme="minorHAnsi"/>
          <w:lang w:eastAsia="zh-CN"/>
        </w:rPr>
        <w:t>新问题</w:t>
      </w:r>
      <w:r w:rsidR="00A819EF" w:rsidRPr="00446057">
        <w:rPr>
          <w:rFonts w:asciiTheme="minorHAnsi" w:eastAsia="STKaiti" w:hAnsiTheme="minorHAnsi" w:cstheme="minorHAnsi"/>
          <w:lang w:eastAsia="zh-CN"/>
        </w:rPr>
        <w:t>；</w:t>
      </w:r>
    </w:p>
    <w:p w14:paraId="309D409C" w14:textId="666BA783" w:rsidR="00D74C62" w:rsidRPr="00446057" w:rsidRDefault="00446057" w:rsidP="00446057">
      <w:pPr>
        <w:pStyle w:val="enumlev2"/>
        <w:rPr>
          <w:rFonts w:asciiTheme="minorHAnsi" w:eastAsia="STKaiti" w:hAnsiTheme="minorHAnsi" w:cstheme="minorHAnsi"/>
          <w:lang w:eastAsia="zh-CN"/>
        </w:rPr>
      </w:pPr>
      <w:r w:rsidRPr="002374E2">
        <w:rPr>
          <w:i/>
          <w:iCs/>
          <w:lang w:eastAsia="zh-CN"/>
        </w:rPr>
        <w:t>b)</w:t>
      </w:r>
      <w:r w:rsidRPr="002374E2">
        <w:rPr>
          <w:i/>
          <w:iCs/>
          <w:lang w:eastAsia="zh-CN"/>
        </w:rPr>
        <w:tab/>
      </w:r>
      <w:r w:rsidR="00D74C62" w:rsidRPr="00446057">
        <w:rPr>
          <w:rFonts w:asciiTheme="minorHAnsi" w:eastAsia="STKaiti" w:hAnsiTheme="minorHAnsi" w:cstheme="minorHAnsi"/>
          <w:lang w:eastAsia="zh-CN"/>
        </w:rPr>
        <w:t>有关运营机构和</w:t>
      </w:r>
      <w:r w:rsidR="00812C98" w:rsidRPr="00446057">
        <w:rPr>
          <w:rFonts w:asciiTheme="minorHAnsi" w:eastAsia="STKaiti" w:hAnsiTheme="minorHAnsi" w:cstheme="minorHAnsi"/>
          <w:lang w:eastAsia="zh-CN"/>
        </w:rPr>
        <w:t>/</w:t>
      </w:r>
      <w:r w:rsidR="00D74C62" w:rsidRPr="00446057">
        <w:rPr>
          <w:rFonts w:asciiTheme="minorHAnsi" w:eastAsia="STKaiti" w:hAnsiTheme="minorHAnsi" w:cstheme="minorHAnsi"/>
          <w:lang w:eastAsia="zh-CN"/>
        </w:rPr>
        <w:t>或主管部门当前使用</w:t>
      </w:r>
      <w:proofErr w:type="spellStart"/>
      <w:r w:rsidR="00812C98" w:rsidRPr="00446057">
        <w:rPr>
          <w:rFonts w:asciiTheme="minorHAnsi" w:eastAsia="STKaiti" w:hAnsiTheme="minorHAnsi" w:cstheme="minorHAnsi"/>
          <w:lang w:eastAsia="zh-CN"/>
        </w:rPr>
        <w:t>ITR</w:t>
      </w:r>
      <w:proofErr w:type="spellEnd"/>
      <w:r w:rsidR="00D74C62" w:rsidRPr="00446057">
        <w:rPr>
          <w:rFonts w:asciiTheme="minorHAnsi" w:eastAsia="STKaiti" w:hAnsiTheme="minorHAnsi" w:cstheme="minorHAnsi"/>
          <w:lang w:eastAsia="zh-CN"/>
        </w:rPr>
        <w:t>的</w:t>
      </w:r>
      <w:r w:rsidR="00812C98" w:rsidRPr="00446057">
        <w:rPr>
          <w:rFonts w:asciiTheme="minorHAnsi" w:eastAsia="STKaiti" w:hAnsiTheme="minorHAnsi" w:cstheme="minorHAnsi"/>
          <w:lang w:eastAsia="zh-CN"/>
        </w:rPr>
        <w:t>经验数据，以及目前</w:t>
      </w:r>
      <w:r w:rsidR="00D74C62" w:rsidRPr="00446057">
        <w:rPr>
          <w:rFonts w:asciiTheme="minorHAnsi" w:eastAsia="STKaiti" w:hAnsiTheme="minorHAnsi" w:cstheme="minorHAnsi"/>
          <w:lang w:eastAsia="zh-CN"/>
        </w:rPr>
        <w:t>依赖</w:t>
      </w:r>
      <w:proofErr w:type="spellStart"/>
      <w:r w:rsidR="00812C98" w:rsidRPr="00446057">
        <w:rPr>
          <w:rFonts w:asciiTheme="minorHAnsi" w:eastAsia="STKaiti" w:hAnsiTheme="minorHAnsi" w:cstheme="minorHAnsi"/>
          <w:lang w:eastAsia="zh-CN"/>
        </w:rPr>
        <w:t>ITR</w:t>
      </w:r>
      <w:proofErr w:type="spellEnd"/>
      <w:r w:rsidR="00D74C62" w:rsidRPr="00446057">
        <w:rPr>
          <w:rFonts w:asciiTheme="minorHAnsi" w:eastAsia="STKaiti" w:hAnsiTheme="minorHAnsi" w:cstheme="minorHAnsi"/>
          <w:lang w:eastAsia="zh-CN"/>
        </w:rPr>
        <w:t>的全球电信</w:t>
      </w:r>
      <w:r w:rsidR="00D32E74" w:rsidRPr="00446057">
        <w:rPr>
          <w:rFonts w:asciiTheme="minorHAnsi" w:eastAsia="STKaiti" w:hAnsiTheme="minorHAnsi" w:cstheme="minorHAnsi"/>
          <w:lang w:eastAsia="zh-CN"/>
        </w:rPr>
        <w:t>业务</w:t>
      </w:r>
      <w:r w:rsidR="00812C98" w:rsidRPr="00446057">
        <w:rPr>
          <w:rFonts w:asciiTheme="minorHAnsi" w:eastAsia="STKaiti" w:hAnsiTheme="minorHAnsi" w:cstheme="minorHAnsi"/>
          <w:lang w:eastAsia="zh-CN"/>
        </w:rPr>
        <w:t>的</w:t>
      </w:r>
      <w:r w:rsidR="00D74C62" w:rsidRPr="00446057">
        <w:rPr>
          <w:rFonts w:asciiTheme="minorHAnsi" w:eastAsia="STKaiti" w:hAnsiTheme="minorHAnsi" w:cstheme="minorHAnsi"/>
          <w:lang w:eastAsia="zh-CN"/>
        </w:rPr>
        <w:t>比例</w:t>
      </w:r>
      <w:r w:rsidR="00812C98" w:rsidRPr="00446057">
        <w:rPr>
          <w:rFonts w:asciiTheme="minorHAnsi" w:eastAsia="STKaiti" w:hAnsiTheme="minorHAnsi" w:cstheme="minorHAnsi"/>
          <w:lang w:eastAsia="zh-CN"/>
        </w:rPr>
        <w:t>；</w:t>
      </w:r>
      <w:r w:rsidR="00D74C62" w:rsidRPr="00446057">
        <w:rPr>
          <w:rFonts w:asciiTheme="minorHAnsi" w:eastAsia="STKaiti" w:hAnsiTheme="minorHAnsi" w:cstheme="minorHAnsi"/>
          <w:lang w:eastAsia="zh-CN"/>
        </w:rPr>
        <w:t>以及</w:t>
      </w:r>
    </w:p>
    <w:p w14:paraId="1BC46143" w14:textId="66735361" w:rsidR="00D74C62" w:rsidRPr="00446057" w:rsidRDefault="00446057" w:rsidP="00446057">
      <w:pPr>
        <w:pStyle w:val="enumlev2"/>
        <w:rPr>
          <w:rFonts w:asciiTheme="minorHAnsi" w:eastAsia="STKaiti" w:hAnsiTheme="minorHAnsi" w:cstheme="minorHAnsi"/>
          <w:lang w:eastAsia="zh-CN"/>
        </w:rPr>
      </w:pPr>
      <w:r w:rsidRPr="002374E2">
        <w:rPr>
          <w:i/>
          <w:iCs/>
          <w:lang w:eastAsia="zh-CN"/>
        </w:rPr>
        <w:t>c)</w:t>
      </w:r>
      <w:r w:rsidRPr="002374E2">
        <w:rPr>
          <w:i/>
          <w:iCs/>
          <w:lang w:eastAsia="zh-CN"/>
        </w:rPr>
        <w:tab/>
      </w:r>
      <w:r w:rsidRPr="00446057">
        <w:rPr>
          <w:rFonts w:ascii="SimSun" w:hAnsi="SimSun" w:cstheme="minorHAnsi"/>
          <w:lang w:eastAsia="zh-CN"/>
        </w:rPr>
        <w:t>“</w:t>
      </w:r>
      <w:r w:rsidR="00B102C9" w:rsidRPr="00446057">
        <w:rPr>
          <w:rFonts w:asciiTheme="minorHAnsi" w:eastAsia="STKaiti" w:hAnsiTheme="minorHAnsi" w:cstheme="minorHAnsi"/>
          <w:lang w:eastAsia="zh-CN"/>
        </w:rPr>
        <w:t>由高层指导原则构成的</w:t>
      </w:r>
      <w:r w:rsidRPr="00446057">
        <w:rPr>
          <w:rFonts w:ascii="SimSun" w:hAnsi="SimSun" w:cstheme="minorHAnsi"/>
          <w:lang w:eastAsia="zh-CN"/>
        </w:rPr>
        <w:t>”</w:t>
      </w:r>
      <w:proofErr w:type="spellStart"/>
      <w:r w:rsidR="00B102C9" w:rsidRPr="00446057">
        <w:rPr>
          <w:rFonts w:asciiTheme="minorHAnsi" w:eastAsia="STKaiti" w:hAnsiTheme="minorHAnsi" w:cstheme="minorHAnsi"/>
          <w:lang w:eastAsia="zh-CN"/>
        </w:rPr>
        <w:t>ITR</w:t>
      </w:r>
      <w:proofErr w:type="spellEnd"/>
      <w:r w:rsidR="00D74C62" w:rsidRPr="00446057">
        <w:rPr>
          <w:rFonts w:asciiTheme="minorHAnsi" w:eastAsia="STKaiti" w:hAnsiTheme="minorHAnsi" w:cstheme="minorHAnsi"/>
          <w:lang w:eastAsia="zh-CN"/>
        </w:rPr>
        <w:t>在当前电信</w:t>
      </w:r>
      <w:r w:rsidR="00B102C9" w:rsidRPr="00446057">
        <w:rPr>
          <w:rFonts w:asciiTheme="minorHAnsi" w:eastAsia="STKaiti" w:hAnsiTheme="minorHAnsi" w:cstheme="minorHAnsi"/>
          <w:lang w:eastAsia="zh-CN"/>
        </w:rPr>
        <w:t>/ICT</w:t>
      </w:r>
      <w:r w:rsidR="00D74C62" w:rsidRPr="00446057">
        <w:rPr>
          <w:rFonts w:asciiTheme="minorHAnsi" w:eastAsia="STKaiti" w:hAnsiTheme="minorHAnsi" w:cstheme="minorHAnsi"/>
          <w:lang w:eastAsia="zh-CN"/>
        </w:rPr>
        <w:t>环境中的相关性</w:t>
      </w:r>
      <w:r w:rsidR="00CB44DC">
        <w:rPr>
          <w:rFonts w:asciiTheme="minorHAnsi" w:eastAsia="STKaiti" w:hAnsiTheme="minorHAnsi" w:cstheme="minorHAnsi" w:hint="eastAsia"/>
          <w:lang w:eastAsia="zh-CN"/>
        </w:rPr>
        <w:t>。</w:t>
      </w:r>
    </w:p>
    <w:p w14:paraId="57D410D8" w14:textId="45C4837D" w:rsidR="00D74C62" w:rsidRPr="00110EDD" w:rsidRDefault="00B102C9" w:rsidP="00110EDD">
      <w:pPr>
        <w:pStyle w:val="Headingb"/>
        <w:rPr>
          <w:lang w:eastAsia="zh-CN"/>
        </w:rPr>
      </w:pPr>
      <w:proofErr w:type="spellStart"/>
      <w:r w:rsidRPr="00110EDD">
        <w:rPr>
          <w:lang w:eastAsia="zh-CN"/>
        </w:rPr>
        <w:t>ITR</w:t>
      </w:r>
      <w:proofErr w:type="spellEnd"/>
      <w:r w:rsidR="00D74C62" w:rsidRPr="00110EDD">
        <w:rPr>
          <w:rFonts w:hint="eastAsia"/>
          <w:lang w:eastAsia="zh-CN"/>
        </w:rPr>
        <w:t>专家组的工作</w:t>
      </w:r>
    </w:p>
    <w:p w14:paraId="7D970F93" w14:textId="49A72459" w:rsidR="00D74C62" w:rsidRPr="00D74C62" w:rsidRDefault="005060D5" w:rsidP="00110E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</w:t>
      </w:r>
      <w:r w:rsidR="00D74C62" w:rsidRPr="00D74C62">
        <w:rPr>
          <w:rFonts w:hint="eastAsia"/>
          <w:lang w:eastAsia="zh-CN"/>
        </w:rPr>
        <w:t>成员国积极参</w:t>
      </w:r>
      <w:r>
        <w:rPr>
          <w:rFonts w:hint="eastAsia"/>
          <w:lang w:eastAsia="zh-CN"/>
        </w:rPr>
        <w:t>与</w:t>
      </w:r>
      <w:r w:rsidR="00D74C62" w:rsidRPr="00D74C62">
        <w:rPr>
          <w:rFonts w:hint="eastAsia"/>
          <w:lang w:eastAsia="zh-CN"/>
        </w:rPr>
        <w:t>了专家组的</w:t>
      </w:r>
      <w:r>
        <w:rPr>
          <w:rFonts w:hint="eastAsia"/>
          <w:lang w:eastAsia="zh-CN"/>
        </w:rPr>
        <w:t>工作，</w:t>
      </w:r>
      <w:r w:rsidR="00D74C62" w:rsidRPr="00D74C62">
        <w:rPr>
          <w:rFonts w:hint="eastAsia"/>
          <w:lang w:eastAsia="zh-CN"/>
        </w:rPr>
        <w:t>以</w:t>
      </w:r>
      <w:r w:rsidR="00D32E74">
        <w:rPr>
          <w:rFonts w:hint="eastAsia"/>
          <w:lang w:eastAsia="zh-CN"/>
        </w:rPr>
        <w:t>展示</w:t>
      </w:r>
      <w:proofErr w:type="spellStart"/>
      <w:r w:rsidRPr="00D74C62">
        <w:rPr>
          <w:lang w:eastAsia="zh-CN"/>
        </w:rPr>
        <w:t>ITR</w:t>
      </w:r>
      <w:proofErr w:type="spellEnd"/>
      <w:r w:rsidR="00D74C62" w:rsidRPr="00D74C6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相关性。</w:t>
      </w:r>
      <w:r w:rsidR="00D74C62" w:rsidRPr="00D74C62">
        <w:rPr>
          <w:rFonts w:hint="eastAsia"/>
          <w:lang w:eastAsia="zh-CN"/>
        </w:rPr>
        <w:t>为此</w:t>
      </w:r>
      <w:r>
        <w:rPr>
          <w:rFonts w:hint="eastAsia"/>
          <w:lang w:eastAsia="zh-CN"/>
        </w:rPr>
        <w:t>，</w:t>
      </w:r>
      <w:r w:rsidR="00D74C62" w:rsidRPr="00D74C62">
        <w:rPr>
          <w:rFonts w:hint="eastAsia"/>
          <w:lang w:eastAsia="zh-CN"/>
        </w:rPr>
        <w:t>提交了多份多国文稿</w:t>
      </w:r>
      <w:r>
        <w:rPr>
          <w:rFonts w:hint="eastAsia"/>
          <w:lang w:eastAsia="zh-CN"/>
        </w:rPr>
        <w:t>，</w:t>
      </w:r>
      <w:r w:rsidR="00D74C62" w:rsidRPr="00D74C62">
        <w:rPr>
          <w:rFonts w:hint="eastAsia"/>
          <w:lang w:eastAsia="zh-CN"/>
        </w:rPr>
        <w:t>以</w:t>
      </w:r>
      <w:r w:rsidR="00D32E74">
        <w:rPr>
          <w:rFonts w:hint="eastAsia"/>
          <w:lang w:eastAsia="zh-CN"/>
        </w:rPr>
        <w:t>说明</w:t>
      </w:r>
      <w:r>
        <w:rPr>
          <w:rFonts w:hint="eastAsia"/>
          <w:lang w:eastAsia="zh-CN"/>
        </w:rPr>
        <w:t>：</w:t>
      </w:r>
    </w:p>
    <w:p w14:paraId="273D63D4" w14:textId="2EFAAD46" w:rsidR="00D74C62" w:rsidRPr="00D74C62" w:rsidRDefault="00E70347" w:rsidP="00E70347">
      <w:pPr>
        <w:pStyle w:val="enumlev1"/>
        <w:rPr>
          <w:lang w:eastAsia="zh-CN"/>
        </w:rPr>
      </w:pPr>
      <w:r w:rsidRPr="002374E2">
        <w:rPr>
          <w:lang w:eastAsia="zh-CN"/>
        </w:rPr>
        <w:t>a)</w:t>
      </w:r>
      <w:r>
        <w:rPr>
          <w:lang w:eastAsia="zh-CN"/>
        </w:rPr>
        <w:tab/>
      </w:r>
      <w:r w:rsidR="00D74C62" w:rsidRPr="00D74C62">
        <w:rPr>
          <w:rFonts w:hint="eastAsia"/>
          <w:lang w:eastAsia="zh-CN"/>
        </w:rPr>
        <w:t>电信</w:t>
      </w:r>
      <w:r w:rsidR="005060D5" w:rsidRPr="00D74C62">
        <w:rPr>
          <w:lang w:eastAsia="zh-CN"/>
        </w:rPr>
        <w:t>/ICT</w:t>
      </w:r>
      <w:r w:rsidR="005060D5">
        <w:rPr>
          <w:rFonts w:hint="eastAsia"/>
          <w:lang w:eastAsia="zh-CN"/>
        </w:rPr>
        <w:t>领域</w:t>
      </w:r>
      <w:r w:rsidR="00F61599">
        <w:rPr>
          <w:rFonts w:hint="eastAsia"/>
          <w:lang w:eastAsia="zh-CN"/>
        </w:rPr>
        <w:t>出现了</w:t>
      </w:r>
      <w:r w:rsidR="00D74C62" w:rsidRPr="00D74C62">
        <w:rPr>
          <w:rFonts w:hint="eastAsia"/>
          <w:lang w:eastAsia="zh-CN"/>
        </w:rPr>
        <w:t>新</w:t>
      </w:r>
      <w:r w:rsidR="00F61599">
        <w:rPr>
          <w:rFonts w:hint="eastAsia"/>
          <w:lang w:eastAsia="zh-CN"/>
        </w:rPr>
        <w:t>的</w:t>
      </w:r>
      <w:r w:rsidR="00D74C62" w:rsidRPr="00D74C62">
        <w:rPr>
          <w:rFonts w:hint="eastAsia"/>
          <w:lang w:eastAsia="zh-CN"/>
        </w:rPr>
        <w:t>趋势</w:t>
      </w:r>
      <w:r w:rsidR="00F61599">
        <w:rPr>
          <w:rFonts w:hint="eastAsia"/>
          <w:lang w:eastAsia="zh-CN"/>
        </w:rPr>
        <w:t>，</w:t>
      </w:r>
      <w:r w:rsidR="00D74C62" w:rsidRPr="00D74C62">
        <w:rPr>
          <w:rFonts w:hint="eastAsia"/>
          <w:lang w:eastAsia="zh-CN"/>
        </w:rPr>
        <w:t>国际电信</w:t>
      </w:r>
      <w:r w:rsidR="005060D5" w:rsidRPr="00D74C62">
        <w:rPr>
          <w:lang w:eastAsia="zh-CN"/>
        </w:rPr>
        <w:t>/ICT</w:t>
      </w:r>
      <w:r w:rsidR="00D74C62" w:rsidRPr="00D74C62">
        <w:rPr>
          <w:rFonts w:hint="eastAsia"/>
          <w:lang w:eastAsia="zh-CN"/>
        </w:rPr>
        <w:t>环境中</w:t>
      </w:r>
      <w:r w:rsidR="00D32E74">
        <w:rPr>
          <w:rFonts w:hint="eastAsia"/>
          <w:lang w:eastAsia="zh-CN"/>
        </w:rPr>
        <w:t>正在出现</w:t>
      </w:r>
      <w:r w:rsidR="00F61599">
        <w:rPr>
          <w:rFonts w:hint="eastAsia"/>
          <w:lang w:eastAsia="zh-CN"/>
        </w:rPr>
        <w:t>影响</w:t>
      </w:r>
      <w:proofErr w:type="spellStart"/>
      <w:r w:rsidR="00F61599" w:rsidRPr="00D74C62">
        <w:rPr>
          <w:lang w:eastAsia="zh-CN"/>
        </w:rPr>
        <w:t>ITR</w:t>
      </w:r>
      <w:proofErr w:type="spellEnd"/>
      <w:r w:rsidR="00F61599">
        <w:rPr>
          <w:rFonts w:hint="eastAsia"/>
          <w:lang w:eastAsia="zh-CN"/>
        </w:rPr>
        <w:t>的</w:t>
      </w:r>
      <w:r w:rsidR="005060D5">
        <w:rPr>
          <w:rFonts w:hint="eastAsia"/>
          <w:lang w:eastAsia="zh-CN"/>
        </w:rPr>
        <w:t>新问题</w:t>
      </w:r>
      <w:r w:rsidR="001E3348">
        <w:rPr>
          <w:rFonts w:hint="eastAsia"/>
          <w:lang w:eastAsia="zh-CN"/>
        </w:rPr>
        <w:t>；</w:t>
      </w:r>
    </w:p>
    <w:p w14:paraId="792B855E" w14:textId="62DF9F7D" w:rsidR="00D74C62" w:rsidRPr="00D74C62" w:rsidRDefault="00E70347" w:rsidP="00E70347">
      <w:pPr>
        <w:pStyle w:val="enumlev1"/>
        <w:rPr>
          <w:lang w:eastAsia="zh-CN"/>
        </w:rPr>
      </w:pPr>
      <w:r w:rsidRPr="002374E2">
        <w:rPr>
          <w:lang w:eastAsia="zh-CN"/>
        </w:rPr>
        <w:t>b)</w:t>
      </w:r>
      <w:r w:rsidRPr="002374E2">
        <w:rPr>
          <w:lang w:eastAsia="zh-CN"/>
        </w:rPr>
        <w:tab/>
      </w:r>
      <w:r w:rsidR="00D32E74">
        <w:rPr>
          <w:rFonts w:hint="eastAsia"/>
          <w:lang w:eastAsia="zh-CN"/>
        </w:rPr>
        <w:t>可提供</w:t>
      </w:r>
      <w:r w:rsidR="00D74C62" w:rsidRPr="00D74C62">
        <w:rPr>
          <w:rFonts w:hint="eastAsia"/>
          <w:lang w:eastAsia="zh-CN"/>
        </w:rPr>
        <w:t>运营机构和</w:t>
      </w:r>
      <w:r w:rsidR="00655827" w:rsidRPr="00D74C62">
        <w:rPr>
          <w:lang w:eastAsia="zh-CN"/>
        </w:rPr>
        <w:t>/</w:t>
      </w:r>
      <w:r w:rsidR="00D74C62" w:rsidRPr="00D74C62">
        <w:rPr>
          <w:rFonts w:hint="eastAsia"/>
          <w:lang w:eastAsia="zh-CN"/>
        </w:rPr>
        <w:t>或主管部门当前使用</w:t>
      </w:r>
      <w:proofErr w:type="spellStart"/>
      <w:r w:rsidR="00655827" w:rsidRPr="00D74C62">
        <w:rPr>
          <w:lang w:eastAsia="zh-CN"/>
        </w:rPr>
        <w:t>ITR</w:t>
      </w:r>
      <w:proofErr w:type="spellEnd"/>
      <w:r w:rsidR="00D74C62" w:rsidRPr="00D74C62">
        <w:rPr>
          <w:rFonts w:hint="eastAsia"/>
          <w:lang w:eastAsia="zh-CN"/>
        </w:rPr>
        <w:t>的</w:t>
      </w:r>
      <w:r w:rsidR="00655827">
        <w:rPr>
          <w:rFonts w:hint="eastAsia"/>
          <w:lang w:eastAsia="zh-CN"/>
        </w:rPr>
        <w:t>经验</w:t>
      </w:r>
      <w:r w:rsidR="00D74C62" w:rsidRPr="00D74C62">
        <w:rPr>
          <w:rFonts w:hint="eastAsia"/>
          <w:lang w:eastAsia="zh-CN"/>
        </w:rPr>
        <w:t>数据</w:t>
      </w:r>
      <w:r w:rsidR="00655827">
        <w:rPr>
          <w:rFonts w:hint="eastAsia"/>
          <w:lang w:eastAsia="zh-CN"/>
        </w:rPr>
        <w:t>以及</w:t>
      </w:r>
      <w:r w:rsidR="00D74C62" w:rsidRPr="00D74C62">
        <w:rPr>
          <w:rFonts w:hint="eastAsia"/>
          <w:lang w:eastAsia="zh-CN"/>
        </w:rPr>
        <w:t>依赖</w:t>
      </w:r>
      <w:proofErr w:type="spellStart"/>
      <w:r w:rsidR="00655827" w:rsidRPr="00D74C62">
        <w:rPr>
          <w:lang w:eastAsia="zh-CN"/>
        </w:rPr>
        <w:t>ITR</w:t>
      </w:r>
      <w:proofErr w:type="spellEnd"/>
      <w:r w:rsidR="00D74C62" w:rsidRPr="00D74C62">
        <w:rPr>
          <w:rFonts w:hint="eastAsia"/>
          <w:lang w:eastAsia="zh-CN"/>
        </w:rPr>
        <w:t>的全球电信</w:t>
      </w:r>
      <w:r w:rsidR="00D32E74">
        <w:rPr>
          <w:rFonts w:hint="eastAsia"/>
          <w:lang w:eastAsia="zh-CN"/>
        </w:rPr>
        <w:t>业务</w:t>
      </w:r>
      <w:r w:rsidR="00655827">
        <w:rPr>
          <w:rFonts w:hint="eastAsia"/>
          <w:lang w:eastAsia="zh-CN"/>
        </w:rPr>
        <w:t>的</w:t>
      </w:r>
      <w:r w:rsidR="00D74C62" w:rsidRPr="00D74C62">
        <w:rPr>
          <w:rFonts w:hint="eastAsia"/>
          <w:lang w:eastAsia="zh-CN"/>
        </w:rPr>
        <w:t>比例</w:t>
      </w:r>
      <w:r w:rsidR="00655827">
        <w:rPr>
          <w:rFonts w:hint="eastAsia"/>
          <w:lang w:eastAsia="zh-CN"/>
        </w:rPr>
        <w:t>。</w:t>
      </w:r>
    </w:p>
    <w:p w14:paraId="15A860AF" w14:textId="4335DFE8" w:rsidR="00D74C62" w:rsidRPr="00D74C62" w:rsidRDefault="00D74C62" w:rsidP="00110EDD">
      <w:pPr>
        <w:ind w:firstLineChars="200" w:firstLine="480"/>
        <w:rPr>
          <w:lang w:eastAsia="zh-CN"/>
        </w:rPr>
      </w:pPr>
      <w:r w:rsidRPr="00D74C62">
        <w:rPr>
          <w:rFonts w:hint="eastAsia"/>
          <w:lang w:eastAsia="zh-CN"/>
        </w:rPr>
        <w:t>为</w:t>
      </w:r>
      <w:r w:rsidR="001738B8">
        <w:rPr>
          <w:rFonts w:hint="eastAsia"/>
          <w:lang w:eastAsia="zh-CN"/>
        </w:rPr>
        <w:t>了</w:t>
      </w:r>
      <w:r w:rsidRPr="00D74C62">
        <w:rPr>
          <w:rFonts w:hint="eastAsia"/>
          <w:lang w:eastAsia="zh-CN"/>
        </w:rPr>
        <w:t>确保</w:t>
      </w:r>
      <w:r w:rsidR="003567D3">
        <w:rPr>
          <w:rFonts w:hint="eastAsia"/>
          <w:lang w:eastAsia="zh-CN"/>
        </w:rPr>
        <w:t>所有</w:t>
      </w:r>
      <w:r w:rsidRPr="00D74C62">
        <w:rPr>
          <w:rFonts w:hint="eastAsia"/>
          <w:lang w:eastAsia="zh-CN"/>
        </w:rPr>
        <w:t>人</w:t>
      </w:r>
      <w:r w:rsidR="003567D3">
        <w:rPr>
          <w:rFonts w:hint="eastAsia"/>
          <w:lang w:eastAsia="zh-CN"/>
        </w:rPr>
        <w:t>都</w:t>
      </w:r>
      <w:r w:rsidR="001738B8">
        <w:rPr>
          <w:rFonts w:hint="eastAsia"/>
          <w:lang w:eastAsia="zh-CN"/>
        </w:rPr>
        <w:t>能</w:t>
      </w:r>
      <w:r w:rsidRPr="00D74C62">
        <w:rPr>
          <w:rFonts w:hint="eastAsia"/>
          <w:lang w:eastAsia="zh-CN"/>
        </w:rPr>
        <w:t>从</w:t>
      </w:r>
      <w:r w:rsidR="003567D3" w:rsidRPr="00D74C62">
        <w:rPr>
          <w:lang w:eastAsia="zh-CN"/>
        </w:rPr>
        <w:t>ICT</w:t>
      </w:r>
      <w:r w:rsidRPr="00D74C62">
        <w:rPr>
          <w:rFonts w:hint="eastAsia"/>
          <w:lang w:eastAsia="zh-CN"/>
        </w:rPr>
        <w:t>的使用和发展中受益</w:t>
      </w:r>
      <w:r w:rsidR="003567D3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并推动建设一个互连</w:t>
      </w:r>
      <w:r w:rsidR="003567D3">
        <w:rPr>
          <w:rFonts w:hint="eastAsia"/>
          <w:lang w:eastAsia="zh-CN"/>
        </w:rPr>
        <w:t>、</w:t>
      </w:r>
      <w:r w:rsidRPr="00D74C62">
        <w:rPr>
          <w:rFonts w:hint="eastAsia"/>
          <w:lang w:eastAsia="zh-CN"/>
        </w:rPr>
        <w:t>包容的世界</w:t>
      </w:r>
      <w:r w:rsidR="003567D3">
        <w:rPr>
          <w:rFonts w:hint="eastAsia"/>
          <w:lang w:eastAsia="zh-CN"/>
        </w:rPr>
        <w:t>，</w:t>
      </w:r>
      <w:proofErr w:type="spellStart"/>
      <w:r w:rsidR="003567D3" w:rsidRPr="00D74C62">
        <w:rPr>
          <w:lang w:eastAsia="zh-CN"/>
        </w:rPr>
        <w:t>ITR</w:t>
      </w:r>
      <w:proofErr w:type="spellEnd"/>
      <w:r w:rsidRPr="00D74C62">
        <w:rPr>
          <w:rFonts w:hint="eastAsia"/>
          <w:lang w:eastAsia="zh-CN"/>
        </w:rPr>
        <w:t>在促进国际电</w:t>
      </w:r>
      <w:proofErr w:type="gramStart"/>
      <w:r w:rsidRPr="00D74C62">
        <w:rPr>
          <w:rFonts w:hint="eastAsia"/>
          <w:lang w:eastAsia="zh-CN"/>
        </w:rPr>
        <w:t>联履行</w:t>
      </w:r>
      <w:proofErr w:type="gramEnd"/>
      <w:r w:rsidR="003567D3">
        <w:rPr>
          <w:rFonts w:hint="eastAsia"/>
          <w:lang w:eastAsia="zh-CN"/>
        </w:rPr>
        <w:t>这一</w:t>
      </w:r>
      <w:r w:rsidRPr="00D74C62">
        <w:rPr>
          <w:rFonts w:hint="eastAsia"/>
          <w:lang w:eastAsia="zh-CN"/>
        </w:rPr>
        <w:t>使命方面</w:t>
      </w:r>
      <w:r w:rsidR="001738B8">
        <w:rPr>
          <w:rFonts w:hint="eastAsia"/>
          <w:lang w:eastAsia="zh-CN"/>
        </w:rPr>
        <w:t>仍然</w:t>
      </w:r>
      <w:r w:rsidRPr="00D74C62">
        <w:rPr>
          <w:rFonts w:hint="eastAsia"/>
          <w:lang w:eastAsia="zh-CN"/>
        </w:rPr>
        <w:t>发挥着重要作用</w:t>
      </w:r>
      <w:r w:rsidR="003567D3">
        <w:rPr>
          <w:rFonts w:hint="eastAsia"/>
          <w:lang w:eastAsia="zh-CN"/>
        </w:rPr>
        <w:t>。</w:t>
      </w:r>
      <w:r w:rsidRPr="00D74C62">
        <w:rPr>
          <w:rFonts w:hint="eastAsia"/>
          <w:lang w:eastAsia="zh-CN"/>
        </w:rPr>
        <w:t>就目前情况而言</w:t>
      </w:r>
      <w:r w:rsidR="003567D3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考虑到发展中国家的经济挑战和需求</w:t>
      </w:r>
      <w:r w:rsidR="003567D3">
        <w:rPr>
          <w:rFonts w:hint="eastAsia"/>
          <w:lang w:eastAsia="zh-CN"/>
        </w:rPr>
        <w:t>，尚无</w:t>
      </w:r>
      <w:r w:rsidRPr="00D74C62">
        <w:rPr>
          <w:rFonts w:hint="eastAsia"/>
          <w:lang w:eastAsia="zh-CN"/>
        </w:rPr>
        <w:t>任</w:t>
      </w:r>
      <w:proofErr w:type="gramStart"/>
      <w:r w:rsidRPr="00D74C62">
        <w:rPr>
          <w:rFonts w:hint="eastAsia"/>
          <w:lang w:eastAsia="zh-CN"/>
        </w:rPr>
        <w:t>何其它</w:t>
      </w:r>
      <w:proofErr w:type="gramEnd"/>
      <w:r w:rsidR="001738B8">
        <w:rPr>
          <w:rFonts w:hint="eastAsia"/>
          <w:lang w:eastAsia="zh-CN"/>
        </w:rPr>
        <w:t>文书被认定可以替代</w:t>
      </w:r>
      <w:proofErr w:type="spellStart"/>
      <w:r w:rsidR="003567D3" w:rsidRPr="00D74C62">
        <w:rPr>
          <w:lang w:eastAsia="zh-CN"/>
        </w:rPr>
        <w:t>ITR</w:t>
      </w:r>
      <w:proofErr w:type="spellEnd"/>
      <w:r w:rsidR="003567D3">
        <w:rPr>
          <w:rFonts w:hint="eastAsia"/>
          <w:lang w:eastAsia="zh-CN"/>
        </w:rPr>
        <w:t>来帮助</w:t>
      </w:r>
      <w:r w:rsidRPr="00D74C62">
        <w:rPr>
          <w:rFonts w:hint="eastAsia"/>
          <w:lang w:eastAsia="zh-CN"/>
        </w:rPr>
        <w:t>实现全球连通性</w:t>
      </w:r>
      <w:r w:rsidR="003567D3">
        <w:rPr>
          <w:rFonts w:hint="eastAsia"/>
          <w:lang w:eastAsia="zh-CN"/>
        </w:rPr>
        <w:t>。</w:t>
      </w:r>
    </w:p>
    <w:p w14:paraId="7791E506" w14:textId="72AB28DC" w:rsidR="00D74C62" w:rsidRPr="00D74C62" w:rsidRDefault="00D74C62" w:rsidP="00110EDD">
      <w:pPr>
        <w:ind w:firstLineChars="200" w:firstLine="480"/>
        <w:rPr>
          <w:lang w:eastAsia="zh-CN"/>
        </w:rPr>
      </w:pPr>
      <w:r w:rsidRPr="00D74C62">
        <w:rPr>
          <w:rFonts w:hint="eastAsia"/>
          <w:lang w:eastAsia="zh-CN"/>
        </w:rPr>
        <w:t>尽管如此</w:t>
      </w:r>
      <w:r w:rsidR="00F37C24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该组仍未就</w:t>
      </w:r>
      <w:r w:rsidR="001738B8">
        <w:rPr>
          <w:rFonts w:hint="eastAsia"/>
          <w:lang w:eastAsia="zh-CN"/>
        </w:rPr>
        <w:t>前进</w:t>
      </w:r>
      <w:r w:rsidRPr="00D74C62">
        <w:rPr>
          <w:rFonts w:hint="eastAsia"/>
          <w:lang w:eastAsia="zh-CN"/>
        </w:rPr>
        <w:t>方向达成一致</w:t>
      </w:r>
      <w:r w:rsidR="00F37C24">
        <w:rPr>
          <w:rFonts w:hint="eastAsia"/>
          <w:lang w:eastAsia="zh-CN"/>
        </w:rPr>
        <w:t>。</w:t>
      </w:r>
      <w:r w:rsidRPr="00D74C62">
        <w:rPr>
          <w:rFonts w:hint="eastAsia"/>
          <w:lang w:eastAsia="zh-CN"/>
        </w:rPr>
        <w:t>我们认为</w:t>
      </w:r>
      <w:r w:rsidR="001738B8">
        <w:rPr>
          <w:rFonts w:hint="eastAsia"/>
          <w:lang w:eastAsia="zh-CN"/>
        </w:rPr>
        <w:t>，</w:t>
      </w:r>
      <w:proofErr w:type="spellStart"/>
      <w:r w:rsidR="00F37C24" w:rsidRPr="00D74C62">
        <w:rPr>
          <w:lang w:eastAsia="zh-CN"/>
        </w:rPr>
        <w:t>ITR</w:t>
      </w:r>
      <w:proofErr w:type="spellEnd"/>
      <w:r w:rsidRPr="00D74C62">
        <w:rPr>
          <w:rFonts w:hint="eastAsia"/>
          <w:lang w:eastAsia="zh-CN"/>
        </w:rPr>
        <w:t>是一</w:t>
      </w:r>
      <w:r w:rsidR="001738B8">
        <w:rPr>
          <w:rFonts w:hint="eastAsia"/>
          <w:lang w:eastAsia="zh-CN"/>
        </w:rPr>
        <w:t>个</w:t>
      </w:r>
      <w:r w:rsidRPr="00D74C62">
        <w:rPr>
          <w:rFonts w:hint="eastAsia"/>
          <w:lang w:eastAsia="zh-CN"/>
        </w:rPr>
        <w:t>工具</w:t>
      </w:r>
      <w:r w:rsidR="00F37C24">
        <w:rPr>
          <w:rFonts w:hint="eastAsia"/>
          <w:lang w:eastAsia="zh-CN"/>
        </w:rPr>
        <w:t>，</w:t>
      </w:r>
      <w:r w:rsidR="001738B8">
        <w:rPr>
          <w:rFonts w:hint="eastAsia"/>
          <w:lang w:eastAsia="zh-CN"/>
        </w:rPr>
        <w:t>在</w:t>
      </w:r>
      <w:r w:rsidRPr="00D74C62">
        <w:rPr>
          <w:rFonts w:hint="eastAsia"/>
          <w:lang w:eastAsia="zh-CN"/>
        </w:rPr>
        <w:t>所有成员国</w:t>
      </w:r>
      <w:r w:rsidR="001738B8">
        <w:rPr>
          <w:rFonts w:hint="eastAsia"/>
          <w:lang w:eastAsia="zh-CN"/>
        </w:rPr>
        <w:t>的</w:t>
      </w:r>
      <w:r w:rsidR="000134DC">
        <w:rPr>
          <w:rFonts w:hint="eastAsia"/>
          <w:lang w:eastAsia="zh-CN"/>
        </w:rPr>
        <w:t>合作</w:t>
      </w:r>
      <w:r w:rsidR="001738B8">
        <w:rPr>
          <w:rFonts w:hint="eastAsia"/>
          <w:lang w:eastAsia="zh-CN"/>
        </w:rPr>
        <w:t>下</w:t>
      </w:r>
      <w:r w:rsidR="00F37C24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我们</w:t>
      </w:r>
      <w:r w:rsidR="000134DC">
        <w:rPr>
          <w:rFonts w:hint="eastAsia"/>
          <w:lang w:eastAsia="zh-CN"/>
        </w:rPr>
        <w:t>一定能</w:t>
      </w:r>
      <w:r w:rsidR="000134DC" w:rsidRPr="000134DC">
        <w:rPr>
          <w:rFonts w:hint="eastAsia"/>
          <w:lang w:eastAsia="zh-CN"/>
        </w:rPr>
        <w:t>找到共同点</w:t>
      </w:r>
      <w:r w:rsidR="000134DC">
        <w:rPr>
          <w:rFonts w:hint="eastAsia"/>
          <w:lang w:eastAsia="zh-CN"/>
        </w:rPr>
        <w:t>，</w:t>
      </w:r>
      <w:r w:rsidR="00E93D67">
        <w:rPr>
          <w:rFonts w:hint="eastAsia"/>
          <w:lang w:eastAsia="zh-CN"/>
        </w:rPr>
        <w:t>以此为起点开展工作。</w:t>
      </w:r>
    </w:p>
    <w:p w14:paraId="330C1403" w14:textId="14F62D55" w:rsidR="00D74C62" w:rsidRPr="00D74C62" w:rsidRDefault="003949CE" w:rsidP="00110E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当前的</w:t>
      </w:r>
      <w:proofErr w:type="spellStart"/>
      <w:r w:rsidR="002C5659" w:rsidRPr="00D74C62">
        <w:rPr>
          <w:lang w:eastAsia="zh-CN"/>
        </w:rPr>
        <w:t>ITR</w:t>
      </w:r>
      <w:proofErr w:type="spellEnd"/>
      <w:r w:rsidR="002C5659">
        <w:rPr>
          <w:rFonts w:hint="eastAsia"/>
          <w:lang w:eastAsia="zh-CN"/>
        </w:rPr>
        <w:t>（</w:t>
      </w:r>
      <w:r w:rsidR="002C5659" w:rsidRPr="00D74C62">
        <w:rPr>
          <w:lang w:eastAsia="zh-CN"/>
        </w:rPr>
        <w:t>1988</w:t>
      </w:r>
      <w:r w:rsidR="002C5659" w:rsidRPr="00D74C62">
        <w:rPr>
          <w:rFonts w:hint="eastAsia"/>
          <w:lang w:eastAsia="zh-CN"/>
        </w:rPr>
        <w:t>年版和</w:t>
      </w:r>
      <w:r w:rsidR="002C5659" w:rsidRPr="00D74C62">
        <w:rPr>
          <w:lang w:eastAsia="zh-CN"/>
        </w:rPr>
        <w:t>2012</w:t>
      </w:r>
      <w:r w:rsidR="002C5659" w:rsidRPr="00D74C62">
        <w:rPr>
          <w:rFonts w:hint="eastAsia"/>
          <w:lang w:eastAsia="zh-CN"/>
        </w:rPr>
        <w:t>年版</w:t>
      </w:r>
      <w:r w:rsidR="002C5659">
        <w:rPr>
          <w:rFonts w:hint="eastAsia"/>
          <w:lang w:eastAsia="zh-CN"/>
        </w:rPr>
        <w:t>）</w:t>
      </w:r>
      <w:r w:rsidR="00D74C62" w:rsidRPr="00D74C62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有若干</w:t>
      </w:r>
      <w:r w:rsidR="00D74C62" w:rsidRPr="00D74C62">
        <w:rPr>
          <w:rFonts w:hint="eastAsia"/>
          <w:lang w:eastAsia="zh-CN"/>
        </w:rPr>
        <w:t>条款</w:t>
      </w:r>
      <w:r w:rsidR="001738B8"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的对象是</w:t>
      </w:r>
      <w:r w:rsidR="00D74C62" w:rsidRPr="00D74C62">
        <w:rPr>
          <w:rFonts w:hint="eastAsia"/>
          <w:lang w:eastAsia="zh-CN"/>
        </w:rPr>
        <w:t>运营机构</w:t>
      </w:r>
      <w:r w:rsidR="002C5659">
        <w:rPr>
          <w:rFonts w:hint="eastAsia"/>
          <w:lang w:eastAsia="zh-CN"/>
        </w:rPr>
        <w:t>，</w:t>
      </w:r>
      <w:r w:rsidR="00D74C62" w:rsidRPr="00D74C62">
        <w:rPr>
          <w:rFonts w:hint="eastAsia"/>
          <w:lang w:eastAsia="zh-CN"/>
        </w:rPr>
        <w:t>而</w:t>
      </w:r>
      <w:r>
        <w:rPr>
          <w:rFonts w:hint="eastAsia"/>
          <w:lang w:eastAsia="zh-CN"/>
        </w:rPr>
        <w:t>非</w:t>
      </w:r>
      <w:r w:rsidR="00D74C62" w:rsidRPr="00D74C62">
        <w:rPr>
          <w:rFonts w:hint="eastAsia"/>
          <w:lang w:eastAsia="zh-CN"/>
        </w:rPr>
        <w:t>成员国</w:t>
      </w:r>
      <w:r w:rsidR="002C5659">
        <w:rPr>
          <w:rFonts w:hint="eastAsia"/>
          <w:lang w:eastAsia="zh-CN"/>
        </w:rPr>
        <w:t>。</w:t>
      </w:r>
      <w:r w:rsidR="00D74C62" w:rsidRPr="00D74C62">
        <w:rPr>
          <w:rFonts w:hint="eastAsia"/>
          <w:lang w:eastAsia="zh-CN"/>
        </w:rPr>
        <w:t>这在</w:t>
      </w:r>
      <w:r w:rsidR="002C5659" w:rsidRPr="00D74C62">
        <w:rPr>
          <w:lang w:eastAsia="zh-CN"/>
        </w:rPr>
        <w:t>20</w:t>
      </w:r>
      <w:r w:rsidR="00D74C62" w:rsidRPr="00D74C62">
        <w:rPr>
          <w:rFonts w:hint="eastAsia"/>
          <w:lang w:eastAsia="zh-CN"/>
        </w:rPr>
        <w:t>年前可能是</w:t>
      </w:r>
      <w:r w:rsidR="002C5659">
        <w:rPr>
          <w:rFonts w:hint="eastAsia"/>
          <w:lang w:eastAsia="zh-CN"/>
        </w:rPr>
        <w:t>适当的。但</w:t>
      </w:r>
      <w:r w:rsidR="00D74C62" w:rsidRPr="00D74C62">
        <w:rPr>
          <w:rFonts w:hint="eastAsia"/>
          <w:lang w:eastAsia="zh-CN"/>
        </w:rPr>
        <w:t>在当今世界</w:t>
      </w:r>
      <w:r w:rsidR="002C5659">
        <w:rPr>
          <w:rFonts w:hint="eastAsia"/>
          <w:lang w:eastAsia="zh-CN"/>
        </w:rPr>
        <w:t>，</w:t>
      </w:r>
      <w:proofErr w:type="spellStart"/>
      <w:r w:rsidR="002C5659" w:rsidRPr="00D74C62">
        <w:rPr>
          <w:lang w:eastAsia="zh-CN"/>
        </w:rPr>
        <w:t>ITR</w:t>
      </w:r>
      <w:proofErr w:type="spellEnd"/>
      <w:r>
        <w:rPr>
          <w:rFonts w:hint="eastAsia"/>
          <w:lang w:eastAsia="zh-CN"/>
        </w:rPr>
        <w:t>应该只针对</w:t>
      </w:r>
      <w:r w:rsidR="00D74C62" w:rsidRPr="00D74C62">
        <w:rPr>
          <w:rFonts w:hint="eastAsia"/>
          <w:lang w:eastAsia="zh-CN"/>
        </w:rPr>
        <w:t>成员国</w:t>
      </w:r>
      <w:r w:rsidR="002C5659">
        <w:rPr>
          <w:rFonts w:hint="eastAsia"/>
          <w:lang w:eastAsia="zh-CN"/>
        </w:rPr>
        <w:t>，</w:t>
      </w:r>
      <w:r w:rsidR="00D74C62" w:rsidRPr="00D74C62">
        <w:rPr>
          <w:rFonts w:hint="eastAsia"/>
          <w:lang w:eastAsia="zh-CN"/>
        </w:rPr>
        <w:t>而</w:t>
      </w:r>
      <w:r>
        <w:rPr>
          <w:rFonts w:hint="eastAsia"/>
          <w:lang w:eastAsia="zh-CN"/>
        </w:rPr>
        <w:t>非</w:t>
      </w:r>
      <w:r w:rsidR="00D74C62" w:rsidRPr="00D74C62">
        <w:rPr>
          <w:rFonts w:hint="eastAsia"/>
          <w:lang w:eastAsia="zh-CN"/>
        </w:rPr>
        <w:t>运营机构</w:t>
      </w:r>
      <w:r w:rsidR="002C5659">
        <w:rPr>
          <w:rFonts w:hint="eastAsia"/>
          <w:lang w:eastAsia="zh-CN"/>
        </w:rPr>
        <w:t>。</w:t>
      </w:r>
      <w:r w:rsidR="00D74C62" w:rsidRPr="00D74C62">
        <w:rPr>
          <w:rFonts w:hint="eastAsia"/>
          <w:lang w:eastAsia="zh-CN"/>
        </w:rPr>
        <w:t>成员国</w:t>
      </w:r>
      <w:r w:rsidR="00BB61DB">
        <w:rPr>
          <w:rFonts w:hint="eastAsia"/>
          <w:lang w:eastAsia="zh-CN"/>
        </w:rPr>
        <w:t>将</w:t>
      </w:r>
      <w:r w:rsidR="00D74C62" w:rsidRPr="00D74C62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国内</w:t>
      </w:r>
      <w:r w:rsidR="00D74C62" w:rsidRPr="00D74C62">
        <w:rPr>
          <w:rFonts w:hint="eastAsia"/>
          <w:lang w:eastAsia="zh-CN"/>
        </w:rPr>
        <w:t>法规和政策</w:t>
      </w:r>
      <w:r w:rsidR="002C5659">
        <w:rPr>
          <w:rFonts w:hint="eastAsia"/>
          <w:lang w:eastAsia="zh-CN"/>
        </w:rPr>
        <w:t>，</w:t>
      </w:r>
      <w:r w:rsidR="00D74C62" w:rsidRPr="00D74C62">
        <w:rPr>
          <w:rFonts w:hint="eastAsia"/>
          <w:lang w:eastAsia="zh-CN"/>
        </w:rPr>
        <w:t>负责确保运营</w:t>
      </w:r>
      <w:proofErr w:type="gramStart"/>
      <w:r w:rsidR="00D74C62" w:rsidRPr="00D74C62">
        <w:rPr>
          <w:rFonts w:hint="eastAsia"/>
          <w:lang w:eastAsia="zh-CN"/>
        </w:rPr>
        <w:t>商</w:t>
      </w:r>
      <w:r>
        <w:rPr>
          <w:rFonts w:hint="eastAsia"/>
          <w:lang w:eastAsia="zh-CN"/>
        </w:rPr>
        <w:t>执行</w:t>
      </w:r>
      <w:proofErr w:type="spellStart"/>
      <w:proofErr w:type="gramEnd"/>
      <w:r w:rsidR="002C5659" w:rsidRPr="00D74C62">
        <w:rPr>
          <w:lang w:eastAsia="zh-CN"/>
        </w:rPr>
        <w:t>ITR</w:t>
      </w:r>
      <w:proofErr w:type="spellEnd"/>
      <w:r w:rsidR="00D74C62" w:rsidRPr="00D74C62">
        <w:rPr>
          <w:rFonts w:hint="eastAsia"/>
          <w:lang w:eastAsia="zh-CN"/>
        </w:rPr>
        <w:t>的</w:t>
      </w:r>
      <w:r w:rsidR="002C5659">
        <w:rPr>
          <w:rFonts w:hint="eastAsia"/>
          <w:lang w:eastAsia="zh-CN"/>
        </w:rPr>
        <w:t>规定</w:t>
      </w:r>
      <w:r w:rsidR="00D74C62" w:rsidRPr="00D74C62">
        <w:rPr>
          <w:rFonts w:hint="eastAsia"/>
          <w:lang w:eastAsia="zh-CN"/>
        </w:rPr>
        <w:t>和指示</w:t>
      </w:r>
      <w:r w:rsidR="002C5659">
        <w:rPr>
          <w:rFonts w:hint="eastAsia"/>
          <w:lang w:eastAsia="zh-CN"/>
        </w:rPr>
        <w:t>。</w:t>
      </w:r>
    </w:p>
    <w:p w14:paraId="7168823D" w14:textId="462A4326" w:rsidR="00D74C62" w:rsidRPr="00110EDD" w:rsidRDefault="00D74C62" w:rsidP="00110EDD">
      <w:pPr>
        <w:pStyle w:val="Headingb"/>
        <w:rPr>
          <w:lang w:eastAsia="zh-CN"/>
        </w:rPr>
      </w:pPr>
      <w:r w:rsidRPr="00110EDD">
        <w:rPr>
          <w:rFonts w:hint="eastAsia"/>
          <w:lang w:eastAsia="zh-CN"/>
        </w:rPr>
        <w:t>提案</w:t>
      </w:r>
    </w:p>
    <w:p w14:paraId="5159657B" w14:textId="5268AE5E" w:rsidR="00D74C62" w:rsidRPr="00D74C62" w:rsidRDefault="00D74C62" w:rsidP="00110EDD">
      <w:pPr>
        <w:ind w:firstLineChars="200" w:firstLine="480"/>
        <w:rPr>
          <w:lang w:eastAsia="zh-CN"/>
        </w:rPr>
      </w:pPr>
      <w:r w:rsidRPr="00D74C62">
        <w:rPr>
          <w:rFonts w:hint="eastAsia"/>
          <w:lang w:eastAsia="zh-CN"/>
        </w:rPr>
        <w:t>本文稿的</w:t>
      </w:r>
      <w:r w:rsidR="005C06C4" w:rsidRPr="005C06C4">
        <w:rPr>
          <w:rFonts w:hint="eastAsia"/>
          <w:lang w:eastAsia="zh-CN"/>
        </w:rPr>
        <w:t>撰稿人</w:t>
      </w:r>
      <w:r w:rsidRPr="00D74C62">
        <w:rPr>
          <w:rFonts w:hint="eastAsia"/>
          <w:lang w:eastAsia="zh-CN"/>
        </w:rPr>
        <w:t>认为</w:t>
      </w:r>
      <w:r w:rsidR="005C06C4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必须</w:t>
      </w:r>
      <w:r w:rsidR="003F1D5D">
        <w:rPr>
          <w:rFonts w:hint="eastAsia"/>
          <w:lang w:eastAsia="zh-CN"/>
        </w:rPr>
        <w:t>加大</w:t>
      </w:r>
      <w:r w:rsidRPr="00D74C62">
        <w:rPr>
          <w:rFonts w:hint="eastAsia"/>
          <w:lang w:eastAsia="zh-CN"/>
        </w:rPr>
        <w:t>努力</w:t>
      </w:r>
      <w:r w:rsidR="003F1D5D">
        <w:rPr>
          <w:rFonts w:hint="eastAsia"/>
          <w:lang w:eastAsia="zh-CN"/>
        </w:rPr>
        <w:t>，</w:t>
      </w:r>
      <w:r w:rsidR="00B82783">
        <w:rPr>
          <w:rFonts w:hint="eastAsia"/>
          <w:lang w:eastAsia="zh-CN"/>
        </w:rPr>
        <w:t>寻求共识</w:t>
      </w:r>
      <w:r w:rsidR="003F1D5D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以便能够</w:t>
      </w:r>
      <w:r w:rsidR="00B82783">
        <w:rPr>
          <w:rFonts w:hint="eastAsia"/>
          <w:lang w:eastAsia="zh-CN"/>
        </w:rPr>
        <w:t>有一</w:t>
      </w:r>
      <w:proofErr w:type="gramStart"/>
      <w:r w:rsidR="00B82783">
        <w:rPr>
          <w:rFonts w:hint="eastAsia"/>
          <w:lang w:eastAsia="zh-CN"/>
        </w:rPr>
        <w:t>版</w:t>
      </w:r>
      <w:r w:rsidRPr="00D74C62">
        <w:rPr>
          <w:rFonts w:hint="eastAsia"/>
          <w:lang w:eastAsia="zh-CN"/>
        </w:rPr>
        <w:t>所有</w:t>
      </w:r>
      <w:proofErr w:type="gramEnd"/>
      <w:r w:rsidRPr="00D74C62">
        <w:rPr>
          <w:rFonts w:hint="eastAsia"/>
          <w:lang w:eastAsia="zh-CN"/>
        </w:rPr>
        <w:t>成员国都能接受</w:t>
      </w:r>
      <w:r w:rsidR="00B82783">
        <w:rPr>
          <w:rFonts w:hint="eastAsia"/>
          <w:lang w:eastAsia="zh-CN"/>
        </w:rPr>
        <w:t>、对所有</w:t>
      </w:r>
      <w:r w:rsidR="0063555B">
        <w:rPr>
          <w:rFonts w:hint="eastAsia"/>
          <w:lang w:eastAsia="zh-CN"/>
        </w:rPr>
        <w:t>成员国</w:t>
      </w:r>
      <w:r w:rsidR="00B82783">
        <w:rPr>
          <w:rFonts w:hint="eastAsia"/>
          <w:lang w:eastAsia="zh-CN"/>
        </w:rPr>
        <w:t>都有利的</w:t>
      </w:r>
      <w:r w:rsidRPr="00D74C62">
        <w:rPr>
          <w:rFonts w:hint="eastAsia"/>
          <w:lang w:eastAsia="zh-CN"/>
        </w:rPr>
        <w:t>条约</w:t>
      </w:r>
      <w:r w:rsidR="003F1D5D">
        <w:rPr>
          <w:rFonts w:hint="eastAsia"/>
          <w:lang w:eastAsia="zh-CN"/>
        </w:rPr>
        <w:t>。</w:t>
      </w:r>
    </w:p>
    <w:p w14:paraId="6D96FB52" w14:textId="204C1302" w:rsidR="00D74C62" w:rsidRPr="00D74C62" w:rsidRDefault="00D74C62" w:rsidP="00110EDD">
      <w:pPr>
        <w:ind w:firstLineChars="200" w:firstLine="480"/>
        <w:rPr>
          <w:lang w:eastAsia="zh-CN"/>
        </w:rPr>
      </w:pPr>
      <w:r w:rsidRPr="00D74C62">
        <w:rPr>
          <w:rFonts w:hint="eastAsia"/>
          <w:lang w:eastAsia="zh-CN"/>
        </w:rPr>
        <w:t>我们期待继续参与</w:t>
      </w:r>
      <w:proofErr w:type="spellStart"/>
      <w:r w:rsidR="003340DD" w:rsidRPr="00D74C62">
        <w:rPr>
          <w:lang w:eastAsia="zh-CN"/>
        </w:rPr>
        <w:t>ITR</w:t>
      </w:r>
      <w:proofErr w:type="spellEnd"/>
      <w:r w:rsidRPr="00D74C62">
        <w:rPr>
          <w:rFonts w:hint="eastAsia"/>
          <w:lang w:eastAsia="zh-CN"/>
        </w:rPr>
        <w:t>专家组的工作</w:t>
      </w:r>
      <w:r w:rsidR="003340DD">
        <w:rPr>
          <w:rFonts w:hint="eastAsia"/>
          <w:lang w:eastAsia="zh-CN"/>
        </w:rPr>
        <w:t>，</w:t>
      </w:r>
      <w:r w:rsidRPr="00D74C62">
        <w:rPr>
          <w:rFonts w:hint="eastAsia"/>
          <w:lang w:eastAsia="zh-CN"/>
        </w:rPr>
        <w:t>以确保专家</w:t>
      </w:r>
      <w:proofErr w:type="gramStart"/>
      <w:r w:rsidRPr="00D74C62">
        <w:rPr>
          <w:rFonts w:hint="eastAsia"/>
          <w:lang w:eastAsia="zh-CN"/>
        </w:rPr>
        <w:t>组有效</w:t>
      </w:r>
      <w:proofErr w:type="gramEnd"/>
      <w:r w:rsidRPr="00D74C62">
        <w:rPr>
          <w:rFonts w:hint="eastAsia"/>
          <w:lang w:eastAsia="zh-CN"/>
        </w:rPr>
        <w:t>履行其职责</w:t>
      </w:r>
      <w:r w:rsidR="003340DD">
        <w:rPr>
          <w:rFonts w:hint="eastAsia"/>
          <w:lang w:eastAsia="zh-CN"/>
        </w:rPr>
        <w:t>。</w:t>
      </w:r>
    </w:p>
    <w:p w14:paraId="0CFDB7C4" w14:textId="77777777" w:rsidR="00E323D0" w:rsidRDefault="00E323D0" w:rsidP="0032202E">
      <w:pPr>
        <w:pStyle w:val="Reasons"/>
        <w:rPr>
          <w:lang w:eastAsia="zh-CN"/>
        </w:rPr>
      </w:pP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003B" w14:textId="77777777" w:rsidR="00FC1221" w:rsidRDefault="00FC1221">
      <w:r>
        <w:separator/>
      </w:r>
    </w:p>
  </w:endnote>
  <w:endnote w:type="continuationSeparator" w:id="0">
    <w:p w14:paraId="400ED0DE" w14:textId="77777777" w:rsidR="00FC1221" w:rsidRDefault="00FC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09EDE442" w:rsidR="00E24D59" w:rsidRPr="00110EDD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110EDD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2501363</w:t>
          </w:r>
        </w:p>
      </w:tc>
      <w:tc>
        <w:tcPr>
          <w:tcW w:w="8261" w:type="dxa"/>
        </w:tcPr>
        <w:p w14:paraId="4BD8989B" w14:textId="624B2CF8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proofErr w:type="spellStart"/>
          <w:r w:rsidRPr="00A13406">
            <w:rPr>
              <w:bCs/>
              <w:color w:val="808080" w:themeColor="background1" w:themeShade="80"/>
            </w:rPr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proofErr w:type="spellEnd"/>
          <w:r w:rsidRPr="00A13406">
            <w:rPr>
              <w:bCs/>
              <w:color w:val="808080" w:themeColor="background1" w:themeShade="80"/>
            </w:rPr>
            <w:t>/</w:t>
          </w:r>
          <w:r w:rsidR="00110ED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92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55AF73C8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</w:r>
          <w:proofErr w:type="spellStart"/>
          <w:r w:rsidRPr="003F086E">
            <w:rPr>
              <w:bCs/>
              <w:color w:val="808080" w:themeColor="background1" w:themeShade="80"/>
            </w:rPr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proofErr w:type="spellEnd"/>
          <w:r w:rsidRPr="003F086E">
            <w:rPr>
              <w:bCs/>
              <w:color w:val="808080" w:themeColor="background1" w:themeShade="80"/>
            </w:rPr>
            <w:t>/</w:t>
          </w:r>
          <w:r w:rsidR="00110EDD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92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112B" w14:textId="77777777" w:rsidR="00FC1221" w:rsidRDefault="00FC1221">
      <w:r>
        <w:t>____________________</w:t>
      </w:r>
    </w:p>
  </w:footnote>
  <w:footnote w:type="continuationSeparator" w:id="0">
    <w:p w14:paraId="59119C29" w14:textId="77777777" w:rsidR="00FC1221" w:rsidRDefault="00FC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304EC"/>
    <w:multiLevelType w:val="hybridMultilevel"/>
    <w:tmpl w:val="3B78B43E"/>
    <w:lvl w:ilvl="0" w:tplc="3C4A4CB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1845502"/>
    <w:multiLevelType w:val="hybridMultilevel"/>
    <w:tmpl w:val="16BA2222"/>
    <w:lvl w:ilvl="0" w:tplc="FBEC42C8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B77E5F"/>
    <w:multiLevelType w:val="hybridMultilevel"/>
    <w:tmpl w:val="290864E8"/>
    <w:lvl w:ilvl="0" w:tplc="6CFC84D4">
      <w:start w:val="2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6"/>
  </w:num>
  <w:num w:numId="5" w16cid:durableId="2033219779">
    <w:abstractNumId w:val="8"/>
  </w:num>
  <w:num w:numId="6" w16cid:durableId="349645790">
    <w:abstractNumId w:val="7"/>
  </w:num>
  <w:num w:numId="7" w16cid:durableId="1451586466">
    <w:abstractNumId w:val="1"/>
  </w:num>
  <w:num w:numId="8" w16cid:durableId="122599467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47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688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134DC"/>
    <w:rsid w:val="00031E72"/>
    <w:rsid w:val="000404D2"/>
    <w:rsid w:val="00055EFA"/>
    <w:rsid w:val="000646BD"/>
    <w:rsid w:val="00065321"/>
    <w:rsid w:val="000853C0"/>
    <w:rsid w:val="00093DD9"/>
    <w:rsid w:val="0009409E"/>
    <w:rsid w:val="000A1C21"/>
    <w:rsid w:val="000C0BC5"/>
    <w:rsid w:val="000D15EA"/>
    <w:rsid w:val="000D7012"/>
    <w:rsid w:val="00100D84"/>
    <w:rsid w:val="00110EDD"/>
    <w:rsid w:val="001113B9"/>
    <w:rsid w:val="00124C9D"/>
    <w:rsid w:val="001305DE"/>
    <w:rsid w:val="0015333E"/>
    <w:rsid w:val="00157773"/>
    <w:rsid w:val="001651F0"/>
    <w:rsid w:val="0016721C"/>
    <w:rsid w:val="001738B8"/>
    <w:rsid w:val="0018251A"/>
    <w:rsid w:val="001843DD"/>
    <w:rsid w:val="00190272"/>
    <w:rsid w:val="00193244"/>
    <w:rsid w:val="00195C6C"/>
    <w:rsid w:val="00195FED"/>
    <w:rsid w:val="00197CF2"/>
    <w:rsid w:val="001A4BD6"/>
    <w:rsid w:val="001B5CF9"/>
    <w:rsid w:val="001B6E2B"/>
    <w:rsid w:val="001D5A18"/>
    <w:rsid w:val="001E3348"/>
    <w:rsid w:val="00215132"/>
    <w:rsid w:val="00217349"/>
    <w:rsid w:val="00224449"/>
    <w:rsid w:val="00280EB8"/>
    <w:rsid w:val="002A6670"/>
    <w:rsid w:val="002C3F32"/>
    <w:rsid w:val="002C5659"/>
    <w:rsid w:val="00303502"/>
    <w:rsid w:val="003233B9"/>
    <w:rsid w:val="00325C25"/>
    <w:rsid w:val="00326DEF"/>
    <w:rsid w:val="003340DD"/>
    <w:rsid w:val="00342900"/>
    <w:rsid w:val="003567D3"/>
    <w:rsid w:val="00357E7D"/>
    <w:rsid w:val="00372C8F"/>
    <w:rsid w:val="00380ECE"/>
    <w:rsid w:val="00393645"/>
    <w:rsid w:val="00393DDF"/>
    <w:rsid w:val="003949CE"/>
    <w:rsid w:val="00397F55"/>
    <w:rsid w:val="003B4454"/>
    <w:rsid w:val="003C2E37"/>
    <w:rsid w:val="003F086E"/>
    <w:rsid w:val="003F1415"/>
    <w:rsid w:val="003F1D5D"/>
    <w:rsid w:val="0040144C"/>
    <w:rsid w:val="00403EB7"/>
    <w:rsid w:val="004178E6"/>
    <w:rsid w:val="00430BF0"/>
    <w:rsid w:val="00446057"/>
    <w:rsid w:val="00457BC3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060D5"/>
    <w:rsid w:val="005403F7"/>
    <w:rsid w:val="00540632"/>
    <w:rsid w:val="00541CF4"/>
    <w:rsid w:val="005451E8"/>
    <w:rsid w:val="005507F2"/>
    <w:rsid w:val="005759CC"/>
    <w:rsid w:val="005A72E1"/>
    <w:rsid w:val="005C06C4"/>
    <w:rsid w:val="005C16B3"/>
    <w:rsid w:val="005C341E"/>
    <w:rsid w:val="005C6632"/>
    <w:rsid w:val="005D1C9E"/>
    <w:rsid w:val="00630DD5"/>
    <w:rsid w:val="0063555B"/>
    <w:rsid w:val="00637584"/>
    <w:rsid w:val="00654257"/>
    <w:rsid w:val="0065435A"/>
    <w:rsid w:val="00655827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27381"/>
    <w:rsid w:val="00734FE8"/>
    <w:rsid w:val="007360CE"/>
    <w:rsid w:val="00767CB8"/>
    <w:rsid w:val="0077110E"/>
    <w:rsid w:val="00772315"/>
    <w:rsid w:val="00775157"/>
    <w:rsid w:val="007813AE"/>
    <w:rsid w:val="007948A1"/>
    <w:rsid w:val="007A37DB"/>
    <w:rsid w:val="007A4599"/>
    <w:rsid w:val="007C53CD"/>
    <w:rsid w:val="007E189D"/>
    <w:rsid w:val="007F0210"/>
    <w:rsid w:val="00806E3F"/>
    <w:rsid w:val="00811259"/>
    <w:rsid w:val="00812C98"/>
    <w:rsid w:val="00813AA2"/>
    <w:rsid w:val="008173A3"/>
    <w:rsid w:val="008418F5"/>
    <w:rsid w:val="00841B6B"/>
    <w:rsid w:val="0086059C"/>
    <w:rsid w:val="00864589"/>
    <w:rsid w:val="008707EF"/>
    <w:rsid w:val="00874C82"/>
    <w:rsid w:val="00890AFB"/>
    <w:rsid w:val="00890FC4"/>
    <w:rsid w:val="00895905"/>
    <w:rsid w:val="008F64AD"/>
    <w:rsid w:val="00911230"/>
    <w:rsid w:val="00911867"/>
    <w:rsid w:val="009164A9"/>
    <w:rsid w:val="00917EA0"/>
    <w:rsid w:val="009258CB"/>
    <w:rsid w:val="0093362E"/>
    <w:rsid w:val="00944563"/>
    <w:rsid w:val="00944CE2"/>
    <w:rsid w:val="00953160"/>
    <w:rsid w:val="009539B9"/>
    <w:rsid w:val="00956144"/>
    <w:rsid w:val="009625D8"/>
    <w:rsid w:val="00983878"/>
    <w:rsid w:val="0098459B"/>
    <w:rsid w:val="00997185"/>
    <w:rsid w:val="009C2458"/>
    <w:rsid w:val="009C4A7B"/>
    <w:rsid w:val="009C6123"/>
    <w:rsid w:val="009F1E3E"/>
    <w:rsid w:val="00A1213C"/>
    <w:rsid w:val="00A13406"/>
    <w:rsid w:val="00A135C8"/>
    <w:rsid w:val="00A272FF"/>
    <w:rsid w:val="00A5354B"/>
    <w:rsid w:val="00A71B57"/>
    <w:rsid w:val="00A819EF"/>
    <w:rsid w:val="00AA0EAA"/>
    <w:rsid w:val="00AB42C1"/>
    <w:rsid w:val="00AC516F"/>
    <w:rsid w:val="00AE195F"/>
    <w:rsid w:val="00AE2926"/>
    <w:rsid w:val="00B0184B"/>
    <w:rsid w:val="00B035CD"/>
    <w:rsid w:val="00B0769D"/>
    <w:rsid w:val="00B102C9"/>
    <w:rsid w:val="00B217F8"/>
    <w:rsid w:val="00B218E9"/>
    <w:rsid w:val="00B332EA"/>
    <w:rsid w:val="00B40A53"/>
    <w:rsid w:val="00B45365"/>
    <w:rsid w:val="00B45D8F"/>
    <w:rsid w:val="00B46951"/>
    <w:rsid w:val="00B46A65"/>
    <w:rsid w:val="00B60184"/>
    <w:rsid w:val="00B62D20"/>
    <w:rsid w:val="00B81E75"/>
    <w:rsid w:val="00B82783"/>
    <w:rsid w:val="00B93453"/>
    <w:rsid w:val="00B9445B"/>
    <w:rsid w:val="00BB61DB"/>
    <w:rsid w:val="00BD0954"/>
    <w:rsid w:val="00BD1A5A"/>
    <w:rsid w:val="00BD7A9B"/>
    <w:rsid w:val="00BD7BE1"/>
    <w:rsid w:val="00BF416B"/>
    <w:rsid w:val="00C010C4"/>
    <w:rsid w:val="00C22C42"/>
    <w:rsid w:val="00C45EB2"/>
    <w:rsid w:val="00C64E4E"/>
    <w:rsid w:val="00C66E64"/>
    <w:rsid w:val="00C761A0"/>
    <w:rsid w:val="00C85F7E"/>
    <w:rsid w:val="00C86163"/>
    <w:rsid w:val="00C90D53"/>
    <w:rsid w:val="00CA0B2E"/>
    <w:rsid w:val="00CA6EF7"/>
    <w:rsid w:val="00CB44DC"/>
    <w:rsid w:val="00CD47F0"/>
    <w:rsid w:val="00CD5566"/>
    <w:rsid w:val="00CD64D7"/>
    <w:rsid w:val="00CD7201"/>
    <w:rsid w:val="00CE299D"/>
    <w:rsid w:val="00CE6F22"/>
    <w:rsid w:val="00CF41F6"/>
    <w:rsid w:val="00CF7D3E"/>
    <w:rsid w:val="00D02B4E"/>
    <w:rsid w:val="00D21F11"/>
    <w:rsid w:val="00D32E74"/>
    <w:rsid w:val="00D36817"/>
    <w:rsid w:val="00D453EE"/>
    <w:rsid w:val="00D5666C"/>
    <w:rsid w:val="00D62844"/>
    <w:rsid w:val="00D666BC"/>
    <w:rsid w:val="00D74C62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0E45"/>
    <w:rsid w:val="00DF6B49"/>
    <w:rsid w:val="00E067C5"/>
    <w:rsid w:val="00E24D59"/>
    <w:rsid w:val="00E265BF"/>
    <w:rsid w:val="00E323D0"/>
    <w:rsid w:val="00E34C96"/>
    <w:rsid w:val="00E36268"/>
    <w:rsid w:val="00E378D8"/>
    <w:rsid w:val="00E43A12"/>
    <w:rsid w:val="00E643F5"/>
    <w:rsid w:val="00E66650"/>
    <w:rsid w:val="00E67C67"/>
    <w:rsid w:val="00E70347"/>
    <w:rsid w:val="00E77476"/>
    <w:rsid w:val="00E8228B"/>
    <w:rsid w:val="00E93D67"/>
    <w:rsid w:val="00E97582"/>
    <w:rsid w:val="00EB56B9"/>
    <w:rsid w:val="00EC4F79"/>
    <w:rsid w:val="00EE5706"/>
    <w:rsid w:val="00EF373D"/>
    <w:rsid w:val="00F11595"/>
    <w:rsid w:val="00F13BC9"/>
    <w:rsid w:val="00F357B2"/>
    <w:rsid w:val="00F36556"/>
    <w:rsid w:val="00F37C24"/>
    <w:rsid w:val="00F61599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1221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46-C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403</Characters>
  <Application>Microsoft Office Word</Application>
  <DocSecurity>0</DocSecurity>
  <Lines>20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outcomes of the 3rd and 4th meetings of the Expert Group on International Telecommunications Regulations</dc:title>
  <dc:subject>ITU Council 2025</dc:subject>
  <cp:keywords>C2025, C25, Council-25</cp:keywords>
  <dc:description/>
  <cp:lastPrinted>2015-02-24T13:23:00Z</cp:lastPrinted>
  <dcterms:created xsi:type="dcterms:W3CDTF">2025-06-17T16:51:00Z</dcterms:created>
  <dcterms:modified xsi:type="dcterms:W3CDTF">2025-06-17T16:51:00Z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