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E6A21C6" w14:textId="77777777" w:rsidTr="00F363FE">
        <w:tc>
          <w:tcPr>
            <w:tcW w:w="6512" w:type="dxa"/>
          </w:tcPr>
          <w:p w14:paraId="0F37AEF1" w14:textId="3D05D935"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A5949">
              <w:rPr>
                <w:rFonts w:hint="cs"/>
                <w:b/>
                <w:bCs/>
                <w:rtl/>
                <w:lang w:bidi="ar-EG"/>
              </w:rPr>
              <w:t xml:space="preserve"> </w:t>
            </w:r>
            <w:r w:rsidR="00AA5949">
              <w:rPr>
                <w:b/>
              </w:rPr>
              <w:t>PL 2</w:t>
            </w:r>
          </w:p>
        </w:tc>
        <w:tc>
          <w:tcPr>
            <w:tcW w:w="3117" w:type="dxa"/>
          </w:tcPr>
          <w:p w14:paraId="663F1DE1" w14:textId="2AF3D53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AA5949">
              <w:rPr>
                <w:b/>
                <w:bCs/>
                <w:lang w:bidi="ar-EG"/>
              </w:rPr>
              <w:t>92</w:t>
            </w:r>
            <w:r w:rsidRPr="007B0AA0">
              <w:rPr>
                <w:b/>
                <w:bCs/>
                <w:lang w:bidi="ar-EG"/>
              </w:rPr>
              <w:t>-A</w:t>
            </w:r>
          </w:p>
        </w:tc>
      </w:tr>
      <w:tr w:rsidR="007B0AA0" w14:paraId="679D73F4" w14:textId="77777777" w:rsidTr="00F363FE">
        <w:tc>
          <w:tcPr>
            <w:tcW w:w="6512" w:type="dxa"/>
          </w:tcPr>
          <w:p w14:paraId="689E6505" w14:textId="77777777" w:rsidR="007B0AA0" w:rsidRPr="007B0AA0" w:rsidRDefault="007B0AA0" w:rsidP="00F363FE">
            <w:pPr>
              <w:spacing w:before="60" w:after="60" w:line="260" w:lineRule="exact"/>
              <w:rPr>
                <w:b/>
                <w:bCs/>
                <w:rtl/>
                <w:lang w:bidi="ar-EG"/>
              </w:rPr>
            </w:pPr>
          </w:p>
        </w:tc>
        <w:tc>
          <w:tcPr>
            <w:tcW w:w="3117" w:type="dxa"/>
          </w:tcPr>
          <w:p w14:paraId="1F966495" w14:textId="0ED44E71" w:rsidR="007B0AA0" w:rsidRPr="007B0AA0" w:rsidRDefault="00AA5949" w:rsidP="00F363FE">
            <w:pPr>
              <w:spacing w:before="60" w:after="60" w:line="260" w:lineRule="exact"/>
              <w:rPr>
                <w:b/>
                <w:bCs/>
                <w:rtl/>
                <w:lang w:bidi="ar-EG"/>
              </w:rPr>
            </w:pPr>
            <w:r>
              <w:rPr>
                <w:rFonts w:hint="cs"/>
                <w:b/>
                <w:bCs/>
                <w:rtl/>
              </w:rPr>
              <w:t>‏3‏ يونيو‏ 2025</w:t>
            </w:r>
          </w:p>
        </w:tc>
      </w:tr>
      <w:tr w:rsidR="007B0AA0" w14:paraId="4073EF87" w14:textId="77777777" w:rsidTr="00F363FE">
        <w:tc>
          <w:tcPr>
            <w:tcW w:w="6512" w:type="dxa"/>
          </w:tcPr>
          <w:p w14:paraId="1E7650F4" w14:textId="77777777" w:rsidR="007B0AA0" w:rsidRPr="007B0AA0" w:rsidRDefault="007B0AA0" w:rsidP="00F363FE">
            <w:pPr>
              <w:spacing w:before="60" w:after="60" w:line="260" w:lineRule="exact"/>
              <w:rPr>
                <w:b/>
                <w:bCs/>
                <w:rtl/>
                <w:lang w:bidi="ar-EG"/>
              </w:rPr>
            </w:pPr>
          </w:p>
        </w:tc>
        <w:tc>
          <w:tcPr>
            <w:tcW w:w="3117" w:type="dxa"/>
          </w:tcPr>
          <w:p w14:paraId="3C0C570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17DDC96" w14:textId="77777777" w:rsidTr="00F363FE">
        <w:tc>
          <w:tcPr>
            <w:tcW w:w="6512" w:type="dxa"/>
          </w:tcPr>
          <w:p w14:paraId="3AB8E02A" w14:textId="77777777" w:rsidR="007B0AA0" w:rsidRDefault="007B0AA0" w:rsidP="00F363FE">
            <w:pPr>
              <w:spacing w:before="60" w:after="60" w:line="260" w:lineRule="exact"/>
              <w:rPr>
                <w:lang w:bidi="ar-EG"/>
              </w:rPr>
            </w:pPr>
          </w:p>
        </w:tc>
        <w:tc>
          <w:tcPr>
            <w:tcW w:w="3117" w:type="dxa"/>
          </w:tcPr>
          <w:p w14:paraId="617C8818" w14:textId="77777777" w:rsidR="007B0AA0" w:rsidRDefault="007B0AA0" w:rsidP="00F363FE">
            <w:pPr>
              <w:spacing w:before="60" w:after="60" w:line="260" w:lineRule="exact"/>
              <w:rPr>
                <w:rtl/>
                <w:lang w:bidi="ar-EG"/>
              </w:rPr>
            </w:pPr>
          </w:p>
        </w:tc>
      </w:tr>
      <w:tr w:rsidR="007B0AA0" w14:paraId="691EE533" w14:textId="77777777" w:rsidTr="00EE7446">
        <w:tc>
          <w:tcPr>
            <w:tcW w:w="9629" w:type="dxa"/>
            <w:gridSpan w:val="2"/>
          </w:tcPr>
          <w:p w14:paraId="54840E21" w14:textId="43BC7C25" w:rsidR="007B0AA0" w:rsidRDefault="00AA5949" w:rsidP="004F1E24">
            <w:pPr>
              <w:pStyle w:val="Source"/>
              <w:jc w:val="both"/>
              <w:rPr>
                <w:lang w:bidi="ar-EG"/>
              </w:rPr>
            </w:pPr>
            <w:r w:rsidRPr="00AA5949">
              <w:rPr>
                <w:rtl/>
                <w:lang w:bidi="ar-EG"/>
              </w:rPr>
              <w:t xml:space="preserve">مساهمة من جمهورية جنوب </w:t>
            </w:r>
            <w:r>
              <w:rPr>
                <w:rFonts w:hint="cs"/>
                <w:rtl/>
                <w:lang w:bidi="ar-EG"/>
              </w:rPr>
              <w:t>إ</w:t>
            </w:r>
            <w:r w:rsidRPr="00AA5949">
              <w:rPr>
                <w:rtl/>
                <w:lang w:bidi="ar-EG"/>
              </w:rPr>
              <w:t>فريقيا والمملكة العربية السعودية وجمهورية مصر العربية وجمهورية كينيا</w:t>
            </w:r>
          </w:p>
        </w:tc>
      </w:tr>
      <w:tr w:rsidR="007B0AA0" w14:paraId="3111C99F" w14:textId="77777777" w:rsidTr="007B0AA0">
        <w:tc>
          <w:tcPr>
            <w:tcW w:w="9629" w:type="dxa"/>
            <w:gridSpan w:val="2"/>
            <w:tcBorders>
              <w:bottom w:val="single" w:sz="4" w:space="0" w:color="auto"/>
            </w:tcBorders>
          </w:tcPr>
          <w:p w14:paraId="614BB955" w14:textId="4E9428FE" w:rsidR="007B0AA0" w:rsidRPr="00CF569A" w:rsidRDefault="00AA5949" w:rsidP="007B0AA0">
            <w:pPr>
              <w:pStyle w:val="Subtitle0"/>
              <w:rPr>
                <w:sz w:val="32"/>
                <w:szCs w:val="32"/>
              </w:rPr>
            </w:pPr>
            <w:r w:rsidRPr="00CF569A">
              <w:rPr>
                <w:sz w:val="32"/>
                <w:szCs w:val="32"/>
                <w:rtl/>
              </w:rPr>
              <w:t>تقرير عن نتائج الاجتماعين الثالث والرابع لفريق الخبراء المعني بلوائح الاتصالات</w:t>
            </w:r>
            <w:r w:rsidR="00CF569A">
              <w:rPr>
                <w:rFonts w:hint="eastAsia"/>
                <w:sz w:val="32"/>
                <w:szCs w:val="32"/>
                <w:rtl/>
              </w:rPr>
              <w:t> </w:t>
            </w:r>
            <w:r w:rsidRPr="00CF569A">
              <w:rPr>
                <w:sz w:val="32"/>
                <w:szCs w:val="32"/>
                <w:rtl/>
              </w:rPr>
              <w:t>الدولية</w:t>
            </w:r>
          </w:p>
        </w:tc>
      </w:tr>
      <w:tr w:rsidR="007B0AA0" w14:paraId="09D0E846" w14:textId="77777777" w:rsidTr="007B0AA0">
        <w:tc>
          <w:tcPr>
            <w:tcW w:w="9629" w:type="dxa"/>
            <w:gridSpan w:val="2"/>
            <w:tcBorders>
              <w:top w:val="single" w:sz="4" w:space="0" w:color="auto"/>
              <w:bottom w:val="single" w:sz="4" w:space="0" w:color="auto"/>
            </w:tcBorders>
          </w:tcPr>
          <w:p w14:paraId="1270A724" w14:textId="77777777" w:rsidR="007B0AA0" w:rsidRPr="007B0AA0" w:rsidRDefault="007B0AA0" w:rsidP="007B0AA0">
            <w:pPr>
              <w:rPr>
                <w:b/>
                <w:bCs/>
                <w:rtl/>
              </w:rPr>
            </w:pPr>
            <w:r w:rsidRPr="00494119">
              <w:rPr>
                <w:rFonts w:hint="cs"/>
                <w:b/>
                <w:bCs/>
                <w:rtl/>
              </w:rPr>
              <w:t>الغرض</w:t>
            </w:r>
          </w:p>
          <w:p w14:paraId="06C8C368" w14:textId="70835EE4" w:rsidR="007B0AA0" w:rsidRDefault="00AA5949" w:rsidP="007B0AA0">
            <w:pPr>
              <w:rPr>
                <w:rtl/>
              </w:rPr>
            </w:pPr>
            <w:r w:rsidRPr="00AA5949">
              <w:rPr>
                <w:rtl/>
              </w:rPr>
              <w:t>الغرض من هذه المساهمة هو التأكيد للمجلس على أهمية لوائح الاتصالات الدولية (</w:t>
            </w:r>
            <w:r w:rsidRPr="00AA5949">
              <w:t>ITR</w:t>
            </w:r>
            <w:r w:rsidRPr="00AA5949">
              <w:rPr>
                <w:rtl/>
              </w:rPr>
              <w:t>) في ضمان تمكّ</w:t>
            </w:r>
            <w:r>
              <w:rPr>
                <w:rFonts w:hint="cs"/>
                <w:rtl/>
              </w:rPr>
              <w:t>ُ</w:t>
            </w:r>
            <w:r w:rsidRPr="00AA5949">
              <w:rPr>
                <w:rtl/>
              </w:rPr>
              <w:t>ن جميع الأفراد من الاستفادة من استخدام تكنولوجيا المعلومات والاتصالات (</w:t>
            </w:r>
            <w:r w:rsidRPr="00AA5949">
              <w:t>ICT</w:t>
            </w:r>
            <w:r w:rsidRPr="00AA5949">
              <w:rPr>
                <w:rtl/>
              </w:rPr>
              <w:t>) والنهوض بها. إذ تؤدي لوائح الاتصالات الدولية دورا</w:t>
            </w:r>
            <w:r>
              <w:rPr>
                <w:rFonts w:hint="cs"/>
                <w:rtl/>
              </w:rPr>
              <w:t>ً</w:t>
            </w:r>
            <w:r w:rsidRPr="00AA5949">
              <w:rPr>
                <w:rtl/>
              </w:rPr>
              <w:t xml:space="preserve"> حيويا</w:t>
            </w:r>
            <w:r>
              <w:rPr>
                <w:rFonts w:hint="cs"/>
                <w:rtl/>
              </w:rPr>
              <w:t>ً</w:t>
            </w:r>
            <w:r w:rsidRPr="00AA5949">
              <w:rPr>
                <w:rtl/>
              </w:rPr>
              <w:t xml:space="preserve"> في تعزيز عالم موصول وشامل للجميع. ولذلك، ينبغي استعراضها لبيان الاتجاهات الجديدة والقضايا الناشئة في قطاعي الاتصالات وتكنولوجيا المعلومات والاتصالات.</w:t>
            </w:r>
          </w:p>
          <w:p w14:paraId="5EFD3084" w14:textId="77777777" w:rsidR="007B0AA0" w:rsidRPr="007B0AA0" w:rsidRDefault="007B0AA0" w:rsidP="007B0AA0">
            <w:pPr>
              <w:rPr>
                <w:b/>
                <w:bCs/>
                <w:rtl/>
              </w:rPr>
            </w:pPr>
            <w:r w:rsidRPr="007B0AA0">
              <w:rPr>
                <w:rFonts w:hint="cs"/>
                <w:b/>
                <w:bCs/>
                <w:rtl/>
              </w:rPr>
              <w:t>الإجراء المطلوب من المجلس</w:t>
            </w:r>
          </w:p>
          <w:p w14:paraId="323B1996" w14:textId="7ADC33E1" w:rsidR="007B0AA0" w:rsidRDefault="00AA5949" w:rsidP="007B0AA0">
            <w:pPr>
              <w:rPr>
                <w:rtl/>
              </w:rPr>
            </w:pPr>
            <w:r w:rsidRPr="00AA5949">
              <w:rPr>
                <w:rtl/>
              </w:rPr>
              <w:t>ي</w:t>
            </w:r>
            <w:r>
              <w:rPr>
                <w:rFonts w:hint="cs"/>
                <w:rtl/>
              </w:rPr>
              <w:t>ُ</w:t>
            </w:r>
            <w:r w:rsidRPr="00AA5949">
              <w:rPr>
                <w:rtl/>
              </w:rPr>
              <w:t>رجى من المجلس النظر في هذه مساهمة وأخذ العلم بها.</w:t>
            </w:r>
          </w:p>
          <w:p w14:paraId="4BA1B04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4F4A502" w14:textId="77777777" w:rsidR="007B0AA0" w:rsidRPr="007B0AA0" w:rsidRDefault="007B0AA0" w:rsidP="007B0AA0">
            <w:pPr>
              <w:rPr>
                <w:b/>
                <w:bCs/>
                <w:rtl/>
              </w:rPr>
            </w:pPr>
            <w:r w:rsidRPr="007B0AA0">
              <w:rPr>
                <w:rFonts w:hint="cs"/>
                <w:b/>
                <w:bCs/>
                <w:rtl/>
              </w:rPr>
              <w:t>المراجع</w:t>
            </w:r>
          </w:p>
          <w:p w14:paraId="086AF1F5" w14:textId="21544BEC" w:rsidR="007B0AA0" w:rsidRPr="005546CF" w:rsidRDefault="00AA5949" w:rsidP="007B0AA0">
            <w:pPr>
              <w:rPr>
                <w:i/>
                <w:iCs/>
                <w:rtl/>
              </w:rPr>
            </w:pPr>
            <w:r w:rsidRPr="00AA5949">
              <w:rPr>
                <w:i/>
                <w:iCs/>
                <w:rtl/>
              </w:rPr>
              <w:t xml:space="preserve">وثيقة المجلس </w:t>
            </w:r>
            <w:hyperlink r:id="rId8" w:history="1">
              <w:r w:rsidRPr="00AA5949">
                <w:rPr>
                  <w:rStyle w:val="Hyperlink"/>
                  <w:rFonts w:ascii="Dubai" w:hAnsi="Dubai" w:cs="Dubai"/>
                  <w:i/>
                  <w:iCs/>
                  <w:noProof w:val="0"/>
                  <w:sz w:val="22"/>
                  <w:lang w:val="en-US" w:eastAsia="zh-CN"/>
                </w:rPr>
                <w:t>C25/26</w:t>
              </w:r>
            </w:hyperlink>
            <w:r w:rsidRPr="00AA5949">
              <w:rPr>
                <w:i/>
                <w:iCs/>
                <w:rtl/>
              </w:rPr>
              <w:t xml:space="preserve">؛ </w:t>
            </w:r>
            <w:hyperlink r:id="rId9" w:history="1">
              <w:r w:rsidRPr="00AA5949">
                <w:rPr>
                  <w:rStyle w:val="Hyperlink"/>
                  <w:rFonts w:ascii="Dubai" w:hAnsi="Dubai" w:cs="Dubai"/>
                  <w:i/>
                  <w:iCs/>
                  <w:noProof w:val="0"/>
                  <w:sz w:val="22"/>
                  <w:rtl/>
                  <w:lang w:val="en-US" w:eastAsia="zh-CN"/>
                </w:rPr>
                <w:t>قرار</w:t>
              </w:r>
              <w:r w:rsidR="00714F33">
                <w:rPr>
                  <w:rStyle w:val="Hyperlink"/>
                  <w:rFonts w:ascii="Dubai" w:hAnsi="Dubai" w:cs="Dubai" w:hint="cs"/>
                  <w:i/>
                  <w:iCs/>
                  <w:noProof w:val="0"/>
                  <w:sz w:val="22"/>
                  <w:rtl/>
                  <w:lang w:val="en-US" w:eastAsia="zh-CN"/>
                </w:rPr>
                <w:t xml:space="preserve"> </w:t>
              </w:r>
              <w:r w:rsidR="00714F33">
                <w:rPr>
                  <w:rStyle w:val="Hyperlink"/>
                  <w:rFonts w:ascii="Dubai" w:hAnsi="Dubai" w:cs="Dubai" w:hint="cs"/>
                  <w:i/>
                  <w:iCs/>
                  <w:sz w:val="22"/>
                  <w:rtl/>
                </w:rPr>
                <w:t>المجلس</w:t>
              </w:r>
              <w:r w:rsidRPr="00AA5949">
                <w:rPr>
                  <w:rStyle w:val="Hyperlink"/>
                  <w:rFonts w:ascii="Dubai" w:hAnsi="Dubai" w:cs="Dubai"/>
                  <w:i/>
                  <w:iCs/>
                  <w:noProof w:val="0"/>
                  <w:sz w:val="22"/>
                  <w:rtl/>
                  <w:lang w:val="en-US" w:eastAsia="zh-CN"/>
                </w:rPr>
                <w:t xml:space="preserve"> 1379 (الصادر عن المجلس في دورته لعام 2016، والمعدَّل آخر مرة في دورته لعام</w:t>
              </w:r>
              <w:r>
                <w:rPr>
                  <w:rStyle w:val="Hyperlink"/>
                  <w:rFonts w:ascii="Dubai" w:hAnsi="Dubai" w:cs="Dubai" w:hint="cs"/>
                  <w:i/>
                  <w:iCs/>
                  <w:noProof w:val="0"/>
                  <w:sz w:val="22"/>
                  <w:rtl/>
                  <w:lang w:val="en-US" w:eastAsia="zh-CN"/>
                </w:rPr>
                <w:t> </w:t>
              </w:r>
              <w:r w:rsidRPr="00AA5949">
                <w:rPr>
                  <w:rStyle w:val="Hyperlink"/>
                  <w:rFonts w:ascii="Dubai" w:hAnsi="Dubai" w:cs="Dubai"/>
                  <w:i/>
                  <w:iCs/>
                  <w:noProof w:val="0"/>
                  <w:sz w:val="22"/>
                  <w:rtl/>
                  <w:lang w:val="en-US" w:eastAsia="zh-CN"/>
                </w:rPr>
                <w:t>2023)</w:t>
              </w:r>
            </w:hyperlink>
            <w:r w:rsidRPr="00AA5949">
              <w:rPr>
                <w:i/>
                <w:iCs/>
                <w:rtl/>
              </w:rPr>
              <w:t xml:space="preserve">؛ </w:t>
            </w:r>
            <w:hyperlink r:id="rId10" w:history="1">
              <w:r w:rsidRPr="00AA5949">
                <w:rPr>
                  <w:rStyle w:val="Hyperlink"/>
                  <w:rFonts w:ascii="Dubai" w:hAnsi="Dubai" w:cs="Dubai"/>
                  <w:i/>
                  <w:iCs/>
                  <w:noProof w:val="0"/>
                  <w:sz w:val="22"/>
                  <w:rtl/>
                  <w:lang w:val="en-US" w:eastAsia="zh-CN"/>
                </w:rPr>
                <w:t>القرار 146 (المراج</w:t>
              </w:r>
              <w:r>
                <w:rPr>
                  <w:rStyle w:val="Hyperlink"/>
                  <w:rFonts w:ascii="Dubai" w:hAnsi="Dubai" w:cs="Dubai" w:hint="cs"/>
                  <w:i/>
                  <w:iCs/>
                  <w:noProof w:val="0"/>
                  <w:sz w:val="22"/>
                  <w:rtl/>
                  <w:lang w:val="en-US" w:eastAsia="zh-CN"/>
                </w:rPr>
                <w:t>َ</w:t>
              </w:r>
              <w:r w:rsidRPr="00AA5949">
                <w:rPr>
                  <w:rStyle w:val="Hyperlink"/>
                  <w:rFonts w:ascii="Dubai" w:hAnsi="Dubai" w:cs="Dubai"/>
                  <w:i/>
                  <w:iCs/>
                  <w:noProof w:val="0"/>
                  <w:sz w:val="22"/>
                  <w:rtl/>
                  <w:lang w:val="en-US" w:eastAsia="zh-CN"/>
                </w:rPr>
                <w:t>ع في بوخارست، 2022)</w:t>
              </w:r>
            </w:hyperlink>
            <w:r w:rsidRPr="00AA5949">
              <w:rPr>
                <w:i/>
                <w:iCs/>
                <w:rtl/>
              </w:rPr>
              <w:t xml:space="preserve"> لمؤتمر المندوبين المفوضين</w:t>
            </w:r>
          </w:p>
        </w:tc>
      </w:tr>
    </w:tbl>
    <w:p w14:paraId="2E6B759C" w14:textId="77777777" w:rsidR="00E61BE8" w:rsidRDefault="00E61BE8" w:rsidP="00E61BE8">
      <w:pPr>
        <w:rPr>
          <w:rtl/>
          <w:lang w:bidi="ar-EG"/>
        </w:rPr>
      </w:pPr>
    </w:p>
    <w:p w14:paraId="6B8BB3A4" w14:textId="77777777" w:rsidR="00F50E3F" w:rsidRDefault="00F50E3F" w:rsidP="0043260A">
      <w:pPr>
        <w:rPr>
          <w:rtl/>
          <w:lang w:bidi="ar-EG"/>
        </w:rPr>
      </w:pPr>
      <w:r>
        <w:rPr>
          <w:rtl/>
          <w:lang w:bidi="ar-EG"/>
        </w:rPr>
        <w:br w:type="page"/>
      </w:r>
    </w:p>
    <w:p w14:paraId="04653DB9" w14:textId="7805B5E2" w:rsidR="00AA5949" w:rsidRPr="00AA5949" w:rsidRDefault="00AF51DA" w:rsidP="00AA5949">
      <w:pPr>
        <w:pStyle w:val="Headingb"/>
        <w:rPr>
          <w:rtl/>
          <w:lang w:bidi="ar-EG"/>
        </w:rPr>
      </w:pPr>
      <w:r w:rsidRPr="00AF51DA">
        <w:rPr>
          <w:rtl/>
          <w:lang w:bidi="ar-EG"/>
        </w:rPr>
        <w:lastRenderedPageBreak/>
        <w:t>معلومات أساسية</w:t>
      </w:r>
    </w:p>
    <w:p w14:paraId="3AFD9861" w14:textId="43697FCA" w:rsidR="00AA5949" w:rsidRPr="00AA5949" w:rsidRDefault="00AA5949" w:rsidP="00AA5949">
      <w:pPr>
        <w:rPr>
          <w:rtl/>
          <w:lang w:bidi="ar-EG"/>
        </w:rPr>
      </w:pPr>
      <w:r w:rsidRPr="00AA5949">
        <w:rPr>
          <w:rtl/>
          <w:lang w:bidi="ar-EG"/>
        </w:rPr>
        <w:t>كلف القرار 146 (المراج</w:t>
      </w:r>
      <w:r>
        <w:rPr>
          <w:rFonts w:hint="cs"/>
          <w:rtl/>
          <w:lang w:bidi="ar-EG"/>
        </w:rPr>
        <w:t>َ</w:t>
      </w:r>
      <w:r w:rsidRPr="00AA5949">
        <w:rPr>
          <w:rtl/>
          <w:lang w:bidi="ar-EG"/>
        </w:rPr>
        <w:t>ع في بوخارست، 2022) الصادر عن مؤتمر المندوبين المفوضين مجلس الاتحاد الدولي للاتصالات باستعراض ومراجعة اختصاصات فريق الخبراء المعني بلوائح الاتصالات الدولية (</w:t>
      </w:r>
      <w:r w:rsidRPr="00AA5949">
        <w:rPr>
          <w:lang w:bidi="ar-EG"/>
        </w:rPr>
        <w:t>EG-ITR</w:t>
      </w:r>
      <w:r w:rsidRPr="00AA5949">
        <w:rPr>
          <w:rtl/>
          <w:lang w:bidi="ar-EG"/>
        </w:rPr>
        <w:t>) في دورته لعام 2023. ولذلك، وافق مجلس الاتحاد في دورته لعام 2023 (11-21 يوليو 2023)، ضمن جملة أمور، على الاختصاصات التالية:</w:t>
      </w:r>
    </w:p>
    <w:p w14:paraId="2DCBA797" w14:textId="0BBB42A0" w:rsidR="00AA5949" w:rsidRPr="00E62F7D" w:rsidRDefault="00AA5949" w:rsidP="00AA5949">
      <w:pPr>
        <w:pStyle w:val="enumlev1"/>
        <w:rPr>
          <w:i/>
          <w:iCs/>
          <w:rtl/>
        </w:rPr>
      </w:pPr>
      <w:r w:rsidRPr="00E62F7D">
        <w:rPr>
          <w:rFonts w:hint="cs"/>
          <w:i/>
          <w:iCs/>
          <w:rtl/>
        </w:rPr>
        <w:t>2</w:t>
      </w:r>
      <w:r w:rsidRPr="00E62F7D">
        <w:rPr>
          <w:i/>
          <w:iCs/>
          <w:rtl/>
        </w:rPr>
        <w:tab/>
        <w:t>ومع مراعاة عمل فريقي الخبراء السابقين، يمكن أن يشمل الاستعراض النظر في أمور منها:</w:t>
      </w:r>
    </w:p>
    <w:p w14:paraId="78E92A56" w14:textId="04297BC2" w:rsidR="00AA5949" w:rsidRPr="00E62F7D" w:rsidRDefault="00AA5949" w:rsidP="00E62F7D">
      <w:pPr>
        <w:pStyle w:val="enumlev2"/>
        <w:rPr>
          <w:i/>
          <w:iCs/>
          <w:rtl/>
          <w:lang w:bidi="ar-EG"/>
        </w:rPr>
      </w:pPr>
      <w:r w:rsidRPr="00E62F7D">
        <w:rPr>
          <w:i/>
          <w:iCs/>
          <w:rtl/>
          <w:lang w:bidi="ar-EG"/>
        </w:rPr>
        <w:t>(</w:t>
      </w:r>
      <w:r w:rsidR="00E62F7D" w:rsidRPr="00E62F7D">
        <w:rPr>
          <w:rFonts w:hint="eastAsia"/>
          <w:i/>
          <w:iCs/>
          <w:rtl/>
          <w:lang w:bidi="ar-EG"/>
        </w:rPr>
        <w:t> </w:t>
      </w:r>
      <w:r w:rsidRPr="00E62F7D">
        <w:rPr>
          <w:i/>
          <w:iCs/>
          <w:rtl/>
          <w:lang w:bidi="ar-EG"/>
        </w:rPr>
        <w:t>أ‌</w:t>
      </w:r>
      <w:r w:rsidR="00E62F7D" w:rsidRPr="00E62F7D">
        <w:rPr>
          <w:rFonts w:hint="cs"/>
          <w:i/>
          <w:iCs/>
          <w:rtl/>
          <w:lang w:bidi="ar-EG"/>
        </w:rPr>
        <w:t> </w:t>
      </w:r>
      <w:r w:rsidRPr="00E62F7D">
        <w:rPr>
          <w:i/>
          <w:iCs/>
          <w:rtl/>
          <w:lang w:bidi="ar-EG"/>
        </w:rPr>
        <w:t>)</w:t>
      </w:r>
      <w:r w:rsidRPr="00E62F7D">
        <w:rPr>
          <w:i/>
          <w:iCs/>
          <w:rtl/>
          <w:lang w:bidi="ar-EG"/>
        </w:rPr>
        <w:tab/>
        <w:t>الاتجاهات الجديدة في مجال الاتصالات/تكنولوجيا المعلومات والاتصالات، والقضايا الناشئة في بيئة الاتصالات/تكنولوجيا المعلومات والاتصالات الدولية التي قد تؤثر على لوائح الاتصالات الدولية؛</w:t>
      </w:r>
    </w:p>
    <w:p w14:paraId="240A2752" w14:textId="0E1F9BDC" w:rsidR="00AA5949" w:rsidRPr="00E62F7D" w:rsidRDefault="00AA5949" w:rsidP="00E62F7D">
      <w:pPr>
        <w:pStyle w:val="enumlev2"/>
        <w:rPr>
          <w:i/>
          <w:iCs/>
          <w:rtl/>
          <w:lang w:bidi="ar-EG"/>
        </w:rPr>
      </w:pPr>
      <w:r w:rsidRPr="00E62F7D">
        <w:rPr>
          <w:i/>
          <w:iCs/>
          <w:rtl/>
          <w:lang w:bidi="ar-EG"/>
        </w:rPr>
        <w:t>(ب‌)</w:t>
      </w:r>
      <w:r w:rsidRPr="00E62F7D">
        <w:rPr>
          <w:i/>
          <w:iCs/>
          <w:rtl/>
          <w:lang w:bidi="ar-EG"/>
        </w:rPr>
        <w:tab/>
        <w:t>بيانات تجريبية بشأن الاستعمال الحالي للوائح الاتصالات الدولية من جانب وكالات التشغيل و/أو</w:t>
      </w:r>
      <w:r w:rsidR="00793FA3">
        <w:rPr>
          <w:rFonts w:hint="cs"/>
          <w:i/>
          <w:iCs/>
          <w:rtl/>
          <w:lang w:bidi="ar-EG"/>
        </w:rPr>
        <w:t> </w:t>
      </w:r>
      <w:r w:rsidRPr="00E62F7D">
        <w:rPr>
          <w:i/>
          <w:iCs/>
          <w:rtl/>
          <w:lang w:bidi="ar-EG"/>
        </w:rPr>
        <w:t>الإدارات، ونسبة خدمات الاتصالات العالمية التي تعتمد حالياً على لوائح الاتصالات الدولية؛</w:t>
      </w:r>
    </w:p>
    <w:p w14:paraId="349334DB" w14:textId="769EAD6C" w:rsidR="00AA5949" w:rsidRPr="00AA5949" w:rsidRDefault="00AA5949" w:rsidP="00E62F7D">
      <w:pPr>
        <w:pStyle w:val="enumlev2"/>
        <w:rPr>
          <w:rtl/>
          <w:lang w:bidi="ar-EG"/>
        </w:rPr>
      </w:pPr>
      <w:r w:rsidRPr="00E62F7D">
        <w:rPr>
          <w:i/>
          <w:iCs/>
          <w:rtl/>
          <w:lang w:bidi="ar-EG"/>
        </w:rPr>
        <w:t>(</w:t>
      </w:r>
      <w:r w:rsidR="00E62F7D" w:rsidRPr="00E62F7D">
        <w:rPr>
          <w:rFonts w:hint="cs"/>
          <w:i/>
          <w:iCs/>
          <w:rtl/>
          <w:lang w:bidi="ar-EG"/>
        </w:rPr>
        <w:t>ج</w:t>
      </w:r>
      <w:r w:rsidRPr="00E62F7D">
        <w:rPr>
          <w:i/>
          <w:iCs/>
          <w:rtl/>
          <w:lang w:bidi="ar-EG"/>
        </w:rPr>
        <w:t>‌)</w:t>
      </w:r>
      <w:r w:rsidRPr="00E62F7D">
        <w:rPr>
          <w:i/>
          <w:iCs/>
          <w:rtl/>
          <w:lang w:bidi="ar-EG"/>
        </w:rPr>
        <w:tab/>
      </w:r>
      <w:r w:rsidR="003A176B">
        <w:rPr>
          <w:rFonts w:hint="cs"/>
          <w:i/>
          <w:iCs/>
          <w:rtl/>
          <w:lang w:bidi="ar-EG"/>
        </w:rPr>
        <w:t>و</w:t>
      </w:r>
      <w:r w:rsidRPr="00E62F7D">
        <w:rPr>
          <w:i/>
          <w:iCs/>
          <w:rtl/>
          <w:lang w:bidi="ar-EG"/>
        </w:rPr>
        <w:t>مدى ملاءمة لوائح الاتصالات الدولية التي "تتألف من مبادئ توجيهية رفيعة المستوى" في البيئة الحالية للاتصالات/تكنولوجيا المعلومات والاتصالات.</w:t>
      </w:r>
    </w:p>
    <w:p w14:paraId="0E5F74A7" w14:textId="77777777" w:rsidR="00AA5949" w:rsidRPr="00AA5949" w:rsidRDefault="00AA5949" w:rsidP="00E62F7D">
      <w:pPr>
        <w:pStyle w:val="Headingb"/>
        <w:rPr>
          <w:rtl/>
          <w:lang w:bidi="ar-EG"/>
        </w:rPr>
      </w:pPr>
      <w:r w:rsidRPr="00AA5949">
        <w:rPr>
          <w:rtl/>
          <w:lang w:bidi="ar-EG"/>
        </w:rPr>
        <w:t>أعمال فريق الخبراء المعني بلوائح الاتصالات الدولية</w:t>
      </w:r>
    </w:p>
    <w:p w14:paraId="7F0ADBE4" w14:textId="1CC47A06" w:rsidR="00AA5949" w:rsidRPr="00AA5949" w:rsidRDefault="00AA5949" w:rsidP="00AA5949">
      <w:pPr>
        <w:rPr>
          <w:rtl/>
          <w:lang w:bidi="ar-EG"/>
        </w:rPr>
      </w:pPr>
      <w:r w:rsidRPr="00AA5949">
        <w:rPr>
          <w:rtl/>
          <w:lang w:bidi="ar-EG"/>
        </w:rPr>
        <w:t>شاركت الدول الأعضاء بنشاط في فريق الخبراء لتبين أهمية لوائح الاتصالات الدولية. وتحقيقا</w:t>
      </w:r>
      <w:r w:rsidR="00E62F7D">
        <w:rPr>
          <w:rFonts w:hint="cs"/>
          <w:rtl/>
          <w:lang w:bidi="ar-EG"/>
        </w:rPr>
        <w:t>ً</w:t>
      </w:r>
      <w:r w:rsidRPr="00AA5949">
        <w:rPr>
          <w:rtl/>
          <w:lang w:bidi="ar-EG"/>
        </w:rPr>
        <w:t xml:space="preserve"> لهذه الغاية، قدمت عدة مساهمات متعددة البلدان لتبين ما يلي:</w:t>
      </w:r>
      <w:r w:rsidR="00D331DD">
        <w:rPr>
          <w:rFonts w:hint="cs"/>
          <w:rtl/>
          <w:lang w:bidi="ar-EG"/>
        </w:rPr>
        <w:t xml:space="preserve"> </w:t>
      </w:r>
    </w:p>
    <w:p w14:paraId="5EA2C6FE" w14:textId="25B9D59A" w:rsidR="00AA5949" w:rsidRPr="00AA5949" w:rsidRDefault="00AA5949" w:rsidP="00E62F7D">
      <w:pPr>
        <w:pStyle w:val="enumlev1"/>
        <w:rPr>
          <w:rtl/>
        </w:rPr>
      </w:pPr>
      <w:r w:rsidRPr="00AA5949">
        <w:rPr>
          <w:rtl/>
        </w:rPr>
        <w:t>(</w:t>
      </w:r>
      <w:r w:rsidR="00E62F7D">
        <w:rPr>
          <w:rFonts w:hint="cs"/>
          <w:rtl/>
        </w:rPr>
        <w:t> </w:t>
      </w:r>
      <w:r w:rsidRPr="00AA5949">
        <w:rPr>
          <w:rtl/>
        </w:rPr>
        <w:t>أ‌</w:t>
      </w:r>
      <w:r w:rsidR="00E62F7D">
        <w:rPr>
          <w:rFonts w:hint="cs"/>
          <w:rtl/>
        </w:rPr>
        <w:t> </w:t>
      </w:r>
      <w:r w:rsidRPr="00AA5949">
        <w:rPr>
          <w:rtl/>
        </w:rPr>
        <w:t>)</w:t>
      </w:r>
      <w:r w:rsidRPr="00AA5949">
        <w:rPr>
          <w:rtl/>
        </w:rPr>
        <w:tab/>
        <w:t>وجود اتجاهات جديدة في مجال الاتصالات/تكنولوجيا المعلومات والاتصالات والقضايا الناشئة في بيئة الاتصالات/تكنولوجيا المعلومات والاتصالات الدولية التي تؤثر على لوائح الاتصالات الدولية؛</w:t>
      </w:r>
    </w:p>
    <w:p w14:paraId="25B8E035" w14:textId="6DAB0B07" w:rsidR="00AA5949" w:rsidRPr="00AA5949" w:rsidRDefault="00AA5949" w:rsidP="00E62F7D">
      <w:pPr>
        <w:pStyle w:val="enumlev1"/>
        <w:rPr>
          <w:rtl/>
        </w:rPr>
      </w:pPr>
      <w:r w:rsidRPr="00AA5949">
        <w:rPr>
          <w:rtl/>
        </w:rPr>
        <w:t>(ب‌)</w:t>
      </w:r>
      <w:r w:rsidRPr="00AA5949">
        <w:rPr>
          <w:rtl/>
        </w:rPr>
        <w:tab/>
        <w:t>وجود بيانات تجريبية بشأن الاستعمال الحالي للوائح الاتصالات الدولية من جانب وكالات التشغيل و/أو</w:t>
      </w:r>
      <w:r w:rsidR="00793FA3">
        <w:rPr>
          <w:rFonts w:hint="cs"/>
          <w:rtl/>
        </w:rPr>
        <w:t> </w:t>
      </w:r>
      <w:r w:rsidRPr="00AA5949">
        <w:rPr>
          <w:rtl/>
        </w:rPr>
        <w:t>الإدارات ونسبة خدمات الاتصالات العالمية التي تعتمد على لوائح الاتصالات الدولية.</w:t>
      </w:r>
    </w:p>
    <w:p w14:paraId="407E143D" w14:textId="73642CC6" w:rsidR="00AA5949" w:rsidRPr="00AA5949" w:rsidRDefault="00AA5949" w:rsidP="00AA5949">
      <w:pPr>
        <w:rPr>
          <w:rtl/>
          <w:lang w:bidi="ar-EG"/>
        </w:rPr>
      </w:pPr>
      <w:r w:rsidRPr="00AA5949">
        <w:rPr>
          <w:rtl/>
          <w:lang w:bidi="ar-EG"/>
        </w:rPr>
        <w:t>ولضمان استفادة الناس جميعاً من استخدام تكنولوجيا المعلومات والاتصالات وتطويرها، ولتعزيز عالم موصل وشامل للجميع، لا</w:t>
      </w:r>
      <w:r w:rsidR="00E62F7D">
        <w:rPr>
          <w:rFonts w:hint="cs"/>
          <w:rtl/>
          <w:lang w:bidi="ar-EG"/>
        </w:rPr>
        <w:t> </w:t>
      </w:r>
      <w:r w:rsidRPr="00AA5949">
        <w:rPr>
          <w:rtl/>
          <w:lang w:bidi="ar-EG"/>
        </w:rPr>
        <w:t>تزال لوائح الاتصالات الدولية تؤدي دورا</w:t>
      </w:r>
      <w:r w:rsidR="00E62F7D">
        <w:rPr>
          <w:rFonts w:hint="cs"/>
          <w:rtl/>
          <w:lang w:bidi="ar-EG"/>
        </w:rPr>
        <w:t>ً</w:t>
      </w:r>
      <w:r w:rsidRPr="00AA5949">
        <w:rPr>
          <w:rtl/>
          <w:lang w:bidi="ar-EG"/>
        </w:rPr>
        <w:t xml:space="preserve"> مهما في تيسير مهمة الاتحاد هذه. وفي الوضع الراهن، لا</w:t>
      </w:r>
      <w:r w:rsidR="00E62F7D">
        <w:rPr>
          <w:rFonts w:hint="cs"/>
          <w:rtl/>
          <w:lang w:bidi="ar-EG"/>
        </w:rPr>
        <w:t> </w:t>
      </w:r>
      <w:r w:rsidRPr="00AA5949">
        <w:rPr>
          <w:rtl/>
          <w:lang w:bidi="ar-EG"/>
        </w:rPr>
        <w:t>يوجد صك آخر تحدَد كبديل للوائح الاتصالات الدولية للمساعدة في تحقيق التوصيلية العالمية، مع أخذ التحديات التي تواجهها البلدان النامية واحتياجاتها الاقتصادية بعين الاعتبار.</w:t>
      </w:r>
    </w:p>
    <w:p w14:paraId="3FDB50D6" w14:textId="77777777" w:rsidR="00AA5949" w:rsidRPr="00AA5949" w:rsidRDefault="00AA5949" w:rsidP="00AA5949">
      <w:pPr>
        <w:rPr>
          <w:rtl/>
          <w:lang w:bidi="ar-EG"/>
        </w:rPr>
      </w:pPr>
      <w:r w:rsidRPr="00AA5949">
        <w:rPr>
          <w:rtl/>
          <w:lang w:bidi="ar-EG"/>
        </w:rPr>
        <w:t>وعلى الرغم من ذلك، لا يوجد اتفاق حتى الآن ضمن الفريق بشأن الأفق المستقبلي. ونعتقد أن لوائح الاتصالات الدولية تشكل أداة، وبالتعاون مع جميع الدول الأعضاء، سنتمكن من إيجاد أرضية مشتركة ننطلق منها.</w:t>
      </w:r>
    </w:p>
    <w:p w14:paraId="5BB8F210" w14:textId="118A5AF9" w:rsidR="00AA5949" w:rsidRPr="00AA5949" w:rsidRDefault="00AA5949" w:rsidP="00AA5949">
      <w:pPr>
        <w:rPr>
          <w:rtl/>
          <w:lang w:bidi="ar-EG"/>
        </w:rPr>
      </w:pPr>
      <w:r w:rsidRPr="00AA5949">
        <w:rPr>
          <w:rtl/>
          <w:lang w:bidi="ar-EG"/>
        </w:rPr>
        <w:t>وتتناول عدة مواد في لوائح الاتصالات الدولية الحالية (في إصداري 1988 و2012) وكالات التشغيل بدلا</w:t>
      </w:r>
      <w:r w:rsidR="00E62F7D">
        <w:rPr>
          <w:rFonts w:hint="cs"/>
          <w:rtl/>
          <w:lang w:bidi="ar-EG"/>
        </w:rPr>
        <w:t>ً</w:t>
      </w:r>
      <w:r w:rsidRPr="00AA5949">
        <w:rPr>
          <w:rtl/>
          <w:lang w:bidi="ar-EG"/>
        </w:rPr>
        <w:t xml:space="preserve"> من الدول الأعضاء. وربما كان ذلك مناسبا</w:t>
      </w:r>
      <w:r w:rsidR="00E62F7D">
        <w:rPr>
          <w:rFonts w:hint="cs"/>
          <w:rtl/>
          <w:lang w:bidi="ar-EG"/>
        </w:rPr>
        <w:t>ً</w:t>
      </w:r>
      <w:r w:rsidRPr="00AA5949">
        <w:rPr>
          <w:rtl/>
          <w:lang w:bidi="ar-EG"/>
        </w:rPr>
        <w:t xml:space="preserve"> قبل 20 عاما</w:t>
      </w:r>
      <w:r w:rsidR="00E62F7D">
        <w:rPr>
          <w:rFonts w:hint="cs"/>
          <w:rtl/>
          <w:lang w:bidi="ar-EG"/>
        </w:rPr>
        <w:t>ً</w:t>
      </w:r>
      <w:r w:rsidRPr="00AA5949">
        <w:rPr>
          <w:rtl/>
          <w:lang w:bidi="ar-EG"/>
        </w:rPr>
        <w:t>. ولكن في عالم اليوم، ينبغي أن تتناول لوائح الاتصالات الدولية الدول الأعضاء حصراً وليس وكالات التشغيل. وعندئذ</w:t>
      </w:r>
      <w:r w:rsidR="003A176B">
        <w:rPr>
          <w:rFonts w:hint="cs"/>
          <w:rtl/>
          <w:lang w:bidi="ar-EG"/>
        </w:rPr>
        <w:t>ٍ</w:t>
      </w:r>
      <w:r w:rsidRPr="00AA5949">
        <w:rPr>
          <w:rtl/>
          <w:lang w:bidi="ar-EG"/>
        </w:rPr>
        <w:t xml:space="preserve"> تتولى الدول الأعضاء، من خلال لوائحها وسياساتها الوطنية، مسؤولية ضمان تطبيق المشغلين لأحكام وتوجيهات لوائح الاتصالات الدولية.</w:t>
      </w:r>
    </w:p>
    <w:p w14:paraId="612B4539" w14:textId="77777777" w:rsidR="00AA5949" w:rsidRPr="00AA5949" w:rsidRDefault="00AA5949" w:rsidP="00E62F7D">
      <w:pPr>
        <w:pStyle w:val="Headingb"/>
        <w:rPr>
          <w:rtl/>
          <w:lang w:bidi="ar-EG"/>
        </w:rPr>
      </w:pPr>
      <w:r w:rsidRPr="00AA5949">
        <w:rPr>
          <w:rtl/>
          <w:lang w:bidi="ar-EG"/>
        </w:rPr>
        <w:t>المقترَح</w:t>
      </w:r>
    </w:p>
    <w:p w14:paraId="540B8DBF" w14:textId="55D31004" w:rsidR="00AA5949" w:rsidRPr="00AA5949" w:rsidRDefault="00AA5949" w:rsidP="00AA5949">
      <w:pPr>
        <w:rPr>
          <w:rtl/>
          <w:lang w:bidi="ar-EG"/>
        </w:rPr>
      </w:pPr>
      <w:r w:rsidRPr="00AA5949">
        <w:rPr>
          <w:rtl/>
          <w:lang w:bidi="ar-EG"/>
        </w:rPr>
        <w:t xml:space="preserve">يعتقد واضعو هذه </w:t>
      </w:r>
      <w:r w:rsidR="003A176B">
        <w:rPr>
          <w:rFonts w:hint="cs"/>
          <w:rtl/>
          <w:lang w:bidi="ar-EG"/>
        </w:rPr>
        <w:t>ال</w:t>
      </w:r>
      <w:r w:rsidRPr="00AA5949">
        <w:rPr>
          <w:rtl/>
          <w:lang w:bidi="ar-EG"/>
        </w:rPr>
        <w:t xml:space="preserve">مساهمة ضرورة تكثيف الجهود من أجل إيجاد </w:t>
      </w:r>
      <w:r w:rsidR="00E62F7D">
        <w:rPr>
          <w:rFonts w:hint="cs"/>
          <w:rtl/>
          <w:lang w:bidi="ar-EG"/>
        </w:rPr>
        <w:t>أ</w:t>
      </w:r>
      <w:r w:rsidRPr="00AA5949">
        <w:rPr>
          <w:rtl/>
          <w:lang w:bidi="ar-EG"/>
        </w:rPr>
        <w:t>رضية مشتركة للتمكن من الحصول على نسخة واحدة من المعاهدة تحظى بقبول جميع الدول الأعضاء وتعود بالنفع على الجميع.</w:t>
      </w:r>
    </w:p>
    <w:p w14:paraId="711537BC" w14:textId="3D9BB763" w:rsidR="00F50E3F" w:rsidRDefault="00AA5949" w:rsidP="00AA5949">
      <w:r w:rsidRPr="00AA5949">
        <w:rPr>
          <w:rtl/>
          <w:lang w:bidi="ar-EG"/>
        </w:rPr>
        <w:t>ونحن نتطلع قدماً إلى مواصلة المشاركة في أعمال فريق الخبراء المعني بلوائح الاتصالات الدولية لضمان اضطلاع فريق الخبراء بولايته بفعالية.</w:t>
      </w:r>
    </w:p>
    <w:p w14:paraId="56082DC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1"/>
      <w:headerReference w:type="first" r:id="rId12"/>
      <w:footerReference w:type="first" r:id="rId13"/>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5204" w14:textId="77777777" w:rsidR="005D7520" w:rsidRDefault="005D7520" w:rsidP="006C3242">
      <w:pPr>
        <w:spacing w:before="0" w:line="240" w:lineRule="auto"/>
      </w:pPr>
      <w:r>
        <w:separator/>
      </w:r>
    </w:p>
  </w:endnote>
  <w:endnote w:type="continuationSeparator" w:id="0">
    <w:p w14:paraId="4905689A" w14:textId="77777777" w:rsidR="005D7520" w:rsidRDefault="005D75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7FA8A89" w14:textId="77777777" w:rsidTr="00A67F05">
      <w:trPr>
        <w:jc w:val="center"/>
      </w:trPr>
      <w:tc>
        <w:tcPr>
          <w:tcW w:w="868" w:type="pct"/>
          <w:vAlign w:val="center"/>
        </w:tcPr>
        <w:p w14:paraId="36899BE9" w14:textId="1D1A48B0" w:rsidR="00F50E3F" w:rsidRPr="007B0AA0" w:rsidRDefault="00C008E8"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C008E8">
            <w:rPr>
              <w:rFonts w:ascii="Calibri" w:hAnsi="Calibri" w:cs="Arial"/>
              <w:sz w:val="18"/>
              <w:szCs w:val="14"/>
            </w:rPr>
            <w:t>2501363</w:t>
          </w:r>
        </w:p>
      </w:tc>
      <w:tc>
        <w:tcPr>
          <w:tcW w:w="3912" w:type="pct"/>
        </w:tcPr>
        <w:p w14:paraId="582EFF67" w14:textId="666271FA"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A5949">
            <w:rPr>
              <w:rFonts w:ascii="Calibri" w:hAnsi="Calibri" w:cs="Arial"/>
              <w:bCs/>
              <w:color w:val="7F7F7F"/>
              <w:sz w:val="18"/>
            </w:rPr>
            <w:t>92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08F061"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1A186AE"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F027A39" w14:textId="77777777" w:rsidTr="00A67F05">
      <w:trPr>
        <w:jc w:val="center"/>
      </w:trPr>
      <w:tc>
        <w:tcPr>
          <w:tcW w:w="1013" w:type="pct"/>
          <w:vAlign w:val="center"/>
        </w:tcPr>
        <w:p w14:paraId="226CC2EF"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417EFE60" w14:textId="343B9A67"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A5949">
            <w:rPr>
              <w:rFonts w:ascii="Calibri" w:hAnsi="Calibri" w:cs="Arial"/>
              <w:bCs/>
              <w:color w:val="7F7F7F"/>
              <w:sz w:val="18"/>
            </w:rPr>
            <w:t>92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FF18184"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D17AB4F"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A063" w14:textId="77777777" w:rsidR="005D7520" w:rsidRDefault="005D7520" w:rsidP="006C3242">
      <w:pPr>
        <w:spacing w:before="0" w:line="240" w:lineRule="auto"/>
      </w:pPr>
      <w:r>
        <w:separator/>
      </w:r>
    </w:p>
  </w:footnote>
  <w:footnote w:type="continuationSeparator" w:id="0">
    <w:p w14:paraId="7502BC05" w14:textId="77777777" w:rsidR="005D7520" w:rsidRDefault="005D75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03E1"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EE2DEC" wp14:editId="306479CC">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3E4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9A15064" wp14:editId="5C95D887">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20"/>
    <w:rsid w:val="0006468A"/>
    <w:rsid w:val="00077A58"/>
    <w:rsid w:val="00090574"/>
    <w:rsid w:val="000C1C0E"/>
    <w:rsid w:val="000C548A"/>
    <w:rsid w:val="00105DAA"/>
    <w:rsid w:val="00163C41"/>
    <w:rsid w:val="00191059"/>
    <w:rsid w:val="001B6E2B"/>
    <w:rsid w:val="001C0169"/>
    <w:rsid w:val="001C0C21"/>
    <w:rsid w:val="001D1D50"/>
    <w:rsid w:val="001D64C7"/>
    <w:rsid w:val="001D6745"/>
    <w:rsid w:val="001E446E"/>
    <w:rsid w:val="00215147"/>
    <w:rsid w:val="002154EE"/>
    <w:rsid w:val="002276D2"/>
    <w:rsid w:val="0023283D"/>
    <w:rsid w:val="00254393"/>
    <w:rsid w:val="0026373E"/>
    <w:rsid w:val="00271C43"/>
    <w:rsid w:val="00290728"/>
    <w:rsid w:val="002978F4"/>
    <w:rsid w:val="002B028D"/>
    <w:rsid w:val="002C3F32"/>
    <w:rsid w:val="002D7B7B"/>
    <w:rsid w:val="002E6541"/>
    <w:rsid w:val="00334924"/>
    <w:rsid w:val="003409BC"/>
    <w:rsid w:val="00357185"/>
    <w:rsid w:val="00383829"/>
    <w:rsid w:val="003A176B"/>
    <w:rsid w:val="003F4B29"/>
    <w:rsid w:val="00420F8A"/>
    <w:rsid w:val="0042686F"/>
    <w:rsid w:val="004317D8"/>
    <w:rsid w:val="0043260A"/>
    <w:rsid w:val="00434183"/>
    <w:rsid w:val="00443869"/>
    <w:rsid w:val="00447F32"/>
    <w:rsid w:val="00491BA9"/>
    <w:rsid w:val="00494119"/>
    <w:rsid w:val="004A4701"/>
    <w:rsid w:val="004B7334"/>
    <w:rsid w:val="004D665B"/>
    <w:rsid w:val="004E11DC"/>
    <w:rsid w:val="004F1E24"/>
    <w:rsid w:val="005130DE"/>
    <w:rsid w:val="00513157"/>
    <w:rsid w:val="00525DDD"/>
    <w:rsid w:val="005409AC"/>
    <w:rsid w:val="005434E0"/>
    <w:rsid w:val="005546CF"/>
    <w:rsid w:val="0055516A"/>
    <w:rsid w:val="0058491B"/>
    <w:rsid w:val="00592EA5"/>
    <w:rsid w:val="005A3170"/>
    <w:rsid w:val="005C341E"/>
    <w:rsid w:val="005D7520"/>
    <w:rsid w:val="00657019"/>
    <w:rsid w:val="00660DEA"/>
    <w:rsid w:val="00677396"/>
    <w:rsid w:val="00683F16"/>
    <w:rsid w:val="0069200F"/>
    <w:rsid w:val="006A65CB"/>
    <w:rsid w:val="006B12E5"/>
    <w:rsid w:val="006C3242"/>
    <w:rsid w:val="006C7CC0"/>
    <w:rsid w:val="006F363C"/>
    <w:rsid w:val="006F63F7"/>
    <w:rsid w:val="007025C7"/>
    <w:rsid w:val="00706D7A"/>
    <w:rsid w:val="00714F33"/>
    <w:rsid w:val="00722F0D"/>
    <w:rsid w:val="00735081"/>
    <w:rsid w:val="0074420E"/>
    <w:rsid w:val="007648A6"/>
    <w:rsid w:val="0077110E"/>
    <w:rsid w:val="00783E26"/>
    <w:rsid w:val="00793FA3"/>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67F4"/>
    <w:rsid w:val="008A7F84"/>
    <w:rsid w:val="0091702E"/>
    <w:rsid w:val="00923B0C"/>
    <w:rsid w:val="00924F46"/>
    <w:rsid w:val="00935AAC"/>
    <w:rsid w:val="0094021C"/>
    <w:rsid w:val="00952F86"/>
    <w:rsid w:val="00982B28"/>
    <w:rsid w:val="009D313F"/>
    <w:rsid w:val="00A47A5A"/>
    <w:rsid w:val="00A63AE6"/>
    <w:rsid w:val="00A6683B"/>
    <w:rsid w:val="00A67F05"/>
    <w:rsid w:val="00A97F94"/>
    <w:rsid w:val="00AA5949"/>
    <w:rsid w:val="00AA7EA2"/>
    <w:rsid w:val="00AB5A56"/>
    <w:rsid w:val="00AF51DA"/>
    <w:rsid w:val="00B03099"/>
    <w:rsid w:val="00B05BC8"/>
    <w:rsid w:val="00B30F5E"/>
    <w:rsid w:val="00B64B47"/>
    <w:rsid w:val="00B95654"/>
    <w:rsid w:val="00B97F32"/>
    <w:rsid w:val="00BA04B2"/>
    <w:rsid w:val="00C002DE"/>
    <w:rsid w:val="00C008E8"/>
    <w:rsid w:val="00C05E18"/>
    <w:rsid w:val="00C0602B"/>
    <w:rsid w:val="00C224DA"/>
    <w:rsid w:val="00C53BF8"/>
    <w:rsid w:val="00C66157"/>
    <w:rsid w:val="00C674FE"/>
    <w:rsid w:val="00C67501"/>
    <w:rsid w:val="00C75633"/>
    <w:rsid w:val="00CE2EE1"/>
    <w:rsid w:val="00CE3349"/>
    <w:rsid w:val="00CE36E5"/>
    <w:rsid w:val="00CE4360"/>
    <w:rsid w:val="00CF27F5"/>
    <w:rsid w:val="00CF3FFD"/>
    <w:rsid w:val="00CF569A"/>
    <w:rsid w:val="00D10CCF"/>
    <w:rsid w:val="00D13941"/>
    <w:rsid w:val="00D22A91"/>
    <w:rsid w:val="00D23F5F"/>
    <w:rsid w:val="00D331DD"/>
    <w:rsid w:val="00D43F7D"/>
    <w:rsid w:val="00D63735"/>
    <w:rsid w:val="00D77D0F"/>
    <w:rsid w:val="00DA1CF0"/>
    <w:rsid w:val="00DC1E02"/>
    <w:rsid w:val="00DC24B4"/>
    <w:rsid w:val="00DC5FB0"/>
    <w:rsid w:val="00DF16DC"/>
    <w:rsid w:val="00E45211"/>
    <w:rsid w:val="00E473C5"/>
    <w:rsid w:val="00E61BE8"/>
    <w:rsid w:val="00E62F7D"/>
    <w:rsid w:val="00E83FF1"/>
    <w:rsid w:val="00E87632"/>
    <w:rsid w:val="00E92863"/>
    <w:rsid w:val="00E979B2"/>
    <w:rsid w:val="00EB796D"/>
    <w:rsid w:val="00F058DC"/>
    <w:rsid w:val="00F24FC4"/>
    <w:rsid w:val="00F2676C"/>
    <w:rsid w:val="00F333AF"/>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9BB89"/>
  <w15:chartTrackingRefBased/>
  <w15:docId w15:val="{8C303BA9-DC9C-4DE3-8A40-AA780C5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077A58"/>
    <w:rPr>
      <w:rFonts w:ascii="Calibri" w:hAnsi="Calibri" w:cs="Arial"/>
      <w:noProof/>
      <w:color w:val="5B9BD5"/>
      <w:sz w:val="18"/>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CF569A"/>
    <w:pPr>
      <w:spacing w:after="0" w:line="240" w:lineRule="auto"/>
    </w:pPr>
    <w:rPr>
      <w:rFonts w:ascii="Dubai" w:hAnsi="Dubai" w:cs="Dubai"/>
    </w:rPr>
  </w:style>
  <w:style w:type="character" w:styleId="FollowedHyperlink">
    <w:name w:val="FollowedHyperlink"/>
    <w:basedOn w:val="DefaultParagraphFont"/>
    <w:uiPriority w:val="99"/>
    <w:semiHidden/>
    <w:unhideWhenUsed/>
    <w:rsid w:val="00714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6/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2023/RES-146-a.pdf" TargetMode="External"/><Relationship Id="rId4" Type="http://schemas.openxmlformats.org/officeDocument/2006/relationships/settings" Target="settings.xml"/><Relationship Id="rId9" Type="http://schemas.openxmlformats.org/officeDocument/2006/relationships/hyperlink" Target="https://www.itu.int/md/S23-CL-C-0121/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3</TotalTime>
  <Pages>2</Pages>
  <Words>552</Words>
  <Characters>3224</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3rd and 4th meetings of the Expert Group on International Telecommunications Regulations</dc:title>
  <dc:subject>ITU Council 2025</dc:subject>
  <cp:keywords>C2025, C25, Council-25</cp:keywords>
  <dc:description/>
  <dcterms:created xsi:type="dcterms:W3CDTF">2025-06-17T16:47:00Z</dcterms:created>
  <dcterms:modified xsi:type="dcterms:W3CDTF">2025-06-17T16:47:00Z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