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91826" w14:paraId="1931CD5F" w14:textId="77777777" w:rsidTr="00C538FC">
        <w:trPr>
          <w:cantSplit/>
          <w:trHeight w:val="23"/>
        </w:trPr>
        <w:tc>
          <w:tcPr>
            <w:tcW w:w="3969" w:type="dxa"/>
            <w:vMerge w:val="restart"/>
            <w:tcMar>
              <w:left w:w="0" w:type="dxa"/>
            </w:tcMar>
          </w:tcPr>
          <w:p w14:paraId="0CE0E30C" w14:textId="36CC25A6" w:rsidR="00FE57F6" w:rsidRPr="00B91826" w:rsidRDefault="00BA188E" w:rsidP="00B75B3A">
            <w:pPr>
              <w:tabs>
                <w:tab w:val="left" w:pos="851"/>
              </w:tabs>
              <w:spacing w:before="0" w:line="240" w:lineRule="atLeast"/>
              <w:rPr>
                <w:b/>
              </w:rPr>
            </w:pPr>
            <w:bookmarkStart w:id="0" w:name="_Hlk133421839"/>
            <w:r w:rsidRPr="00B91826">
              <w:rPr>
                <w:b/>
                <w:bCs/>
              </w:rPr>
              <w:t xml:space="preserve">Punto del orden del día: </w:t>
            </w:r>
            <w:r w:rsidR="00AD5AE7" w:rsidRPr="00B91826">
              <w:rPr>
                <w:b/>
                <w:bCs/>
              </w:rPr>
              <w:t>PL.3</w:t>
            </w:r>
          </w:p>
        </w:tc>
        <w:tc>
          <w:tcPr>
            <w:tcW w:w="5245" w:type="dxa"/>
          </w:tcPr>
          <w:p w14:paraId="2A730273" w14:textId="349B711C" w:rsidR="00FE57F6" w:rsidRPr="00B91826" w:rsidRDefault="00FE57F6" w:rsidP="00C538FC">
            <w:pPr>
              <w:tabs>
                <w:tab w:val="left" w:pos="851"/>
              </w:tabs>
              <w:spacing w:before="0" w:line="240" w:lineRule="atLeast"/>
              <w:jc w:val="right"/>
              <w:rPr>
                <w:b/>
              </w:rPr>
            </w:pPr>
            <w:r w:rsidRPr="00B91826">
              <w:rPr>
                <w:b/>
              </w:rPr>
              <w:t>Document</w:t>
            </w:r>
            <w:r w:rsidR="00F24B71" w:rsidRPr="00B91826">
              <w:rPr>
                <w:b/>
              </w:rPr>
              <w:t>o</w:t>
            </w:r>
            <w:r w:rsidRPr="00B91826">
              <w:rPr>
                <w:b/>
              </w:rPr>
              <w:t xml:space="preserve"> C2</w:t>
            </w:r>
            <w:r w:rsidR="00BB6FD8" w:rsidRPr="00B91826">
              <w:rPr>
                <w:b/>
              </w:rPr>
              <w:t>5</w:t>
            </w:r>
            <w:r w:rsidRPr="00B91826">
              <w:rPr>
                <w:b/>
              </w:rPr>
              <w:t>/</w:t>
            </w:r>
            <w:r w:rsidR="00BA188E" w:rsidRPr="00B91826">
              <w:rPr>
                <w:b/>
              </w:rPr>
              <w:t>9</w:t>
            </w:r>
            <w:r w:rsidR="00FF7883" w:rsidRPr="00B91826">
              <w:rPr>
                <w:b/>
              </w:rPr>
              <w:t>1</w:t>
            </w:r>
            <w:r w:rsidRPr="00B91826">
              <w:rPr>
                <w:b/>
              </w:rPr>
              <w:t>-</w:t>
            </w:r>
            <w:r w:rsidR="00F24B71" w:rsidRPr="00B91826">
              <w:rPr>
                <w:b/>
              </w:rPr>
              <w:t>S</w:t>
            </w:r>
          </w:p>
        </w:tc>
      </w:tr>
      <w:tr w:rsidR="00FE57F6" w:rsidRPr="00B91826" w14:paraId="62A2539A" w14:textId="77777777" w:rsidTr="00C538FC">
        <w:trPr>
          <w:cantSplit/>
        </w:trPr>
        <w:tc>
          <w:tcPr>
            <w:tcW w:w="3969" w:type="dxa"/>
            <w:vMerge/>
          </w:tcPr>
          <w:p w14:paraId="26A075F4" w14:textId="77777777" w:rsidR="00FE57F6" w:rsidRPr="00B91826" w:rsidRDefault="00FE57F6" w:rsidP="00C538FC">
            <w:pPr>
              <w:tabs>
                <w:tab w:val="left" w:pos="851"/>
              </w:tabs>
              <w:spacing w:line="240" w:lineRule="atLeast"/>
              <w:rPr>
                <w:b/>
              </w:rPr>
            </w:pPr>
          </w:p>
        </w:tc>
        <w:tc>
          <w:tcPr>
            <w:tcW w:w="5245" w:type="dxa"/>
          </w:tcPr>
          <w:p w14:paraId="74D9CD35" w14:textId="4BD0B145" w:rsidR="00FE57F6" w:rsidRPr="00B91826" w:rsidRDefault="00BA188E" w:rsidP="00C538FC">
            <w:pPr>
              <w:tabs>
                <w:tab w:val="left" w:pos="851"/>
              </w:tabs>
              <w:spacing w:before="0"/>
              <w:jc w:val="right"/>
              <w:rPr>
                <w:b/>
              </w:rPr>
            </w:pPr>
            <w:r w:rsidRPr="00B91826">
              <w:rPr>
                <w:b/>
              </w:rPr>
              <w:t xml:space="preserve">3 </w:t>
            </w:r>
            <w:r w:rsidR="00B75B3A" w:rsidRPr="00B91826">
              <w:rPr>
                <w:b/>
              </w:rPr>
              <w:t xml:space="preserve">de </w:t>
            </w:r>
            <w:r w:rsidRPr="00B91826">
              <w:rPr>
                <w:b/>
              </w:rPr>
              <w:t xml:space="preserve">junio </w:t>
            </w:r>
            <w:r w:rsidR="00B75B3A" w:rsidRPr="00B91826">
              <w:rPr>
                <w:b/>
              </w:rPr>
              <w:t>de 2025</w:t>
            </w:r>
          </w:p>
        </w:tc>
      </w:tr>
      <w:tr w:rsidR="00FE57F6" w:rsidRPr="00B91826" w14:paraId="4F94FDD2" w14:textId="77777777" w:rsidTr="00C538FC">
        <w:trPr>
          <w:cantSplit/>
          <w:trHeight w:val="23"/>
        </w:trPr>
        <w:tc>
          <w:tcPr>
            <w:tcW w:w="3969" w:type="dxa"/>
            <w:vMerge/>
          </w:tcPr>
          <w:p w14:paraId="086E23C6" w14:textId="77777777" w:rsidR="00FE57F6" w:rsidRPr="00B91826" w:rsidRDefault="00FE57F6" w:rsidP="00C538FC">
            <w:pPr>
              <w:tabs>
                <w:tab w:val="left" w:pos="851"/>
              </w:tabs>
              <w:spacing w:line="240" w:lineRule="atLeast"/>
              <w:rPr>
                <w:b/>
              </w:rPr>
            </w:pPr>
          </w:p>
        </w:tc>
        <w:tc>
          <w:tcPr>
            <w:tcW w:w="5245" w:type="dxa"/>
          </w:tcPr>
          <w:p w14:paraId="045F1AD5" w14:textId="77777777" w:rsidR="00FE57F6" w:rsidRPr="00B91826" w:rsidRDefault="00F24B71" w:rsidP="00C538FC">
            <w:pPr>
              <w:tabs>
                <w:tab w:val="left" w:pos="851"/>
              </w:tabs>
              <w:spacing w:before="0" w:line="240" w:lineRule="atLeast"/>
              <w:jc w:val="right"/>
              <w:rPr>
                <w:b/>
                <w:bCs/>
              </w:rPr>
            </w:pPr>
            <w:r w:rsidRPr="00B91826">
              <w:rPr>
                <w:rFonts w:cstheme="minorHAnsi"/>
                <w:b/>
                <w:bCs/>
              </w:rPr>
              <w:t>Original: inglés</w:t>
            </w:r>
          </w:p>
        </w:tc>
      </w:tr>
      <w:tr w:rsidR="00FE57F6" w:rsidRPr="00B91826" w14:paraId="3C0B1460" w14:textId="77777777" w:rsidTr="00C538FC">
        <w:trPr>
          <w:cantSplit/>
          <w:trHeight w:val="23"/>
        </w:trPr>
        <w:tc>
          <w:tcPr>
            <w:tcW w:w="3969" w:type="dxa"/>
          </w:tcPr>
          <w:p w14:paraId="21DA5415" w14:textId="77777777" w:rsidR="00FE57F6" w:rsidRPr="00B91826" w:rsidRDefault="00FE57F6" w:rsidP="00C538FC">
            <w:pPr>
              <w:tabs>
                <w:tab w:val="left" w:pos="851"/>
              </w:tabs>
              <w:spacing w:line="240" w:lineRule="atLeast"/>
              <w:rPr>
                <w:b/>
              </w:rPr>
            </w:pPr>
          </w:p>
        </w:tc>
        <w:tc>
          <w:tcPr>
            <w:tcW w:w="5245" w:type="dxa"/>
          </w:tcPr>
          <w:p w14:paraId="4FD86798" w14:textId="77777777" w:rsidR="00FE57F6" w:rsidRPr="00B91826" w:rsidRDefault="00FE57F6" w:rsidP="00C538FC">
            <w:pPr>
              <w:tabs>
                <w:tab w:val="left" w:pos="851"/>
              </w:tabs>
              <w:spacing w:before="0" w:line="240" w:lineRule="atLeast"/>
              <w:jc w:val="right"/>
              <w:rPr>
                <w:b/>
              </w:rPr>
            </w:pPr>
          </w:p>
        </w:tc>
      </w:tr>
      <w:tr w:rsidR="00FE57F6" w:rsidRPr="00B91826" w14:paraId="3D210184" w14:textId="77777777" w:rsidTr="00C538FC">
        <w:trPr>
          <w:cantSplit/>
        </w:trPr>
        <w:tc>
          <w:tcPr>
            <w:tcW w:w="9214" w:type="dxa"/>
            <w:gridSpan w:val="2"/>
            <w:tcMar>
              <w:left w:w="0" w:type="dxa"/>
            </w:tcMar>
          </w:tcPr>
          <w:p w14:paraId="10197EC5" w14:textId="0998A614" w:rsidR="00FE57F6" w:rsidRPr="00B91826" w:rsidRDefault="00E655BC" w:rsidP="00C538FC">
            <w:pPr>
              <w:pStyle w:val="Source"/>
              <w:jc w:val="left"/>
              <w:rPr>
                <w:sz w:val="34"/>
                <w:szCs w:val="34"/>
              </w:rPr>
            </w:pPr>
            <w:r w:rsidRPr="00B91826">
              <w:rPr>
                <w:rFonts w:cstheme="minorHAnsi"/>
                <w:sz w:val="34"/>
                <w:szCs w:val="34"/>
              </w:rPr>
              <w:t>Contribución de Arabia Saud</w:t>
            </w:r>
            <w:r w:rsidR="000C3417" w:rsidRPr="00B91826">
              <w:rPr>
                <w:rFonts w:cstheme="minorHAnsi"/>
                <w:sz w:val="34"/>
                <w:szCs w:val="34"/>
              </w:rPr>
              <w:t>ita</w:t>
            </w:r>
            <w:r w:rsidRPr="00B91826">
              <w:rPr>
                <w:rFonts w:cstheme="minorHAnsi"/>
                <w:sz w:val="34"/>
                <w:szCs w:val="34"/>
              </w:rPr>
              <w:t xml:space="preserve"> (Reino de), Kuwait (Estado de), Marruecos (Reino de), Qatar (Estado de), Sud</w:t>
            </w:r>
            <w:r w:rsidR="00B91826" w:rsidRPr="00B91826">
              <w:rPr>
                <w:rFonts w:cstheme="minorHAnsi"/>
                <w:sz w:val="34"/>
                <w:szCs w:val="34"/>
              </w:rPr>
              <w:t>a</w:t>
            </w:r>
            <w:r w:rsidRPr="00B91826">
              <w:rPr>
                <w:rFonts w:cstheme="minorHAnsi"/>
                <w:sz w:val="34"/>
                <w:szCs w:val="34"/>
              </w:rPr>
              <w:t>frica</w:t>
            </w:r>
            <w:r w:rsidR="00B91826" w:rsidRPr="00B91826">
              <w:rPr>
                <w:rFonts w:cstheme="minorHAnsi"/>
                <w:sz w:val="34"/>
                <w:szCs w:val="34"/>
              </w:rPr>
              <w:t>na</w:t>
            </w:r>
            <w:r w:rsidRPr="00B91826">
              <w:rPr>
                <w:rFonts w:cstheme="minorHAnsi"/>
                <w:sz w:val="34"/>
                <w:szCs w:val="34"/>
              </w:rPr>
              <w:t xml:space="preserve"> (República de), Túnez</w:t>
            </w:r>
            <w:r w:rsidR="00BA188E" w:rsidRPr="00B91826">
              <w:rPr>
                <w:rFonts w:cstheme="minorHAnsi"/>
                <w:sz w:val="34"/>
                <w:szCs w:val="34"/>
              </w:rPr>
              <w:t>.</w:t>
            </w:r>
          </w:p>
        </w:tc>
      </w:tr>
      <w:tr w:rsidR="00FE57F6" w:rsidRPr="00B91826" w14:paraId="685091E6" w14:textId="77777777" w:rsidTr="00C538FC">
        <w:trPr>
          <w:cantSplit/>
        </w:trPr>
        <w:tc>
          <w:tcPr>
            <w:tcW w:w="9214" w:type="dxa"/>
            <w:gridSpan w:val="2"/>
            <w:tcMar>
              <w:left w:w="0" w:type="dxa"/>
            </w:tcMar>
          </w:tcPr>
          <w:p w14:paraId="3643F667" w14:textId="38905597" w:rsidR="00FE57F6" w:rsidRPr="00B91826" w:rsidRDefault="00D31327" w:rsidP="00B75B3A">
            <w:pPr>
              <w:pStyle w:val="Subtitle"/>
              <w:framePr w:hSpace="0" w:wrap="auto" w:vAnchor="margin" w:hAnchor="text" w:xAlign="left" w:yAlign="inline"/>
            </w:pPr>
            <w:r w:rsidRPr="00B91826">
              <w:t>CONTRIBUCIÓN A LAS DIRECTRICES PARA LA ARMONIZACIÓN DE LAS RESOLUCIONES Y DECISIONES DE LAS CONFERENCIAS DE PLENIPOTENCIARIOS</w:t>
            </w:r>
          </w:p>
        </w:tc>
      </w:tr>
      <w:tr w:rsidR="00FE57F6" w:rsidRPr="00B91826" w14:paraId="6CCAAD0B" w14:textId="77777777" w:rsidTr="00C538FC">
        <w:trPr>
          <w:cantSplit/>
        </w:trPr>
        <w:tc>
          <w:tcPr>
            <w:tcW w:w="9214" w:type="dxa"/>
            <w:gridSpan w:val="2"/>
            <w:tcBorders>
              <w:top w:val="single" w:sz="4" w:space="0" w:color="auto"/>
              <w:bottom w:val="single" w:sz="4" w:space="0" w:color="auto"/>
            </w:tcBorders>
            <w:tcMar>
              <w:left w:w="0" w:type="dxa"/>
            </w:tcMar>
          </w:tcPr>
          <w:p w14:paraId="75FA2581" w14:textId="77777777" w:rsidR="00FE57F6" w:rsidRPr="00B91826" w:rsidRDefault="00F24B71" w:rsidP="00686371">
            <w:pPr>
              <w:spacing w:before="140"/>
              <w:rPr>
                <w:b/>
                <w:bCs/>
                <w:sz w:val="26"/>
                <w:szCs w:val="26"/>
              </w:rPr>
            </w:pPr>
            <w:r w:rsidRPr="00B91826">
              <w:rPr>
                <w:b/>
                <w:bCs/>
                <w:sz w:val="26"/>
                <w:szCs w:val="26"/>
              </w:rPr>
              <w:t>Finalidad</w:t>
            </w:r>
          </w:p>
          <w:p w14:paraId="17BF43AB" w14:textId="3D55646D" w:rsidR="00B75B3A" w:rsidRPr="00B91826" w:rsidRDefault="00FF7883" w:rsidP="00D31327">
            <w:pPr>
              <w:spacing w:before="100"/>
              <w:jc w:val="both"/>
            </w:pPr>
            <w:r w:rsidRPr="00B91826">
              <w:t>En la presente contribución se subraya la importancia de garantizar que toda labor de revisión o racionalización de las resoluciones existentes se lleve a cabo con sumo cuidado. Se destaca la necesidad de mantener la integridad, pertinencia y flexibilidad de los textos actuales.</w:t>
            </w:r>
          </w:p>
          <w:p w14:paraId="29DCC61A" w14:textId="77777777" w:rsidR="00FE57F6" w:rsidRPr="00B91826" w:rsidRDefault="00F24B71" w:rsidP="00686371">
            <w:pPr>
              <w:spacing w:before="140"/>
              <w:rPr>
                <w:b/>
                <w:bCs/>
                <w:sz w:val="26"/>
                <w:szCs w:val="26"/>
              </w:rPr>
            </w:pPr>
            <w:r w:rsidRPr="00B91826">
              <w:rPr>
                <w:b/>
                <w:bCs/>
                <w:sz w:val="26"/>
                <w:szCs w:val="26"/>
              </w:rPr>
              <w:t xml:space="preserve">Acción solicitada </w:t>
            </w:r>
            <w:r w:rsidR="00677A97" w:rsidRPr="00B91826">
              <w:rPr>
                <w:b/>
                <w:bCs/>
                <w:sz w:val="26"/>
                <w:szCs w:val="26"/>
              </w:rPr>
              <w:t>al</w:t>
            </w:r>
            <w:r w:rsidRPr="00B91826">
              <w:rPr>
                <w:b/>
                <w:bCs/>
                <w:sz w:val="26"/>
                <w:szCs w:val="26"/>
              </w:rPr>
              <w:t xml:space="preserve"> Consejo</w:t>
            </w:r>
          </w:p>
          <w:p w14:paraId="15A8A56B" w14:textId="460FFC8F" w:rsidR="00F92BED" w:rsidRPr="00B91826" w:rsidRDefault="00B75B3A" w:rsidP="000E30BB">
            <w:pPr>
              <w:spacing w:before="160"/>
              <w:jc w:val="both"/>
              <w:rPr>
                <w:szCs w:val="24"/>
              </w:rPr>
            </w:pPr>
            <w:r w:rsidRPr="00B91826">
              <w:rPr>
                <w:szCs w:val="24"/>
              </w:rPr>
              <w:t xml:space="preserve">Se invita al Consejo a </w:t>
            </w:r>
            <w:r w:rsidR="00BA188E" w:rsidRPr="00B91826">
              <w:rPr>
                <w:b/>
                <w:bCs/>
                <w:szCs w:val="24"/>
              </w:rPr>
              <w:t>examinar</w:t>
            </w:r>
            <w:r w:rsidRPr="00B91826">
              <w:rPr>
                <w:szCs w:val="24"/>
              </w:rPr>
              <w:t xml:space="preserve"> l</w:t>
            </w:r>
            <w:r w:rsidR="00BA188E" w:rsidRPr="00B91826">
              <w:rPr>
                <w:szCs w:val="24"/>
              </w:rPr>
              <w:t>a</w:t>
            </w:r>
            <w:r w:rsidRPr="00B91826">
              <w:rPr>
                <w:szCs w:val="24"/>
              </w:rPr>
              <w:t xml:space="preserve"> presente </w:t>
            </w:r>
            <w:r w:rsidR="00BA188E" w:rsidRPr="00B91826">
              <w:rPr>
                <w:szCs w:val="24"/>
              </w:rPr>
              <w:t xml:space="preserve">contribución y </w:t>
            </w:r>
            <w:r w:rsidR="008A4CA3" w:rsidRPr="00B91826">
              <w:rPr>
                <w:b/>
                <w:bCs/>
                <w:szCs w:val="24"/>
              </w:rPr>
              <w:t>a tomar las medidas necesarias</w:t>
            </w:r>
            <w:r w:rsidR="008A4CA3" w:rsidRPr="00B91826">
              <w:rPr>
                <w:szCs w:val="24"/>
              </w:rPr>
              <w:t xml:space="preserve"> que estime oportunas</w:t>
            </w:r>
            <w:r w:rsidRPr="00B91826">
              <w:rPr>
                <w:szCs w:val="24"/>
              </w:rPr>
              <w:t>.</w:t>
            </w:r>
          </w:p>
          <w:p w14:paraId="6BE504C8" w14:textId="77777777" w:rsidR="00FE57F6" w:rsidRPr="00B91826" w:rsidRDefault="00FE57F6" w:rsidP="00C538FC">
            <w:pPr>
              <w:spacing w:before="160"/>
              <w:rPr>
                <w:caps/>
                <w:sz w:val="22"/>
              </w:rPr>
            </w:pPr>
            <w:r w:rsidRPr="00B91826">
              <w:rPr>
                <w:sz w:val="22"/>
              </w:rPr>
              <w:t>__________________</w:t>
            </w:r>
          </w:p>
          <w:p w14:paraId="4BF55076" w14:textId="3CA4A497" w:rsidR="00FE57F6" w:rsidRPr="00B91826" w:rsidRDefault="00F24B71" w:rsidP="00686371">
            <w:pPr>
              <w:spacing w:before="140"/>
              <w:rPr>
                <w:b/>
                <w:bCs/>
                <w:sz w:val="26"/>
                <w:szCs w:val="26"/>
              </w:rPr>
            </w:pPr>
            <w:r w:rsidRPr="00B91826">
              <w:rPr>
                <w:b/>
                <w:bCs/>
                <w:sz w:val="26"/>
                <w:szCs w:val="26"/>
              </w:rPr>
              <w:t>Referencia</w:t>
            </w:r>
            <w:r w:rsidR="00F92BED" w:rsidRPr="00B91826">
              <w:rPr>
                <w:b/>
                <w:bCs/>
                <w:sz w:val="26"/>
                <w:szCs w:val="26"/>
              </w:rPr>
              <w:t>s</w:t>
            </w:r>
          </w:p>
          <w:p w14:paraId="1D1C969C" w14:textId="07233CF3" w:rsidR="00FE57F6" w:rsidRPr="00B91826" w:rsidRDefault="00BA188E" w:rsidP="00B75B3A">
            <w:pPr>
              <w:keepNext/>
              <w:keepLines/>
              <w:spacing w:after="160"/>
              <w:rPr>
                <w:i/>
                <w:iCs/>
                <w:szCs w:val="24"/>
              </w:rPr>
            </w:pPr>
            <w:r w:rsidRPr="00B91826">
              <w:rPr>
                <w:rStyle w:val="normaltextrun"/>
                <w:rFonts w:asciiTheme="minorHAnsi" w:eastAsiaTheme="minorEastAsia" w:hAnsiTheme="minorHAnsi" w:cstheme="minorHAnsi"/>
                <w:i/>
                <w:iCs/>
                <w:color w:val="000000" w:themeColor="text1"/>
                <w:sz w:val="22"/>
                <w:szCs w:val="22"/>
              </w:rPr>
              <w:t xml:space="preserve">Documento </w:t>
            </w:r>
            <w:hyperlink r:id="rId6" w:history="1">
              <w:proofErr w:type="spellStart"/>
              <w:r w:rsidR="00AD5AE7" w:rsidRPr="00B91826">
                <w:rPr>
                  <w:rStyle w:val="Hyperlink"/>
                  <w:rFonts w:asciiTheme="minorHAnsi" w:hAnsiTheme="minorHAnsi" w:cstheme="minorHAnsi"/>
                  <w:i/>
                  <w:iCs/>
                  <w:sz w:val="22"/>
                  <w:szCs w:val="22"/>
                </w:rPr>
                <w:t>C25</w:t>
              </w:r>
              <w:proofErr w:type="spellEnd"/>
              <w:r w:rsidR="00AD5AE7" w:rsidRPr="00B91826">
                <w:rPr>
                  <w:rStyle w:val="Hyperlink"/>
                  <w:rFonts w:asciiTheme="minorHAnsi" w:hAnsiTheme="minorHAnsi" w:cstheme="minorHAnsi"/>
                  <w:i/>
                  <w:iCs/>
                  <w:sz w:val="22"/>
                  <w:szCs w:val="22"/>
                </w:rPr>
                <w:t>/29</w:t>
              </w:r>
            </w:hyperlink>
            <w:r w:rsidR="00D31327" w:rsidRPr="00B91826">
              <w:rPr>
                <w:rStyle w:val="normaltextrun"/>
                <w:rFonts w:asciiTheme="minorHAnsi" w:eastAsiaTheme="minorEastAsia" w:hAnsiTheme="minorHAnsi" w:cstheme="minorHAnsi"/>
                <w:i/>
                <w:iCs/>
                <w:color w:val="000000" w:themeColor="text1"/>
                <w:sz w:val="22"/>
                <w:szCs w:val="22"/>
              </w:rPr>
              <w:t xml:space="preserve"> del Consejo</w:t>
            </w:r>
          </w:p>
        </w:tc>
      </w:tr>
      <w:bookmarkEnd w:id="0"/>
    </w:tbl>
    <w:p w14:paraId="6470C925" w14:textId="77777777" w:rsidR="00BA188E" w:rsidRPr="00B91826" w:rsidRDefault="00BA188E" w:rsidP="000E30BB"/>
    <w:p w14:paraId="47B66FCA" w14:textId="77777777" w:rsidR="00BA188E" w:rsidRPr="00B91826" w:rsidRDefault="00BA188E">
      <w:pPr>
        <w:tabs>
          <w:tab w:val="clear" w:pos="567"/>
          <w:tab w:val="clear" w:pos="1134"/>
          <w:tab w:val="clear" w:pos="1701"/>
          <w:tab w:val="clear" w:pos="2268"/>
          <w:tab w:val="clear" w:pos="2835"/>
        </w:tabs>
        <w:overflowPunct/>
        <w:autoSpaceDE/>
        <w:autoSpaceDN/>
        <w:adjustRightInd/>
        <w:spacing w:before="0"/>
        <w:textAlignment w:val="auto"/>
        <w:rPr>
          <w:b/>
        </w:rPr>
      </w:pPr>
      <w:r w:rsidRPr="00B91826">
        <w:br w:type="page"/>
      </w:r>
    </w:p>
    <w:p w14:paraId="49878C59" w14:textId="3DAD4934" w:rsidR="005F557B" w:rsidRPr="00B91826" w:rsidRDefault="00AD5AE7" w:rsidP="005F557B">
      <w:pPr>
        <w:pStyle w:val="Headingb"/>
      </w:pPr>
      <w:r w:rsidRPr="00B91826">
        <w:lastRenderedPageBreak/>
        <w:t>Introducción</w:t>
      </w:r>
    </w:p>
    <w:p w14:paraId="42897109" w14:textId="71FA684F" w:rsidR="005A09F3" w:rsidRPr="00B91826" w:rsidRDefault="00B012BC" w:rsidP="005A09F3">
      <w:pPr>
        <w:jc w:val="both"/>
      </w:pPr>
      <w:r w:rsidRPr="00B91826">
        <w:rPr>
          <w:szCs w:val="24"/>
        </w:rPr>
        <w:t xml:space="preserve">Reconocemos con satisfacción </w:t>
      </w:r>
      <w:r w:rsidR="003C684E" w:rsidRPr="00B91826">
        <w:rPr>
          <w:szCs w:val="24"/>
        </w:rPr>
        <w:t>la iniciativa</w:t>
      </w:r>
      <w:r w:rsidRPr="00B91826">
        <w:rPr>
          <w:szCs w:val="24"/>
        </w:rPr>
        <w:t xml:space="preserve"> </w:t>
      </w:r>
      <w:r w:rsidR="003C684E" w:rsidRPr="00B91826">
        <w:rPr>
          <w:szCs w:val="24"/>
        </w:rPr>
        <w:t xml:space="preserve">contenida en </w:t>
      </w:r>
      <w:r w:rsidRPr="00B91826">
        <w:rPr>
          <w:szCs w:val="24"/>
        </w:rPr>
        <w:t xml:space="preserve">el Documento </w:t>
      </w:r>
      <w:hyperlink r:id="rId7" w:history="1">
        <w:r w:rsidR="00C6144B" w:rsidRPr="00B91826">
          <w:rPr>
            <w:rStyle w:val="Hyperlink"/>
            <w:rFonts w:asciiTheme="minorHAnsi" w:hAnsiTheme="minorHAnsi" w:cstheme="minorHAnsi"/>
          </w:rPr>
          <w:t>C25/29</w:t>
        </w:r>
      </w:hyperlink>
      <w:r w:rsidR="00C6144B" w:rsidRPr="00B91826">
        <w:t xml:space="preserve"> </w:t>
      </w:r>
      <w:r w:rsidRPr="00B91826">
        <w:rPr>
          <w:szCs w:val="24"/>
        </w:rPr>
        <w:t>destinad</w:t>
      </w:r>
      <w:r w:rsidR="003C684E" w:rsidRPr="00B91826">
        <w:rPr>
          <w:szCs w:val="24"/>
        </w:rPr>
        <w:t>a</w:t>
      </w:r>
      <w:r w:rsidRPr="00B91826">
        <w:rPr>
          <w:szCs w:val="24"/>
        </w:rPr>
        <w:t xml:space="preserve"> a ayudar a los Estados Miembros a preparar sus propuestas para la Conferencia de Plenipotenciarios. La </w:t>
      </w:r>
      <w:r w:rsidR="003C684E" w:rsidRPr="00B91826">
        <w:rPr>
          <w:szCs w:val="24"/>
        </w:rPr>
        <w:t xml:space="preserve">idea </w:t>
      </w:r>
      <w:r w:rsidRPr="00B91826">
        <w:rPr>
          <w:szCs w:val="24"/>
        </w:rPr>
        <w:t xml:space="preserve">de armonizar las Resoluciones y las Decisiones para mejorar la claridad y la eficacia es bienvenida. Sin embargo, creemos que este tipo de iniciativas deben abordarse con cautela para garantizar que se preserven el valor singular, el contexto y la </w:t>
      </w:r>
      <w:r w:rsidR="003C684E" w:rsidRPr="00B91826">
        <w:rPr>
          <w:szCs w:val="24"/>
        </w:rPr>
        <w:t>orientación</w:t>
      </w:r>
      <w:r w:rsidRPr="00B91826">
        <w:rPr>
          <w:szCs w:val="24"/>
        </w:rPr>
        <w:t xml:space="preserve"> estratégica que encierran los textos existentes. Las Resoluciones del PP en vigor son el resultado de un dilatado proceso, de un trabajo exhaustivo y del consenso entre los Estados Miembros. Estas Resoluciones son fruto de una labor de colaboración deliberada y no deben alterarse a la ligera.</w:t>
      </w:r>
    </w:p>
    <w:p w14:paraId="41DAFC1E" w14:textId="3DADACF6" w:rsidR="005F557B" w:rsidRPr="00B91826" w:rsidRDefault="00D63A25" w:rsidP="005F557B">
      <w:pPr>
        <w:pStyle w:val="Headingb"/>
      </w:pPr>
      <w:r w:rsidRPr="00B91826">
        <w:t>Consideraciones</w:t>
      </w:r>
    </w:p>
    <w:p w14:paraId="02049866" w14:textId="77777777" w:rsidR="00B57C6B" w:rsidRPr="00B91826" w:rsidRDefault="00B57C6B" w:rsidP="00B57C6B">
      <w:pPr>
        <w:jc w:val="both"/>
      </w:pPr>
      <w:r w:rsidRPr="00B91826">
        <w:t>Las Resoluciones y Decisiones adoptadas por la Conferencia de Plenipotenciarios son fruto de negociaciones minuciosas y de compromisos adquiridos por los Miembros desde hace mucho tiempo. Responden a diversas consideraciones políticas, a prioridades regionales y a la evolución de la dinámica mundial. En este contexto, el proceso de armonización no debe reducirse a un ejercicio técnico de simplificación o consolidación.</w:t>
      </w:r>
    </w:p>
    <w:p w14:paraId="18F17AB6" w14:textId="239968A7" w:rsidR="00C6144B" w:rsidRPr="00B91826" w:rsidRDefault="00B57C6B" w:rsidP="00B57C6B">
      <w:pPr>
        <w:jc w:val="both"/>
      </w:pPr>
      <w:r w:rsidRPr="00B91826">
        <w:t xml:space="preserve">Aunque la simplificación de las Resoluciones puede aportar algunos beneficios, las directrices propuestas en el Documento C25/29 </w:t>
      </w:r>
      <w:r w:rsidR="00E36415" w:rsidRPr="00B91826">
        <w:t xml:space="preserve">hacen necesario </w:t>
      </w:r>
      <w:r w:rsidRPr="00B91826">
        <w:t>tener en cuenta varias consideraciones</w:t>
      </w:r>
      <w:r w:rsidR="00D63A25" w:rsidRPr="00B91826">
        <w:t>:</w:t>
      </w:r>
    </w:p>
    <w:p w14:paraId="42139100" w14:textId="688AAC1C" w:rsidR="00D63A25" w:rsidRPr="00B91826" w:rsidRDefault="00D63A25" w:rsidP="00D63A25">
      <w:pPr>
        <w:pStyle w:val="enumlev1"/>
        <w:jc w:val="both"/>
      </w:pPr>
      <w:r w:rsidRPr="00B91826">
        <w:rPr>
          <w:rFonts w:ascii="Times New Roman" w:hAnsi="Times New Roman"/>
          <w:sz w:val="22"/>
          <w:szCs w:val="22"/>
        </w:rPr>
        <w:t>–</w:t>
      </w:r>
      <w:r w:rsidRPr="00B91826">
        <w:rPr>
          <w:rFonts w:ascii="Times New Roman" w:hAnsi="Times New Roman"/>
          <w:sz w:val="22"/>
          <w:szCs w:val="22"/>
        </w:rPr>
        <w:tab/>
      </w:r>
      <w:r w:rsidR="00E80202" w:rsidRPr="00B91826">
        <w:t>Simplificar o fusionar Resoluciones de manera que se eliminen textos con valor añadido quizás no sea la forma más adecuada de proceder. Es importante que la armonización tenga por objetivo reforzar la coordinación sin menoscabar las disposiciones que siguen cumpliendo una función relevante</w:t>
      </w:r>
      <w:r w:rsidRPr="00B91826">
        <w:t>.</w:t>
      </w:r>
    </w:p>
    <w:p w14:paraId="03AE802D" w14:textId="58052660" w:rsidR="00D63A25" w:rsidRPr="00B91826" w:rsidRDefault="00D63A25" w:rsidP="00D63A25">
      <w:pPr>
        <w:pStyle w:val="enumlev1"/>
        <w:jc w:val="both"/>
      </w:pPr>
      <w:r w:rsidRPr="00B91826">
        <w:rPr>
          <w:rFonts w:ascii="Times New Roman" w:hAnsi="Times New Roman"/>
        </w:rPr>
        <w:t>–</w:t>
      </w:r>
      <w:r w:rsidRPr="00B91826">
        <w:rPr>
          <w:rFonts w:ascii="Times New Roman" w:hAnsi="Times New Roman"/>
        </w:rPr>
        <w:tab/>
      </w:r>
      <w:r w:rsidR="00E80202" w:rsidRPr="00B91826">
        <w:t>Debería reconsiderarse la propuesta de suprimir las Resoluciones por falta de informes o acciones recientes. Algunas Resoluciones siguen teniendo valor estratégico aun cuando no se estén llevando a cabo actividades, por lo que deberían evaluarse caso por caso. En lugar de suprimir Resoluciones, habría más bien que intentar dilucidar por qué no se han aplicado y si es necesario emprender acciones de seguimiento específicas o actualizar los mecanismos de notificación</w:t>
      </w:r>
      <w:r w:rsidRPr="00B91826">
        <w:t>.</w:t>
      </w:r>
    </w:p>
    <w:p w14:paraId="5877E349" w14:textId="392287E7" w:rsidR="00D63A25" w:rsidRPr="00B91826" w:rsidRDefault="00E80202" w:rsidP="00D63A25">
      <w:pPr>
        <w:jc w:val="both"/>
      </w:pPr>
      <w:r w:rsidRPr="00B91826">
        <w:t>Como se indica en el Documento C25/29, se recomienda que el preámbulo de cada Resolución sea conciso, a ser posible que no exceda de una página A4. Sin embargo, es importante reconocer que el preámbulo constituye un componente esencial para</w:t>
      </w:r>
      <w:r w:rsidR="00D63A25" w:rsidRPr="00B91826">
        <w:t>:</w:t>
      </w:r>
    </w:p>
    <w:p w14:paraId="4F2809D4" w14:textId="428D6A58" w:rsidR="00E80202" w:rsidRPr="00B91826" w:rsidRDefault="00D63A25" w:rsidP="00E80202">
      <w:pPr>
        <w:pStyle w:val="enumlev1"/>
        <w:jc w:val="both"/>
      </w:pPr>
      <w:r w:rsidRPr="00B91826">
        <w:t>–</w:t>
      </w:r>
      <w:r w:rsidRPr="00B91826">
        <w:tab/>
      </w:r>
      <w:r w:rsidR="00E80202" w:rsidRPr="00B91826">
        <w:t>Contextualizar el asunto, presentando los antecedentes y la justificación.</w:t>
      </w:r>
    </w:p>
    <w:p w14:paraId="4E0DDCE3" w14:textId="0DB1D63D" w:rsidR="00E80202" w:rsidRPr="00B91826" w:rsidRDefault="00E80202" w:rsidP="00E80202">
      <w:pPr>
        <w:pStyle w:val="enumlev1"/>
        <w:jc w:val="both"/>
      </w:pPr>
      <w:r w:rsidRPr="00B91826">
        <w:t>–</w:t>
      </w:r>
      <w:r w:rsidRPr="00B91826">
        <w:tab/>
        <w:t>Justificar las acciones propuestas basándose en principios, valores o precedentes legales.</w:t>
      </w:r>
    </w:p>
    <w:p w14:paraId="04DFC643" w14:textId="2F9BDA16" w:rsidR="00E80202" w:rsidRPr="00B91826" w:rsidRDefault="00E80202" w:rsidP="00E80202">
      <w:pPr>
        <w:pStyle w:val="enumlev1"/>
        <w:jc w:val="both"/>
      </w:pPr>
      <w:r w:rsidRPr="00B91826">
        <w:t>–</w:t>
      </w:r>
      <w:r w:rsidRPr="00B91826">
        <w:tab/>
        <w:t>Forjar el consenso reconociendo los diversos puntos de vista y los objetivos compartidos.</w:t>
      </w:r>
    </w:p>
    <w:p w14:paraId="17C5AAFF" w14:textId="05E521EC" w:rsidR="00E80202" w:rsidRPr="00B91826" w:rsidRDefault="00E80202" w:rsidP="00E80202">
      <w:pPr>
        <w:pStyle w:val="enumlev1"/>
        <w:jc w:val="both"/>
      </w:pPr>
      <w:r w:rsidRPr="00B91826">
        <w:t>–</w:t>
      </w:r>
      <w:r w:rsidRPr="00B91826">
        <w:tab/>
        <w:t>Garantizar la coherencia jurídica mediante referencias a los tratados o Resoluciones pertinentes.</w:t>
      </w:r>
    </w:p>
    <w:p w14:paraId="6CE91591" w14:textId="090A48C6" w:rsidR="00D63A25" w:rsidRPr="00B91826" w:rsidRDefault="00E80202" w:rsidP="00E80202">
      <w:pPr>
        <w:pStyle w:val="enumlev1"/>
        <w:jc w:val="both"/>
        <w:rPr>
          <w:b/>
          <w:bCs/>
        </w:rPr>
      </w:pPr>
      <w:r w:rsidRPr="00B91826">
        <w:t>–</w:t>
      </w:r>
      <w:r w:rsidRPr="00B91826">
        <w:tab/>
        <w:t>Ayudar a su interpretación y aplicación aclarando el alcance y los objetivos.</w:t>
      </w:r>
    </w:p>
    <w:p w14:paraId="3A42E845" w14:textId="05679DF8" w:rsidR="00D63A25" w:rsidRPr="00B91826" w:rsidRDefault="00E80202" w:rsidP="00B91826">
      <w:pPr>
        <w:pStyle w:val="Headingb"/>
      </w:pPr>
      <w:r w:rsidRPr="00B91826">
        <w:lastRenderedPageBreak/>
        <w:t>Propuesta</w:t>
      </w:r>
    </w:p>
    <w:p w14:paraId="33D5613B" w14:textId="0E10AB5C" w:rsidR="00D63A25" w:rsidRPr="00B91826" w:rsidRDefault="003C684E" w:rsidP="00B91826">
      <w:pPr>
        <w:keepNext/>
        <w:keepLines/>
      </w:pPr>
      <w:r w:rsidRPr="00B91826">
        <w:t>Habida cuenta de lo anterior, se propone que</w:t>
      </w:r>
      <w:r w:rsidR="00D63A25" w:rsidRPr="00B91826">
        <w:t>:</w:t>
      </w:r>
    </w:p>
    <w:p w14:paraId="1BFFD6D3" w14:textId="2E808CFF" w:rsidR="00D63A25" w:rsidRPr="00B91826" w:rsidRDefault="00D63A25" w:rsidP="00B91826">
      <w:pPr>
        <w:pStyle w:val="enumlev1"/>
        <w:keepNext/>
        <w:keepLines/>
      </w:pPr>
      <w:r w:rsidRPr="00B91826">
        <w:t>–</w:t>
      </w:r>
      <w:r w:rsidRPr="00B91826">
        <w:tab/>
      </w:r>
      <w:r w:rsidR="003C684E" w:rsidRPr="00B91826">
        <w:t>El Consejo tome nota de las directrices propuestas</w:t>
      </w:r>
      <w:r w:rsidRPr="00B91826">
        <w:t>.</w:t>
      </w:r>
    </w:p>
    <w:p w14:paraId="2ADB81E9" w14:textId="14ADD480" w:rsidR="00D63A25" w:rsidRDefault="00D63A25" w:rsidP="00B91826">
      <w:pPr>
        <w:pStyle w:val="enumlev1"/>
        <w:keepNext/>
        <w:keepLines/>
        <w:jc w:val="both"/>
      </w:pPr>
      <w:r w:rsidRPr="00B91826">
        <w:t>–</w:t>
      </w:r>
      <w:r w:rsidRPr="00B91826">
        <w:tab/>
      </w:r>
      <w:r w:rsidR="003C684E" w:rsidRPr="00B91826">
        <w:t>Las directrices para armonizar las Resoluciones de las Conferencias, en caso de ser necesarias, deberían seguir siendo no vinculantes y servir como herramienta de referencia. Asimismo, estas directrices no deberían limitar la posibilidad de que los Estados Miembros propongan enmiendas, modificaciones o nuevas Resoluciones y Decisiones para las Conferencias de Plenipotenciarios</w:t>
      </w:r>
      <w:r w:rsidRPr="00B91826">
        <w:t>.</w:t>
      </w:r>
    </w:p>
    <w:p w14:paraId="1C7756A0" w14:textId="77777777" w:rsidR="00D31327" w:rsidRPr="00B91826" w:rsidRDefault="00D31327" w:rsidP="00D31327"/>
    <w:p w14:paraId="38D27CC7" w14:textId="3F996FED" w:rsidR="00F92BED" w:rsidRPr="00B91826" w:rsidRDefault="00F92BED" w:rsidP="00F92BED">
      <w:pPr>
        <w:jc w:val="center"/>
      </w:pPr>
      <w:r w:rsidRPr="00B91826">
        <w:t>______________</w:t>
      </w:r>
    </w:p>
    <w:sectPr w:rsidR="00F92BED" w:rsidRPr="00B91826"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0EC99" w14:textId="77777777" w:rsidR="006F157E" w:rsidRDefault="006F157E">
      <w:r>
        <w:separator/>
      </w:r>
    </w:p>
  </w:endnote>
  <w:endnote w:type="continuationSeparator" w:id="0">
    <w:p w14:paraId="174896EE" w14:textId="77777777" w:rsidR="006F157E" w:rsidRDefault="006F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31327" w:rsidRPr="00784011" w14:paraId="13581404" w14:textId="77777777" w:rsidTr="00103DB5">
      <w:trPr>
        <w:jc w:val="center"/>
      </w:trPr>
      <w:tc>
        <w:tcPr>
          <w:tcW w:w="1803" w:type="dxa"/>
          <w:vAlign w:val="center"/>
        </w:tcPr>
        <w:p w14:paraId="7DA34CAA" w14:textId="0BD9C4E5" w:rsidR="00D31327" w:rsidRPr="002946E2" w:rsidRDefault="00D31327" w:rsidP="00D31327">
          <w:pPr>
            <w:pStyle w:val="Header"/>
            <w:jc w:val="left"/>
            <w:rPr>
              <w:noProof/>
            </w:rPr>
          </w:pPr>
        </w:p>
      </w:tc>
      <w:tc>
        <w:tcPr>
          <w:tcW w:w="8261" w:type="dxa"/>
        </w:tcPr>
        <w:p w14:paraId="7CC10134" w14:textId="77777777" w:rsidR="00D31327" w:rsidRPr="00E06FD5" w:rsidRDefault="00D31327" w:rsidP="00D3132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25</w:t>
          </w:r>
          <w:proofErr w:type="spellEnd"/>
          <w:r w:rsidRPr="00623AE3">
            <w:rPr>
              <w:bCs/>
            </w:rPr>
            <w:t>/</w:t>
          </w:r>
          <w:r>
            <w:rPr>
              <w:bCs/>
            </w:rPr>
            <w:t>91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F45F663" w14:textId="77777777" w:rsidR="00D31327" w:rsidRDefault="00D31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B8A6BB2" w14:textId="77777777" w:rsidTr="00E31DCE">
      <w:trPr>
        <w:jc w:val="center"/>
      </w:trPr>
      <w:tc>
        <w:tcPr>
          <w:tcW w:w="1803" w:type="dxa"/>
          <w:vAlign w:val="center"/>
        </w:tcPr>
        <w:p w14:paraId="035211C4"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7E805002" w14:textId="29624353"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5069A6">
            <w:rPr>
              <w:bCs/>
            </w:rPr>
            <w:t>9</w:t>
          </w:r>
          <w:r w:rsidR="00FF7883">
            <w:rPr>
              <w:bCs/>
            </w:rPr>
            <w:t>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85245BC"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0D8CC" w14:textId="77777777" w:rsidR="006F157E" w:rsidRDefault="006F157E">
      <w:r>
        <w:t>____________________</w:t>
      </w:r>
    </w:p>
  </w:footnote>
  <w:footnote w:type="continuationSeparator" w:id="0">
    <w:p w14:paraId="504259CE" w14:textId="77777777" w:rsidR="006F157E" w:rsidRDefault="006F1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750C6A9B" w14:textId="77777777" w:rsidTr="00666D09">
      <w:trPr>
        <w:trHeight w:val="1104"/>
        <w:jc w:val="center"/>
      </w:trPr>
      <w:tc>
        <w:tcPr>
          <w:tcW w:w="5998" w:type="dxa"/>
          <w:vAlign w:val="center"/>
        </w:tcPr>
        <w:p w14:paraId="098582B7"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E042939" wp14:editId="40AE3F82">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61F45276" w14:textId="77777777" w:rsidR="00666D09" w:rsidRDefault="00666D09" w:rsidP="001559F5">
          <w:pPr>
            <w:pStyle w:val="Header"/>
            <w:jc w:val="right"/>
            <w:rPr>
              <w:rFonts w:ascii="Arial" w:hAnsi="Arial" w:cs="Arial"/>
              <w:b/>
              <w:bCs/>
              <w:color w:val="009CD6"/>
              <w:szCs w:val="18"/>
            </w:rPr>
          </w:pPr>
        </w:p>
      </w:tc>
    </w:tr>
  </w:tbl>
  <w:p w14:paraId="7862B22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7C722DC" wp14:editId="2D913A73">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7AFF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3A"/>
    <w:rsid w:val="000007D1"/>
    <w:rsid w:val="0006007D"/>
    <w:rsid w:val="00093EEB"/>
    <w:rsid w:val="000B0D00"/>
    <w:rsid w:val="000B7C15"/>
    <w:rsid w:val="000C3417"/>
    <w:rsid w:val="000D1D0F"/>
    <w:rsid w:val="000E30BB"/>
    <w:rsid w:val="000E3F07"/>
    <w:rsid w:val="000F5290"/>
    <w:rsid w:val="0010165C"/>
    <w:rsid w:val="0014063C"/>
    <w:rsid w:val="00146BFB"/>
    <w:rsid w:val="001559F5"/>
    <w:rsid w:val="00157AC4"/>
    <w:rsid w:val="0016169C"/>
    <w:rsid w:val="00194B2B"/>
    <w:rsid w:val="001B6E2B"/>
    <w:rsid w:val="001E7EE8"/>
    <w:rsid w:val="001F14A2"/>
    <w:rsid w:val="001F68F7"/>
    <w:rsid w:val="002801AA"/>
    <w:rsid w:val="002946E2"/>
    <w:rsid w:val="002B2244"/>
    <w:rsid w:val="002C3F32"/>
    <w:rsid w:val="002C4676"/>
    <w:rsid w:val="002C70B0"/>
    <w:rsid w:val="002E43F3"/>
    <w:rsid w:val="002E780E"/>
    <w:rsid w:val="002F3CC4"/>
    <w:rsid w:val="003032E2"/>
    <w:rsid w:val="0031300A"/>
    <w:rsid w:val="003273A4"/>
    <w:rsid w:val="0034796E"/>
    <w:rsid w:val="003C684E"/>
    <w:rsid w:val="003F1015"/>
    <w:rsid w:val="003F41C2"/>
    <w:rsid w:val="00473962"/>
    <w:rsid w:val="004B5D49"/>
    <w:rsid w:val="004D3A3C"/>
    <w:rsid w:val="005069A6"/>
    <w:rsid w:val="00513630"/>
    <w:rsid w:val="005137C1"/>
    <w:rsid w:val="00560125"/>
    <w:rsid w:val="00585553"/>
    <w:rsid w:val="005A09F3"/>
    <w:rsid w:val="005B34D9"/>
    <w:rsid w:val="005C0EF4"/>
    <w:rsid w:val="005D0CCF"/>
    <w:rsid w:val="005F3BCB"/>
    <w:rsid w:val="005F410F"/>
    <w:rsid w:val="005F557B"/>
    <w:rsid w:val="0060149A"/>
    <w:rsid w:val="00601924"/>
    <w:rsid w:val="00643325"/>
    <w:rsid w:val="006447EA"/>
    <w:rsid w:val="0064481D"/>
    <w:rsid w:val="0064731F"/>
    <w:rsid w:val="00664572"/>
    <w:rsid w:val="00666D09"/>
    <w:rsid w:val="006710F6"/>
    <w:rsid w:val="00677A97"/>
    <w:rsid w:val="00686371"/>
    <w:rsid w:val="006C1B56"/>
    <w:rsid w:val="006D4761"/>
    <w:rsid w:val="006E3585"/>
    <w:rsid w:val="006F157E"/>
    <w:rsid w:val="0070348B"/>
    <w:rsid w:val="00726872"/>
    <w:rsid w:val="00760F1C"/>
    <w:rsid w:val="007657F0"/>
    <w:rsid w:val="0077110E"/>
    <w:rsid w:val="0077252D"/>
    <w:rsid w:val="007955DA"/>
    <w:rsid w:val="007E5DD3"/>
    <w:rsid w:val="007F350B"/>
    <w:rsid w:val="00820BE4"/>
    <w:rsid w:val="008451E8"/>
    <w:rsid w:val="008871B3"/>
    <w:rsid w:val="008A4CA3"/>
    <w:rsid w:val="008B23C6"/>
    <w:rsid w:val="008F6ABC"/>
    <w:rsid w:val="00913B9C"/>
    <w:rsid w:val="009163FD"/>
    <w:rsid w:val="00927F93"/>
    <w:rsid w:val="00956E77"/>
    <w:rsid w:val="0096433F"/>
    <w:rsid w:val="009A338E"/>
    <w:rsid w:val="009C3183"/>
    <w:rsid w:val="009F4811"/>
    <w:rsid w:val="00A50612"/>
    <w:rsid w:val="00A94438"/>
    <w:rsid w:val="00AA307A"/>
    <w:rsid w:val="00AA390C"/>
    <w:rsid w:val="00AD5AE7"/>
    <w:rsid w:val="00B012BC"/>
    <w:rsid w:val="00B0200A"/>
    <w:rsid w:val="00B060DF"/>
    <w:rsid w:val="00B574DB"/>
    <w:rsid w:val="00B57C6B"/>
    <w:rsid w:val="00B75B3A"/>
    <w:rsid w:val="00B826C2"/>
    <w:rsid w:val="00B8298E"/>
    <w:rsid w:val="00B870A0"/>
    <w:rsid w:val="00B91826"/>
    <w:rsid w:val="00BA188E"/>
    <w:rsid w:val="00BB3FE0"/>
    <w:rsid w:val="00BB6FD8"/>
    <w:rsid w:val="00BD0723"/>
    <w:rsid w:val="00BD2518"/>
    <w:rsid w:val="00BF1D1C"/>
    <w:rsid w:val="00C20C59"/>
    <w:rsid w:val="00C2727F"/>
    <w:rsid w:val="00C538FC"/>
    <w:rsid w:val="00C55B1F"/>
    <w:rsid w:val="00C6144B"/>
    <w:rsid w:val="00CF1A67"/>
    <w:rsid w:val="00D2750E"/>
    <w:rsid w:val="00D31327"/>
    <w:rsid w:val="00D33152"/>
    <w:rsid w:val="00D375E0"/>
    <w:rsid w:val="00D50A36"/>
    <w:rsid w:val="00D62446"/>
    <w:rsid w:val="00D63A25"/>
    <w:rsid w:val="00D64862"/>
    <w:rsid w:val="00D8471B"/>
    <w:rsid w:val="00D86862"/>
    <w:rsid w:val="00DA4EA2"/>
    <w:rsid w:val="00DC3D3E"/>
    <w:rsid w:val="00DE2C90"/>
    <w:rsid w:val="00DE3B24"/>
    <w:rsid w:val="00E06947"/>
    <w:rsid w:val="00E11319"/>
    <w:rsid w:val="00E21444"/>
    <w:rsid w:val="00E34072"/>
    <w:rsid w:val="00E3592D"/>
    <w:rsid w:val="00E36415"/>
    <w:rsid w:val="00E50D76"/>
    <w:rsid w:val="00E655BC"/>
    <w:rsid w:val="00E8018B"/>
    <w:rsid w:val="00E80202"/>
    <w:rsid w:val="00E92DE8"/>
    <w:rsid w:val="00EB1212"/>
    <w:rsid w:val="00ED65AB"/>
    <w:rsid w:val="00F01703"/>
    <w:rsid w:val="00F12850"/>
    <w:rsid w:val="00F24B71"/>
    <w:rsid w:val="00F33BF4"/>
    <w:rsid w:val="00F7105E"/>
    <w:rsid w:val="00F75F57"/>
    <w:rsid w:val="00F82FEE"/>
    <w:rsid w:val="00F92BED"/>
    <w:rsid w:val="00FD57D3"/>
    <w:rsid w:val="00FE57F6"/>
    <w:rsid w:val="00FF11BD"/>
    <w:rsid w:val="00FF78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7D26C"/>
  <w15:docId w15:val="{4CA06D01-03FE-46E2-832A-1C89DD38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D31327"/>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unhideWhenUsed/>
    <w:rsid w:val="005F557B"/>
    <w:rPr>
      <w:sz w:val="20"/>
      <w:lang w:val="en-GB"/>
    </w:rPr>
  </w:style>
  <w:style w:type="character" w:customStyle="1" w:styleId="CommentTextChar">
    <w:name w:val="Comment Text Char"/>
    <w:basedOn w:val="DefaultParagraphFont"/>
    <w:link w:val="CommentText"/>
    <w:rsid w:val="005F557B"/>
    <w:rPr>
      <w:rFonts w:ascii="Calibri" w:hAnsi="Calibri"/>
      <w:lang w:val="en-GB" w:eastAsia="en-US"/>
    </w:rPr>
  </w:style>
  <w:style w:type="character" w:customStyle="1" w:styleId="normaltextrun">
    <w:name w:val="normaltextrun"/>
    <w:basedOn w:val="DefaultParagraphFont"/>
    <w:uiPriority w:val="1"/>
    <w:rsid w:val="00BA188E"/>
    <w:rPr>
      <w:rFonts w:ascii="CG Times" w:eastAsia="Times New Roman" w:hAnsi="CG 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S25-CL-C-0029/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5-CL-C-0029/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3</Pages>
  <Words>604</Words>
  <Characters>3706</Characters>
  <Application>Microsoft Office Word</Application>
  <DocSecurity>0</DocSecurity>
  <Lines>78</Lines>
  <Paragraphs>37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4273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a las directrices para la armonización de las resoluciones y decisiones de las conferencias de plenipotenciarios</dc:title>
  <dc:subject>Consejo 2025 de la UIT</dc:subject>
  <cp:keywords>C2025, C25, Council-25</cp:keywords>
  <dc:description/>
  <cp:lastPrinted>2006-03-24T09:51:00Z</cp:lastPrinted>
  <dcterms:created xsi:type="dcterms:W3CDTF">2025-06-12T15:16:00Z</dcterms:created>
  <dcterms:modified xsi:type="dcterms:W3CDTF">2025-06-12T15:16:00Z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