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484E07" w14:paraId="3E1C2769" w14:textId="77777777" w:rsidTr="00AD3606">
        <w:trPr>
          <w:cantSplit/>
          <w:trHeight w:val="23"/>
        </w:trPr>
        <w:tc>
          <w:tcPr>
            <w:tcW w:w="3969" w:type="dxa"/>
            <w:vMerge w:val="restart"/>
            <w:tcMar>
              <w:left w:w="0" w:type="dxa"/>
            </w:tcMar>
          </w:tcPr>
          <w:p w14:paraId="7147B863" w14:textId="546E7AF7" w:rsidR="00AD3606" w:rsidRPr="00484E07" w:rsidRDefault="00AD3606" w:rsidP="00472BAD">
            <w:pPr>
              <w:tabs>
                <w:tab w:val="left" w:pos="851"/>
              </w:tabs>
              <w:spacing w:before="0" w:line="240" w:lineRule="atLeast"/>
              <w:rPr>
                <w:rFonts w:asciiTheme="minorHAnsi" w:hAnsiTheme="minorHAnsi" w:cstheme="minorHAnsi"/>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484E07">
              <w:rPr>
                <w:rFonts w:asciiTheme="minorHAnsi" w:hAnsiTheme="minorHAnsi" w:cstheme="minorHAnsi"/>
                <w:b/>
              </w:rPr>
              <w:t xml:space="preserve">Agenda item: </w:t>
            </w:r>
            <w:r w:rsidR="00CB559F">
              <w:rPr>
                <w:rFonts w:asciiTheme="minorHAnsi" w:hAnsiTheme="minorHAnsi" w:cstheme="minorHAnsi"/>
                <w:b/>
              </w:rPr>
              <w:t>PL.3</w:t>
            </w:r>
          </w:p>
        </w:tc>
        <w:tc>
          <w:tcPr>
            <w:tcW w:w="5245" w:type="dxa"/>
          </w:tcPr>
          <w:p w14:paraId="6779937E" w14:textId="6FAEB797" w:rsidR="00AD3606" w:rsidRPr="00484E07" w:rsidRDefault="00AD3606" w:rsidP="00472BAD">
            <w:pPr>
              <w:tabs>
                <w:tab w:val="left" w:pos="851"/>
              </w:tabs>
              <w:spacing w:before="0" w:line="240" w:lineRule="atLeast"/>
              <w:jc w:val="right"/>
              <w:rPr>
                <w:rFonts w:asciiTheme="minorHAnsi" w:hAnsiTheme="minorHAnsi" w:cstheme="minorHAnsi"/>
                <w:b/>
              </w:rPr>
            </w:pPr>
            <w:r w:rsidRPr="00484E07">
              <w:rPr>
                <w:rFonts w:asciiTheme="minorHAnsi" w:hAnsiTheme="minorHAnsi" w:cstheme="minorHAnsi"/>
                <w:b/>
              </w:rPr>
              <w:t>Document C2</w:t>
            </w:r>
            <w:r w:rsidR="00BF1FDE" w:rsidRPr="00484E07">
              <w:rPr>
                <w:rFonts w:asciiTheme="minorHAnsi" w:hAnsiTheme="minorHAnsi" w:cstheme="minorHAnsi"/>
                <w:b/>
              </w:rPr>
              <w:t>5</w:t>
            </w:r>
            <w:r w:rsidRPr="00484E07">
              <w:rPr>
                <w:rFonts w:asciiTheme="minorHAnsi" w:hAnsiTheme="minorHAnsi" w:cstheme="minorHAnsi"/>
                <w:b/>
              </w:rPr>
              <w:t>/</w:t>
            </w:r>
            <w:r w:rsidR="00F91694">
              <w:rPr>
                <w:rFonts w:asciiTheme="minorHAnsi" w:hAnsiTheme="minorHAnsi" w:cstheme="minorHAnsi"/>
                <w:b/>
              </w:rPr>
              <w:t>91</w:t>
            </w:r>
            <w:r w:rsidRPr="00484E07">
              <w:rPr>
                <w:rFonts w:asciiTheme="minorHAnsi" w:hAnsiTheme="minorHAnsi" w:cstheme="minorHAnsi"/>
                <w:b/>
              </w:rPr>
              <w:t>-E</w:t>
            </w:r>
          </w:p>
        </w:tc>
      </w:tr>
      <w:tr w:rsidR="00AD3606" w:rsidRPr="00484E07" w14:paraId="3E3F9DA5" w14:textId="77777777" w:rsidTr="00AD3606">
        <w:trPr>
          <w:cantSplit/>
        </w:trPr>
        <w:tc>
          <w:tcPr>
            <w:tcW w:w="3969" w:type="dxa"/>
            <w:vMerge/>
          </w:tcPr>
          <w:p w14:paraId="5920AA6E" w14:textId="77777777" w:rsidR="00AD3606" w:rsidRPr="00484E07" w:rsidRDefault="00AD3606" w:rsidP="00AD3606">
            <w:pPr>
              <w:tabs>
                <w:tab w:val="left" w:pos="851"/>
              </w:tabs>
              <w:spacing w:line="240" w:lineRule="atLeast"/>
              <w:rPr>
                <w:rFonts w:asciiTheme="minorHAnsi" w:hAnsiTheme="minorHAnsi" w:cstheme="minorHAnsi"/>
                <w:b/>
              </w:rPr>
            </w:pPr>
            <w:bookmarkStart w:id="6" w:name="ddate" w:colFirst="1" w:colLast="1"/>
            <w:bookmarkEnd w:id="0"/>
            <w:bookmarkEnd w:id="1"/>
          </w:p>
        </w:tc>
        <w:tc>
          <w:tcPr>
            <w:tcW w:w="5245" w:type="dxa"/>
          </w:tcPr>
          <w:p w14:paraId="55371C25" w14:textId="0A7E4759" w:rsidR="00AD3606" w:rsidRPr="00484E07" w:rsidRDefault="00771815" w:rsidP="00AD3606">
            <w:pPr>
              <w:tabs>
                <w:tab w:val="left" w:pos="851"/>
              </w:tabs>
              <w:spacing w:before="0"/>
              <w:jc w:val="right"/>
              <w:rPr>
                <w:rFonts w:asciiTheme="minorHAnsi" w:hAnsiTheme="minorHAnsi" w:cstheme="minorHAnsi"/>
                <w:b/>
              </w:rPr>
            </w:pPr>
            <w:r>
              <w:rPr>
                <w:rFonts w:asciiTheme="minorHAnsi" w:hAnsiTheme="minorHAnsi" w:cstheme="minorHAnsi"/>
                <w:b/>
              </w:rPr>
              <w:t>3 June 2025</w:t>
            </w:r>
          </w:p>
        </w:tc>
      </w:tr>
      <w:tr w:rsidR="00AD3606" w:rsidRPr="00484E07" w14:paraId="75730376" w14:textId="77777777" w:rsidTr="00AD3606">
        <w:trPr>
          <w:cantSplit/>
          <w:trHeight w:val="23"/>
        </w:trPr>
        <w:tc>
          <w:tcPr>
            <w:tcW w:w="3969" w:type="dxa"/>
            <w:vMerge/>
          </w:tcPr>
          <w:p w14:paraId="298F937E" w14:textId="77777777" w:rsidR="00AD3606" w:rsidRPr="00484E07" w:rsidRDefault="00AD3606" w:rsidP="00AD3606">
            <w:pPr>
              <w:tabs>
                <w:tab w:val="left" w:pos="851"/>
              </w:tabs>
              <w:spacing w:line="240" w:lineRule="atLeast"/>
              <w:rPr>
                <w:rFonts w:asciiTheme="minorHAnsi" w:hAnsiTheme="minorHAnsi" w:cstheme="minorHAnsi"/>
                <w:b/>
              </w:rPr>
            </w:pPr>
            <w:bookmarkStart w:id="7" w:name="dorlang" w:colFirst="1" w:colLast="1"/>
            <w:bookmarkEnd w:id="6"/>
          </w:p>
        </w:tc>
        <w:tc>
          <w:tcPr>
            <w:tcW w:w="5245" w:type="dxa"/>
          </w:tcPr>
          <w:p w14:paraId="041A065E" w14:textId="77777777" w:rsidR="00AD3606" w:rsidRPr="00484E07" w:rsidRDefault="00AD3606" w:rsidP="00AD3606">
            <w:pPr>
              <w:tabs>
                <w:tab w:val="left" w:pos="851"/>
              </w:tabs>
              <w:spacing w:before="0" w:line="240" w:lineRule="atLeast"/>
              <w:jc w:val="right"/>
              <w:rPr>
                <w:rFonts w:asciiTheme="minorHAnsi" w:hAnsiTheme="minorHAnsi" w:cstheme="minorHAnsi"/>
                <w:b/>
              </w:rPr>
            </w:pPr>
            <w:r w:rsidRPr="00484E07">
              <w:rPr>
                <w:rFonts w:asciiTheme="minorHAnsi" w:hAnsiTheme="minorHAnsi" w:cstheme="minorHAnsi"/>
                <w:b/>
              </w:rPr>
              <w:t>Original: English</w:t>
            </w:r>
          </w:p>
        </w:tc>
      </w:tr>
      <w:tr w:rsidR="00472BAD" w:rsidRPr="00484E07" w14:paraId="14DA91C4" w14:textId="77777777" w:rsidTr="00AD3606">
        <w:trPr>
          <w:cantSplit/>
          <w:trHeight w:val="23"/>
        </w:trPr>
        <w:tc>
          <w:tcPr>
            <w:tcW w:w="3969" w:type="dxa"/>
          </w:tcPr>
          <w:p w14:paraId="5858B25D" w14:textId="77777777" w:rsidR="00472BAD" w:rsidRPr="00484E07" w:rsidRDefault="00472BAD" w:rsidP="00AD3606">
            <w:pPr>
              <w:tabs>
                <w:tab w:val="left" w:pos="851"/>
              </w:tabs>
              <w:spacing w:line="240" w:lineRule="atLeast"/>
              <w:rPr>
                <w:rFonts w:asciiTheme="minorHAnsi" w:hAnsiTheme="minorHAnsi" w:cstheme="minorHAnsi"/>
                <w:b/>
              </w:rPr>
            </w:pPr>
          </w:p>
        </w:tc>
        <w:tc>
          <w:tcPr>
            <w:tcW w:w="5245" w:type="dxa"/>
          </w:tcPr>
          <w:p w14:paraId="5DBF7439" w14:textId="77777777" w:rsidR="00472BAD" w:rsidRPr="00484E07" w:rsidRDefault="00472BAD" w:rsidP="00AD3606">
            <w:pPr>
              <w:tabs>
                <w:tab w:val="left" w:pos="851"/>
              </w:tabs>
              <w:spacing w:before="0" w:line="240" w:lineRule="atLeast"/>
              <w:jc w:val="right"/>
              <w:rPr>
                <w:rFonts w:asciiTheme="minorHAnsi" w:hAnsiTheme="minorHAnsi" w:cstheme="minorHAnsi"/>
                <w:b/>
              </w:rPr>
            </w:pPr>
          </w:p>
        </w:tc>
      </w:tr>
      <w:tr w:rsidR="00AD3606" w:rsidRPr="00484E07" w14:paraId="2481FF59" w14:textId="77777777" w:rsidTr="00AD3606">
        <w:trPr>
          <w:cantSplit/>
        </w:trPr>
        <w:tc>
          <w:tcPr>
            <w:tcW w:w="9214" w:type="dxa"/>
            <w:gridSpan w:val="2"/>
            <w:tcMar>
              <w:left w:w="0" w:type="dxa"/>
            </w:tcMar>
          </w:tcPr>
          <w:p w14:paraId="2016C4A0" w14:textId="04BCE9B0" w:rsidR="00AD3606" w:rsidRPr="00484E07" w:rsidRDefault="00183F0F" w:rsidP="0046791F">
            <w:pPr>
              <w:pStyle w:val="Source"/>
              <w:framePr w:hSpace="0" w:wrap="auto" w:vAnchor="margin" w:hAnchor="text" w:xAlign="left" w:yAlign="inline"/>
              <w:rPr>
                <w:rFonts w:asciiTheme="minorHAnsi" w:hAnsiTheme="minorHAnsi" w:cstheme="minorHAnsi"/>
              </w:rPr>
            </w:pPr>
            <w:bookmarkStart w:id="8" w:name="dsource" w:colFirst="0" w:colLast="0"/>
            <w:bookmarkEnd w:id="7"/>
            <w:r w:rsidRPr="00295C05">
              <w:t xml:space="preserve">Contribution by </w:t>
            </w:r>
            <w:r>
              <w:t>Saudi Arabia (Kingdom of), Kuwait (State of), Morocco (Kingdom of), Qatar (State of), South Africa (Republic of),</w:t>
            </w:r>
            <w:r w:rsidR="0061031A">
              <w:t xml:space="preserve"> and</w:t>
            </w:r>
            <w:r>
              <w:t xml:space="preserve"> Tunisia</w:t>
            </w:r>
          </w:p>
        </w:tc>
      </w:tr>
      <w:tr w:rsidR="00AD3606" w:rsidRPr="00484E07" w14:paraId="3A759762" w14:textId="77777777" w:rsidTr="00AD3606">
        <w:trPr>
          <w:cantSplit/>
        </w:trPr>
        <w:tc>
          <w:tcPr>
            <w:tcW w:w="9214" w:type="dxa"/>
            <w:gridSpan w:val="2"/>
            <w:tcMar>
              <w:left w:w="0" w:type="dxa"/>
            </w:tcMar>
          </w:tcPr>
          <w:p w14:paraId="2A2DCF47" w14:textId="6F2EB988" w:rsidR="00AD3606" w:rsidRPr="00484E07" w:rsidRDefault="00CB559F" w:rsidP="00620371">
            <w:pPr>
              <w:pStyle w:val="Subtitle"/>
              <w:framePr w:hSpace="0" w:wrap="auto" w:xAlign="left" w:yAlign="inline"/>
              <w:rPr>
                <w:rFonts w:asciiTheme="minorHAnsi" w:hAnsiTheme="minorHAnsi" w:cstheme="minorHAnsi"/>
                <w:lang w:val="en-US"/>
              </w:rPr>
            </w:pPr>
            <w:bookmarkStart w:id="9" w:name="dtitle1" w:colFirst="0" w:colLast="0"/>
            <w:bookmarkEnd w:id="8"/>
            <w:r>
              <w:rPr>
                <w:rFonts w:asciiTheme="minorHAnsi" w:hAnsiTheme="minorHAnsi" w:cstheme="minorHAnsi"/>
                <w:lang w:val="en-US"/>
              </w:rPr>
              <w:t xml:space="preserve">INPUT ON THE </w:t>
            </w:r>
            <w:r w:rsidRPr="00484E07">
              <w:rPr>
                <w:rFonts w:asciiTheme="minorHAnsi" w:hAnsiTheme="minorHAnsi" w:cstheme="minorHAnsi"/>
                <w:lang w:val="en-US"/>
              </w:rPr>
              <w:t>GUIDELINES FOR HARMONIZING PLENIPOTENTIARY CONFERENCE</w:t>
            </w:r>
            <w:r>
              <w:rPr>
                <w:rFonts w:asciiTheme="minorHAnsi" w:hAnsiTheme="minorHAnsi" w:cstheme="minorHAnsi"/>
                <w:lang w:val="en-US"/>
              </w:rPr>
              <w:t xml:space="preserve"> </w:t>
            </w:r>
            <w:r w:rsidRPr="00484E07">
              <w:rPr>
                <w:rFonts w:asciiTheme="minorHAnsi" w:hAnsiTheme="minorHAnsi" w:cstheme="minorHAnsi"/>
                <w:lang w:val="en-US"/>
              </w:rPr>
              <w:t>RESOLUTIONS AND DECISIONS</w:t>
            </w:r>
          </w:p>
        </w:tc>
      </w:tr>
      <w:tr w:rsidR="00AD3606" w:rsidRPr="00484E07" w14:paraId="72B25568" w14:textId="77777777" w:rsidTr="00AD3606">
        <w:trPr>
          <w:cantSplit/>
        </w:trPr>
        <w:tc>
          <w:tcPr>
            <w:tcW w:w="9214" w:type="dxa"/>
            <w:gridSpan w:val="2"/>
            <w:tcBorders>
              <w:top w:val="single" w:sz="4" w:space="0" w:color="auto"/>
              <w:bottom w:val="single" w:sz="4" w:space="0" w:color="auto"/>
            </w:tcBorders>
            <w:tcMar>
              <w:left w:w="0" w:type="dxa"/>
            </w:tcMar>
          </w:tcPr>
          <w:p w14:paraId="4C3D541B" w14:textId="602F71CA" w:rsidR="00AD3606" w:rsidRPr="00484E07" w:rsidRDefault="00F16BAB" w:rsidP="00F16BAB">
            <w:pPr>
              <w:spacing w:before="160"/>
              <w:rPr>
                <w:rFonts w:asciiTheme="minorHAnsi" w:hAnsiTheme="minorHAnsi" w:cstheme="minorHAnsi"/>
                <w:b/>
                <w:bCs/>
                <w:sz w:val="26"/>
                <w:szCs w:val="26"/>
              </w:rPr>
            </w:pPr>
            <w:r w:rsidRPr="00484E07">
              <w:rPr>
                <w:rFonts w:asciiTheme="minorHAnsi" w:hAnsiTheme="minorHAnsi" w:cstheme="minorHAnsi"/>
                <w:b/>
                <w:bCs/>
                <w:sz w:val="26"/>
                <w:szCs w:val="26"/>
              </w:rPr>
              <w:t>Purpose</w:t>
            </w:r>
          </w:p>
          <w:p w14:paraId="2BACEFF5" w14:textId="4353D249" w:rsidR="009B7ED4" w:rsidRPr="00484E07" w:rsidRDefault="009B7ED4" w:rsidP="00C9328B">
            <w:pPr>
              <w:spacing w:before="160"/>
              <w:jc w:val="both"/>
              <w:rPr>
                <w:rFonts w:asciiTheme="minorHAnsi" w:hAnsiTheme="minorHAnsi" w:cstheme="minorHAnsi"/>
                <w:lang w:val="en-US"/>
              </w:rPr>
            </w:pPr>
            <w:r w:rsidRPr="00484E07">
              <w:rPr>
                <w:rFonts w:asciiTheme="minorHAnsi" w:hAnsiTheme="minorHAnsi" w:cstheme="minorHAnsi"/>
              </w:rPr>
              <w:t>This contribution highlights the importance of ensuring that any efforts to review or streamline existing resolutions are carried out with careful consideration. It emphasizes the need to maintain the integrity, relevance, and flexibility of current texts</w:t>
            </w:r>
            <w:r w:rsidR="00C9328B">
              <w:rPr>
                <w:rFonts w:asciiTheme="minorHAnsi" w:hAnsiTheme="minorHAnsi" w:cstheme="minorHAnsi"/>
              </w:rPr>
              <w:t>.</w:t>
            </w:r>
          </w:p>
          <w:p w14:paraId="4288AA6F" w14:textId="18345BA8" w:rsidR="00AD3606" w:rsidRPr="00484E07" w:rsidRDefault="00AD3606" w:rsidP="00F16BAB">
            <w:pPr>
              <w:spacing w:before="160"/>
              <w:rPr>
                <w:rFonts w:asciiTheme="minorHAnsi" w:hAnsiTheme="minorHAnsi" w:cstheme="minorHAnsi"/>
                <w:b/>
                <w:bCs/>
                <w:sz w:val="26"/>
                <w:szCs w:val="26"/>
              </w:rPr>
            </w:pPr>
            <w:r w:rsidRPr="00484E07">
              <w:rPr>
                <w:rFonts w:asciiTheme="minorHAnsi" w:hAnsiTheme="minorHAnsi" w:cstheme="minorHAnsi"/>
                <w:b/>
                <w:bCs/>
                <w:sz w:val="26"/>
                <w:szCs w:val="26"/>
              </w:rPr>
              <w:t>Action required</w:t>
            </w:r>
            <w:r w:rsidR="00F16BAB" w:rsidRPr="00484E07">
              <w:rPr>
                <w:rFonts w:asciiTheme="minorHAnsi" w:hAnsiTheme="minorHAnsi" w:cstheme="minorHAnsi"/>
                <w:b/>
                <w:bCs/>
                <w:sz w:val="26"/>
                <w:szCs w:val="26"/>
              </w:rPr>
              <w:t xml:space="preserve"> by the Council</w:t>
            </w:r>
          </w:p>
          <w:p w14:paraId="3CE8D4BB" w14:textId="77777777" w:rsidR="009B7ED4" w:rsidRPr="00484E07" w:rsidRDefault="009B7ED4" w:rsidP="00771815">
            <w:pPr>
              <w:jc w:val="both"/>
              <w:rPr>
                <w:rFonts w:asciiTheme="minorHAnsi" w:hAnsiTheme="minorHAnsi" w:cstheme="minorHAnsi"/>
              </w:rPr>
            </w:pPr>
            <w:r w:rsidRPr="00484E07">
              <w:rPr>
                <w:rFonts w:asciiTheme="minorHAnsi" w:hAnsiTheme="minorHAnsi" w:cstheme="minorHAnsi"/>
              </w:rPr>
              <w:t xml:space="preserve">The council is invited </w:t>
            </w:r>
            <w:r w:rsidRPr="00484E07">
              <w:rPr>
                <w:rFonts w:asciiTheme="minorHAnsi" w:hAnsiTheme="minorHAnsi" w:cstheme="minorHAnsi"/>
                <w:b/>
                <w:bCs/>
              </w:rPr>
              <w:t>to consider</w:t>
            </w:r>
            <w:r w:rsidRPr="00484E07">
              <w:rPr>
                <w:rFonts w:asciiTheme="minorHAnsi" w:hAnsiTheme="minorHAnsi" w:cstheme="minorHAnsi"/>
              </w:rPr>
              <w:t xml:space="preserve"> this contribution and </w:t>
            </w:r>
            <w:r w:rsidRPr="00484E07">
              <w:rPr>
                <w:rFonts w:asciiTheme="minorHAnsi" w:hAnsiTheme="minorHAnsi" w:cstheme="minorHAnsi"/>
                <w:b/>
                <w:bCs/>
              </w:rPr>
              <w:t>take the necessary action</w:t>
            </w:r>
            <w:r w:rsidRPr="00484E07">
              <w:rPr>
                <w:rFonts w:asciiTheme="minorHAnsi" w:hAnsiTheme="minorHAnsi" w:cstheme="minorHAnsi"/>
              </w:rPr>
              <w:t xml:space="preserve"> accordingly.</w:t>
            </w:r>
          </w:p>
          <w:p w14:paraId="08939791" w14:textId="6BE14A35" w:rsidR="00C0458D" w:rsidRPr="00484E07" w:rsidRDefault="00C0458D" w:rsidP="009B7ED4">
            <w:pPr>
              <w:rPr>
                <w:rFonts w:asciiTheme="minorHAnsi" w:hAnsiTheme="minorHAnsi" w:cstheme="minorHAnsi"/>
              </w:rPr>
            </w:pPr>
            <w:r w:rsidRPr="00484E07">
              <w:rPr>
                <w:rFonts w:asciiTheme="minorHAnsi" w:hAnsiTheme="minorHAnsi" w:cstheme="minorHAnsi"/>
              </w:rPr>
              <w:t>_______________</w:t>
            </w:r>
          </w:p>
          <w:p w14:paraId="212A584A" w14:textId="61454405" w:rsidR="00AD3606" w:rsidRPr="00484E07" w:rsidRDefault="00AD3606" w:rsidP="00F16BAB">
            <w:pPr>
              <w:spacing w:before="160"/>
              <w:rPr>
                <w:rFonts w:asciiTheme="minorHAnsi" w:hAnsiTheme="minorHAnsi" w:cstheme="minorHAnsi"/>
                <w:b/>
                <w:bCs/>
                <w:sz w:val="26"/>
                <w:szCs w:val="26"/>
              </w:rPr>
            </w:pPr>
            <w:r w:rsidRPr="00484E07">
              <w:rPr>
                <w:rFonts w:asciiTheme="minorHAnsi" w:hAnsiTheme="minorHAnsi" w:cstheme="minorHAnsi"/>
                <w:b/>
                <w:bCs/>
                <w:sz w:val="26"/>
                <w:szCs w:val="26"/>
              </w:rPr>
              <w:t>References</w:t>
            </w:r>
          </w:p>
          <w:p w14:paraId="7089D4B7" w14:textId="2703EAEF" w:rsidR="00AD3606" w:rsidRPr="00CB559F" w:rsidRDefault="00CB559F" w:rsidP="00F16BAB">
            <w:pPr>
              <w:spacing w:after="160"/>
              <w:rPr>
                <w:rFonts w:asciiTheme="minorHAnsi" w:hAnsiTheme="minorHAnsi" w:cstheme="minorHAnsi"/>
                <w:i/>
                <w:iCs/>
                <w:sz w:val="22"/>
                <w:szCs w:val="22"/>
              </w:rPr>
            </w:pPr>
            <w:r w:rsidRPr="00CB559F">
              <w:rPr>
                <w:i/>
                <w:iCs/>
                <w:sz w:val="22"/>
                <w:szCs w:val="22"/>
              </w:rPr>
              <w:t xml:space="preserve">Council Document </w:t>
            </w:r>
            <w:hyperlink r:id="rId9" w:history="1">
              <w:r w:rsidR="00B2134A" w:rsidRPr="00CB559F">
                <w:rPr>
                  <w:rStyle w:val="Hyperlink"/>
                  <w:rFonts w:asciiTheme="minorHAnsi" w:hAnsiTheme="minorHAnsi" w:cstheme="minorHAnsi"/>
                  <w:i/>
                  <w:iCs/>
                  <w:sz w:val="22"/>
                  <w:szCs w:val="22"/>
                </w:rPr>
                <w:t>C25/29</w:t>
              </w:r>
            </w:hyperlink>
          </w:p>
        </w:tc>
      </w:tr>
    </w:tbl>
    <w:p w14:paraId="3E836A65" w14:textId="77777777" w:rsidR="00E227F3" w:rsidRPr="00484E07" w:rsidRDefault="00E227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bookmarkStart w:id="10" w:name="_Hlk133421428"/>
      <w:bookmarkEnd w:id="2"/>
      <w:bookmarkEnd w:id="9"/>
    </w:p>
    <w:bookmarkEnd w:id="3"/>
    <w:bookmarkEnd w:id="4"/>
    <w:p w14:paraId="52958905" w14:textId="77777777" w:rsidR="0090147A" w:rsidRPr="00484E07" w:rsidRDefault="0090147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rPr>
      </w:pPr>
      <w:r w:rsidRPr="00484E07">
        <w:rPr>
          <w:rFonts w:asciiTheme="minorHAnsi" w:hAnsiTheme="minorHAnsi" w:cstheme="minorHAnsi"/>
        </w:rPr>
        <w:br w:type="page"/>
      </w:r>
    </w:p>
    <w:bookmarkEnd w:id="5"/>
    <w:bookmarkEnd w:id="10"/>
    <w:p w14:paraId="7072930E" w14:textId="77777777" w:rsidR="009B7ED4" w:rsidRPr="00484E07" w:rsidRDefault="009B7ED4" w:rsidP="00CB559F">
      <w:pPr>
        <w:pStyle w:val="Headingb"/>
      </w:pPr>
      <w:r w:rsidRPr="00484E07">
        <w:rPr>
          <w:rStyle w:val="Strong"/>
          <w:rFonts w:asciiTheme="minorHAnsi" w:hAnsiTheme="minorHAnsi" w:cstheme="minorHAnsi"/>
          <w:b/>
        </w:rPr>
        <w:lastRenderedPageBreak/>
        <w:t>Introduction</w:t>
      </w:r>
    </w:p>
    <w:p w14:paraId="768070B3" w14:textId="6FFE1A94" w:rsidR="009B7ED4" w:rsidRPr="00484E07" w:rsidRDefault="009B7ED4" w:rsidP="00CB559F">
      <w:pPr>
        <w:jc w:val="both"/>
      </w:pPr>
      <w:r w:rsidRPr="00484E07">
        <w:t>We acknowledge with appreciation the efforts reflected in</w:t>
      </w:r>
      <w:r w:rsidR="00CB559F">
        <w:t xml:space="preserve"> Document</w:t>
      </w:r>
      <w:r w:rsidRPr="00484E07">
        <w:t xml:space="preserve"> </w:t>
      </w:r>
      <w:hyperlink r:id="rId10" w:history="1">
        <w:r w:rsidRPr="0019330A">
          <w:rPr>
            <w:rStyle w:val="Hyperlink"/>
            <w:rFonts w:asciiTheme="minorHAnsi" w:hAnsiTheme="minorHAnsi" w:cstheme="minorHAnsi"/>
          </w:rPr>
          <w:t>C25/29</w:t>
        </w:r>
      </w:hyperlink>
      <w:r w:rsidRPr="00484E07">
        <w:t xml:space="preserve"> aimed at supporting Member States in preparing their proposals for the Plenipotentiary Conference. The intention to harmonize resolutions and decisions to improve clarity and efficiency is welcome. However, we believe that such efforts must be approached with caution to ensure that the unique value, context, and strategic direction embedded in existing texts are preserved. In-force PP Resolutions are a result of a lengthy process, exhaustive work, and consensus among Member States. These resolutions reflect deliberate and collaborative efforts and should not be altered lightly.</w:t>
      </w:r>
    </w:p>
    <w:p w14:paraId="38708388" w14:textId="77777777" w:rsidR="009B7ED4" w:rsidRPr="00484E07" w:rsidRDefault="009B7ED4" w:rsidP="00CB559F">
      <w:pPr>
        <w:pStyle w:val="Headingb"/>
      </w:pPr>
      <w:r w:rsidRPr="00484E07">
        <w:t>Discussion</w:t>
      </w:r>
    </w:p>
    <w:p w14:paraId="4F72BFAA" w14:textId="77777777" w:rsidR="009B7ED4" w:rsidRPr="00484E07" w:rsidRDefault="009B7ED4" w:rsidP="00CB559F">
      <w:pPr>
        <w:jc w:val="both"/>
        <w:rPr>
          <w:rFonts w:asciiTheme="minorHAnsi" w:hAnsiTheme="minorHAnsi" w:cstheme="minorHAnsi"/>
          <w:szCs w:val="24"/>
        </w:rPr>
      </w:pPr>
      <w:r w:rsidRPr="00484E07">
        <w:rPr>
          <w:rFonts w:asciiTheme="minorHAnsi" w:hAnsiTheme="minorHAnsi" w:cstheme="minorHAnsi"/>
          <w:szCs w:val="24"/>
        </w:rPr>
        <w:t xml:space="preserve">Resolutions and </w:t>
      </w:r>
      <w:r w:rsidRPr="00CB559F">
        <w:t>decisions</w:t>
      </w:r>
      <w:r w:rsidRPr="00484E07">
        <w:rPr>
          <w:rFonts w:asciiTheme="minorHAnsi" w:hAnsiTheme="minorHAnsi" w:cstheme="minorHAnsi"/>
          <w:szCs w:val="24"/>
        </w:rPr>
        <w:t xml:space="preserve"> adopted by the Plenipotentiary Conference reflect carefully negotiated outcomes and longstanding commitments by the membership. They are shaped by diverse policy considerations, regional priorities, and evolving global dynamics. In this context, the process of harmonization must not be reduced to a technical exercise of simplification or consolidation.</w:t>
      </w:r>
    </w:p>
    <w:p w14:paraId="002FACA3" w14:textId="0BC35D7E" w:rsidR="009B7ED4" w:rsidRPr="00484E07" w:rsidRDefault="009B7ED4" w:rsidP="00CB559F">
      <w:pPr>
        <w:jc w:val="both"/>
        <w:rPr>
          <w:rFonts w:asciiTheme="minorHAnsi" w:hAnsiTheme="minorHAnsi" w:cstheme="minorHAnsi"/>
          <w:szCs w:val="24"/>
        </w:rPr>
      </w:pPr>
      <w:r w:rsidRPr="00484E07">
        <w:rPr>
          <w:rFonts w:asciiTheme="minorHAnsi" w:hAnsiTheme="minorHAnsi" w:cstheme="minorHAnsi"/>
          <w:szCs w:val="24"/>
        </w:rPr>
        <w:t xml:space="preserve">While streamlining </w:t>
      </w:r>
      <w:r w:rsidRPr="00CB559F">
        <w:t>resolutions</w:t>
      </w:r>
      <w:r w:rsidRPr="00484E07">
        <w:rPr>
          <w:rFonts w:asciiTheme="minorHAnsi" w:hAnsiTheme="minorHAnsi" w:cstheme="minorHAnsi"/>
          <w:szCs w:val="24"/>
        </w:rPr>
        <w:t xml:space="preserve"> can bring some benefits, the guidelines as proposed </w:t>
      </w:r>
      <w:r w:rsidR="00620371">
        <w:rPr>
          <w:rFonts w:asciiTheme="minorHAnsi" w:hAnsiTheme="minorHAnsi" w:cstheme="minorHAnsi"/>
          <w:szCs w:val="24"/>
        </w:rPr>
        <w:t xml:space="preserve">in </w:t>
      </w:r>
      <w:r w:rsidR="00620371" w:rsidRPr="00CB559F">
        <w:rPr>
          <w:rFonts w:asciiTheme="minorHAnsi" w:hAnsiTheme="minorHAnsi" w:cstheme="minorHAnsi"/>
        </w:rPr>
        <w:t>Document C25/29</w:t>
      </w:r>
      <w:r w:rsidR="00620371" w:rsidRPr="00484E07">
        <w:rPr>
          <w:rFonts w:asciiTheme="minorHAnsi" w:hAnsiTheme="minorHAnsi" w:cstheme="minorHAnsi"/>
        </w:rPr>
        <w:t xml:space="preserve"> </w:t>
      </w:r>
      <w:r w:rsidRPr="00484E07">
        <w:rPr>
          <w:rFonts w:asciiTheme="minorHAnsi" w:hAnsiTheme="minorHAnsi" w:cstheme="minorHAnsi"/>
          <w:szCs w:val="24"/>
        </w:rPr>
        <w:t>raise several considerations:</w:t>
      </w:r>
    </w:p>
    <w:p w14:paraId="01F7F3B5" w14:textId="4C02AA67" w:rsidR="009B7ED4" w:rsidRPr="00484E07" w:rsidRDefault="00CB559F" w:rsidP="00CB559F">
      <w:pPr>
        <w:pStyle w:val="enumlev1"/>
        <w:jc w:val="both"/>
      </w:pPr>
      <w:r>
        <w:rPr>
          <w:rFonts w:ascii="Times New Roman" w:hAnsi="Times New Roman"/>
          <w:sz w:val="22"/>
          <w:szCs w:val="22"/>
          <w:lang w:val="en-US"/>
        </w:rPr>
        <w:t>–</w:t>
      </w:r>
      <w:r w:rsidRPr="00484E07">
        <w:rPr>
          <w:rFonts w:ascii="Times New Roman" w:hAnsi="Times New Roman"/>
          <w:sz w:val="22"/>
          <w:szCs w:val="22"/>
          <w:lang w:val="en-US"/>
        </w:rPr>
        <w:tab/>
      </w:r>
      <w:r w:rsidR="009B7ED4" w:rsidRPr="00CB559F">
        <w:t>Simplifying or merging resolutions in a way that leads to the removal of texts with added value may not be the most appropriate approach. It is important that the objective of harmonization is to strengthen coordination without compromising provisions that continue to serve meaningful purposes.</w:t>
      </w:r>
    </w:p>
    <w:p w14:paraId="204D051A" w14:textId="223CFB1E" w:rsidR="009B7ED4" w:rsidRPr="00CB559F" w:rsidRDefault="00CB559F" w:rsidP="00CB559F">
      <w:pPr>
        <w:pStyle w:val="enumlev1"/>
        <w:jc w:val="both"/>
      </w:pPr>
      <w:r>
        <w:rPr>
          <w:rFonts w:ascii="Times New Roman" w:hAnsi="Times New Roman"/>
          <w:lang w:val="en-US"/>
        </w:rPr>
        <w:t>–</w:t>
      </w:r>
      <w:r w:rsidRPr="00484E07">
        <w:rPr>
          <w:rFonts w:ascii="Times New Roman" w:hAnsi="Times New Roman"/>
          <w:lang w:val="en-US"/>
        </w:rPr>
        <w:tab/>
      </w:r>
      <w:r w:rsidR="009B7ED4" w:rsidRPr="00CB559F">
        <w:t>The proposal to suppress resolutions based on a lack of recent reporting or action should be reconsidered. Some resolutions retain strategic value even in the absence of ongoing activities and should be assessed case-by-case.</w:t>
      </w:r>
      <w:r w:rsidR="00143632" w:rsidRPr="00143632">
        <w:t xml:space="preserve"> </w:t>
      </w:r>
      <w:r w:rsidR="00143632" w:rsidRPr="00CB559F">
        <w:t xml:space="preserve">Instead of </w:t>
      </w:r>
      <w:r w:rsidR="00211492" w:rsidRPr="00CB559F">
        <w:t>suppression of Resolutions</w:t>
      </w:r>
      <w:r w:rsidR="00143632" w:rsidRPr="00CB559F">
        <w:t>, efforts should focus on identifying why implementation has not occurred, and whether targeted follow-up actions or updated reporting mechanisms are needed.</w:t>
      </w:r>
    </w:p>
    <w:p w14:paraId="13610367" w14:textId="2D6209ED" w:rsidR="0019330A" w:rsidRPr="00AF283D" w:rsidRDefault="0019330A" w:rsidP="00CB559F">
      <w:pPr>
        <w:jc w:val="both"/>
      </w:pPr>
      <w:r w:rsidRPr="00AF283D">
        <w:t xml:space="preserve">As outlined in Document C25/29, the preamble of a resolution is recommended to be kept concise, </w:t>
      </w:r>
      <w:r w:rsidRPr="00CB559F">
        <w:t>ideally</w:t>
      </w:r>
      <w:r w:rsidRPr="00AF283D">
        <w:t xml:space="preserve"> not exceeding one A4 page. However, it is important to recognize that the preamble serves as a critical component by:</w:t>
      </w:r>
    </w:p>
    <w:p w14:paraId="782FF5DE" w14:textId="0A479673" w:rsidR="009B7ED4" w:rsidRPr="00484E07" w:rsidRDefault="00CB559F" w:rsidP="00CB559F">
      <w:pPr>
        <w:pStyle w:val="enumlev1"/>
        <w:jc w:val="both"/>
      </w:pPr>
      <w:r>
        <w:t>–</w:t>
      </w:r>
      <w:r w:rsidRPr="00484E07">
        <w:tab/>
      </w:r>
      <w:r w:rsidR="009B7ED4" w:rsidRPr="00484E07">
        <w:t>Contextualizing the issue, offering background and rationale.</w:t>
      </w:r>
    </w:p>
    <w:p w14:paraId="62F8343E" w14:textId="3C96E5F5" w:rsidR="009B7ED4" w:rsidRPr="00484E07" w:rsidRDefault="00CB559F" w:rsidP="00CB559F">
      <w:pPr>
        <w:pStyle w:val="enumlev1"/>
        <w:jc w:val="both"/>
      </w:pPr>
      <w:r>
        <w:t>–</w:t>
      </w:r>
      <w:r w:rsidRPr="00484E07">
        <w:tab/>
      </w:r>
      <w:r w:rsidR="009B7ED4" w:rsidRPr="00484E07">
        <w:t>Justifying the proposed actions based on principles, values, or legal precedents.</w:t>
      </w:r>
    </w:p>
    <w:p w14:paraId="66F90C42" w14:textId="2C69C985" w:rsidR="009B7ED4" w:rsidRPr="00484E07" w:rsidRDefault="00CB559F" w:rsidP="00CB559F">
      <w:pPr>
        <w:pStyle w:val="enumlev1"/>
        <w:jc w:val="both"/>
      </w:pPr>
      <w:r>
        <w:t>–</w:t>
      </w:r>
      <w:r w:rsidRPr="00484E07">
        <w:tab/>
      </w:r>
      <w:r w:rsidR="009B7ED4" w:rsidRPr="00484E07">
        <w:t>Building consensus by acknowledging diverse views and shared goals.</w:t>
      </w:r>
    </w:p>
    <w:p w14:paraId="7B5822BB" w14:textId="43028A7F" w:rsidR="009B7ED4" w:rsidRPr="00484E07" w:rsidRDefault="00CB559F" w:rsidP="00CB559F">
      <w:pPr>
        <w:pStyle w:val="enumlev1"/>
        <w:jc w:val="both"/>
      </w:pPr>
      <w:r>
        <w:t>–</w:t>
      </w:r>
      <w:r w:rsidRPr="00484E07">
        <w:tab/>
      </w:r>
      <w:r w:rsidR="009B7ED4" w:rsidRPr="00484E07">
        <w:t>Ensuring legal coherence through references to relevant treaties or resolutions.</w:t>
      </w:r>
    </w:p>
    <w:p w14:paraId="043CC073" w14:textId="24695B5B" w:rsidR="00866D98" w:rsidRPr="00BF4349" w:rsidRDefault="00CB559F" w:rsidP="00CB559F">
      <w:pPr>
        <w:pStyle w:val="enumlev1"/>
        <w:jc w:val="both"/>
        <w:rPr>
          <w:b/>
          <w:bCs/>
        </w:rPr>
      </w:pPr>
      <w:r>
        <w:rPr>
          <w:bCs/>
        </w:rPr>
        <w:t>–</w:t>
      </w:r>
      <w:r w:rsidRPr="00BF4349">
        <w:rPr>
          <w:bCs/>
        </w:rPr>
        <w:tab/>
      </w:r>
      <w:r w:rsidR="009B7ED4" w:rsidRPr="00484E07">
        <w:t>Aiding interpretation and implementation by clarifying scope and objectives.</w:t>
      </w:r>
    </w:p>
    <w:p w14:paraId="53BA5809" w14:textId="1B562EAA" w:rsidR="009B7ED4" w:rsidRPr="00484E07" w:rsidRDefault="009B7ED4" w:rsidP="00CB559F">
      <w:pPr>
        <w:pStyle w:val="Headingb"/>
      </w:pPr>
      <w:r w:rsidRPr="00484E07">
        <w:t>Proposal</w:t>
      </w:r>
    </w:p>
    <w:p w14:paraId="7A1A2CC6" w14:textId="7EE8A4E6" w:rsidR="00866D98" w:rsidRPr="00BF4349" w:rsidRDefault="00484E07" w:rsidP="00CB559F">
      <w:pPr>
        <w:rPr>
          <w:lang w:val="en-ZA"/>
        </w:rPr>
      </w:pPr>
      <w:r w:rsidRPr="00484E07">
        <w:t xml:space="preserve">In view of the </w:t>
      </w:r>
      <w:r w:rsidRPr="00CB559F">
        <w:t>above</w:t>
      </w:r>
      <w:r w:rsidR="00866D98">
        <w:t>, the following is proposed:</w:t>
      </w:r>
    </w:p>
    <w:p w14:paraId="01F0C83C" w14:textId="14E8F357" w:rsidR="00A96697" w:rsidRPr="00BF4349" w:rsidRDefault="00CB559F" w:rsidP="00CB559F">
      <w:pPr>
        <w:pStyle w:val="enumlev1"/>
        <w:rPr>
          <w:lang w:val="en-ZA"/>
        </w:rPr>
      </w:pPr>
      <w:r>
        <w:t>–</w:t>
      </w:r>
      <w:r>
        <w:tab/>
      </w:r>
      <w:r w:rsidR="00866D98">
        <w:t>T</w:t>
      </w:r>
      <w:r w:rsidR="00484E07" w:rsidRPr="00484E07">
        <w:t xml:space="preserve">he Council </w:t>
      </w:r>
      <w:r w:rsidR="00771815">
        <w:t xml:space="preserve">is </w:t>
      </w:r>
      <w:r w:rsidR="00C9328B">
        <w:t xml:space="preserve">to </w:t>
      </w:r>
      <w:r w:rsidR="00484E07" w:rsidRPr="00484E07">
        <w:t>take note of the proposed guidelines</w:t>
      </w:r>
      <w:r w:rsidR="00C9328B">
        <w:t xml:space="preserve">. </w:t>
      </w:r>
    </w:p>
    <w:p w14:paraId="49D9F764" w14:textId="21FA25EB" w:rsidR="003F3DC4" w:rsidRDefault="00CB559F" w:rsidP="00CB559F">
      <w:pPr>
        <w:pStyle w:val="enumlev1"/>
        <w:jc w:val="both"/>
      </w:pPr>
      <w:r>
        <w:rPr>
          <w:lang w:val="en-US"/>
        </w:rPr>
        <w:t>–</w:t>
      </w:r>
      <w:r>
        <w:rPr>
          <w:lang w:val="en-US"/>
        </w:rPr>
        <w:tab/>
      </w:r>
      <w:r w:rsidR="00452C27">
        <w:rPr>
          <w:lang w:val="en-US"/>
        </w:rPr>
        <w:t>The guidelines for harmonizing conference resolutions</w:t>
      </w:r>
      <w:r w:rsidR="000C4879">
        <w:rPr>
          <w:lang w:val="en-US"/>
        </w:rPr>
        <w:t>, if needed,</w:t>
      </w:r>
      <w:r w:rsidR="00452C27">
        <w:rPr>
          <w:lang w:val="en-US"/>
        </w:rPr>
        <w:t xml:space="preserve"> </w:t>
      </w:r>
      <w:r w:rsidR="00143632">
        <w:t xml:space="preserve">should remain non-binding and serve as a reference tool. </w:t>
      </w:r>
      <w:r w:rsidR="000C4879">
        <w:t>Also the</w:t>
      </w:r>
      <w:r w:rsidR="00143632">
        <w:t xml:space="preserve"> guideline should not restrict Member States from proposing amendments, modifications, or new resolutions and decisions for Plenipotentiary Conferences.</w:t>
      </w:r>
      <w:r w:rsidR="003F3DC4">
        <w:t xml:space="preserve"> </w:t>
      </w:r>
    </w:p>
    <w:p w14:paraId="7201CC28" w14:textId="49B0F7B3" w:rsidR="00CB559F" w:rsidRPr="00CB559F" w:rsidRDefault="00CB559F" w:rsidP="00CB559F">
      <w:pPr>
        <w:spacing w:before="0"/>
        <w:jc w:val="center"/>
      </w:pPr>
      <w:r>
        <w:t>______________</w:t>
      </w:r>
    </w:p>
    <w:sectPr w:rsidR="00CB559F" w:rsidRPr="00CB559F" w:rsidSect="00AD3606">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2695C" w14:textId="77777777" w:rsidR="00D95934" w:rsidRDefault="00D95934">
      <w:r>
        <w:separator/>
      </w:r>
    </w:p>
  </w:endnote>
  <w:endnote w:type="continuationSeparator" w:id="0">
    <w:p w14:paraId="6D9181D4" w14:textId="77777777" w:rsidR="00D95934" w:rsidRDefault="00D95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42469C">
      <w:trPr>
        <w:jc w:val="center"/>
      </w:trPr>
      <w:tc>
        <w:tcPr>
          <w:tcW w:w="1803" w:type="dxa"/>
          <w:vAlign w:val="center"/>
        </w:tcPr>
        <w:p w14:paraId="5B3DDD9A" w14:textId="37C0E1D9" w:rsidR="00EE49E8" w:rsidRDefault="00C6520B" w:rsidP="00EE49E8">
          <w:pPr>
            <w:pStyle w:val="Header"/>
            <w:jc w:val="left"/>
            <w:rPr>
              <w:noProof/>
            </w:rPr>
          </w:pPr>
          <w:r>
            <w:rPr>
              <w:noProof/>
            </w:rPr>
            <w:t xml:space="preserve">gDoc </w:t>
          </w:r>
          <w:r w:rsidR="00BC602D" w:rsidRPr="00BC602D">
            <w:rPr>
              <w:noProof/>
            </w:rPr>
            <w:t>R2501368</w:t>
          </w:r>
        </w:p>
      </w:tc>
      <w:tc>
        <w:tcPr>
          <w:tcW w:w="8261" w:type="dxa"/>
        </w:tcPr>
        <w:p w14:paraId="6F6B3A01" w14:textId="78027666" w:rsidR="00EE49E8" w:rsidRPr="00E06FD5" w:rsidRDefault="00EE49E8" w:rsidP="000745AB">
          <w:pPr>
            <w:pStyle w:val="Header"/>
            <w:tabs>
              <w:tab w:val="left" w:pos="6164"/>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BC602D">
            <w:rPr>
              <w:bCs/>
            </w:rPr>
            <w:t>91</w:t>
          </w:r>
          <w:r w:rsidRPr="00623AE3">
            <w:rPr>
              <w:bCs/>
            </w:rPr>
            <w:t>-E</w:t>
          </w:r>
          <w:r>
            <w:rPr>
              <w:bCs/>
            </w:rPr>
            <w:tab/>
          </w:r>
          <w:r>
            <w:fldChar w:fldCharType="begin"/>
          </w:r>
          <w:r>
            <w:instrText>PAGE</w:instrText>
          </w:r>
          <w:r>
            <w:fldChar w:fldCharType="separate"/>
          </w:r>
          <w:r w:rsidR="004F04F4">
            <w:rPr>
              <w:noProof/>
            </w:rPr>
            <w:t>2</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792D0FAC" w:rsidR="00EE49E8" w:rsidRPr="00E06FD5" w:rsidRDefault="00EE49E8" w:rsidP="000745AB">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BC602D">
            <w:rPr>
              <w:bCs/>
            </w:rPr>
            <w:t>91</w:t>
          </w:r>
          <w:r w:rsidRPr="00623AE3">
            <w:rPr>
              <w:bCs/>
            </w:rPr>
            <w:t>-E</w:t>
          </w:r>
          <w:r>
            <w:rPr>
              <w:bCs/>
            </w:rPr>
            <w:tab/>
          </w:r>
          <w:r>
            <w:fldChar w:fldCharType="begin"/>
          </w:r>
          <w:r>
            <w:instrText>PAGE</w:instrText>
          </w:r>
          <w:r>
            <w:fldChar w:fldCharType="separate"/>
          </w:r>
          <w:r w:rsidR="004F04F4">
            <w:rPr>
              <w:noProof/>
            </w:rP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AD660" w14:textId="77777777" w:rsidR="00D95934" w:rsidRDefault="00D95934">
      <w:r>
        <w:t>____________________</w:t>
      </w:r>
    </w:p>
  </w:footnote>
  <w:footnote w:type="continuationSeparator" w:id="0">
    <w:p w14:paraId="02F5656D" w14:textId="77777777" w:rsidR="00D95934" w:rsidRDefault="00D95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rsidTr="00C91CFC">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11" w:name="_Hlk133422111"/>
          <w:r>
            <w:rPr>
              <w:rFonts w:ascii="Arial" w:hAnsi="Arial" w:cs="Arial"/>
              <w:b/>
              <w:bCs/>
              <w:noProof/>
              <w:color w:val="009CD6"/>
              <w:sz w:val="36"/>
              <w:szCs w:val="36"/>
              <w:lang w:val="en-US"/>
            </w:rPr>
            <w:drawing>
              <wp:inline distT="0" distB="0" distL="0" distR="0" wp14:anchorId="313B81B2" wp14:editId="52EB5A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3C724958" w14:textId="77777777" w:rsidR="00AD3606" w:rsidRDefault="00AD3606">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5DDEC" id="Rectangle 5" o:spid="_x0000_s1026" style="position:absolute;margin-left:.3pt;margin-top:47.35pt;width:8.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F76447"/>
    <w:multiLevelType w:val="multilevel"/>
    <w:tmpl w:val="A4BC3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6E2E77"/>
    <w:multiLevelType w:val="hybridMultilevel"/>
    <w:tmpl w:val="7F9E5382"/>
    <w:lvl w:ilvl="0" w:tplc="F9724F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D0FA0"/>
    <w:multiLevelType w:val="hybridMultilevel"/>
    <w:tmpl w:val="37F4FC08"/>
    <w:lvl w:ilvl="0" w:tplc="AE0C81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D6793"/>
    <w:multiLevelType w:val="hybridMultilevel"/>
    <w:tmpl w:val="6AB6627C"/>
    <w:lvl w:ilvl="0" w:tplc="AD44A4CE">
      <w:start w:val="1"/>
      <w:numFmt w:val="bullet"/>
      <w:lvlText w:val="•"/>
      <w:lvlJc w:val="left"/>
      <w:pPr>
        <w:tabs>
          <w:tab w:val="num" w:pos="720"/>
        </w:tabs>
        <w:ind w:left="720" w:hanging="360"/>
      </w:pPr>
      <w:rPr>
        <w:rFonts w:ascii="Times New Roman" w:hAnsi="Times New Roman" w:hint="default"/>
      </w:rPr>
    </w:lvl>
    <w:lvl w:ilvl="1" w:tplc="F9B66E22" w:tentative="1">
      <w:start w:val="1"/>
      <w:numFmt w:val="bullet"/>
      <w:lvlText w:val="•"/>
      <w:lvlJc w:val="left"/>
      <w:pPr>
        <w:tabs>
          <w:tab w:val="num" w:pos="1440"/>
        </w:tabs>
        <w:ind w:left="1440" w:hanging="360"/>
      </w:pPr>
      <w:rPr>
        <w:rFonts w:ascii="Times New Roman" w:hAnsi="Times New Roman" w:hint="default"/>
      </w:rPr>
    </w:lvl>
    <w:lvl w:ilvl="2" w:tplc="8698197E" w:tentative="1">
      <w:start w:val="1"/>
      <w:numFmt w:val="bullet"/>
      <w:lvlText w:val="•"/>
      <w:lvlJc w:val="left"/>
      <w:pPr>
        <w:tabs>
          <w:tab w:val="num" w:pos="2160"/>
        </w:tabs>
        <w:ind w:left="2160" w:hanging="360"/>
      </w:pPr>
      <w:rPr>
        <w:rFonts w:ascii="Times New Roman" w:hAnsi="Times New Roman" w:hint="default"/>
      </w:rPr>
    </w:lvl>
    <w:lvl w:ilvl="3" w:tplc="5B86A2D8" w:tentative="1">
      <w:start w:val="1"/>
      <w:numFmt w:val="bullet"/>
      <w:lvlText w:val="•"/>
      <w:lvlJc w:val="left"/>
      <w:pPr>
        <w:tabs>
          <w:tab w:val="num" w:pos="2880"/>
        </w:tabs>
        <w:ind w:left="2880" w:hanging="360"/>
      </w:pPr>
      <w:rPr>
        <w:rFonts w:ascii="Times New Roman" w:hAnsi="Times New Roman" w:hint="default"/>
      </w:rPr>
    </w:lvl>
    <w:lvl w:ilvl="4" w:tplc="E590728A" w:tentative="1">
      <w:start w:val="1"/>
      <w:numFmt w:val="bullet"/>
      <w:lvlText w:val="•"/>
      <w:lvlJc w:val="left"/>
      <w:pPr>
        <w:tabs>
          <w:tab w:val="num" w:pos="3600"/>
        </w:tabs>
        <w:ind w:left="3600" w:hanging="360"/>
      </w:pPr>
      <w:rPr>
        <w:rFonts w:ascii="Times New Roman" w:hAnsi="Times New Roman" w:hint="default"/>
      </w:rPr>
    </w:lvl>
    <w:lvl w:ilvl="5" w:tplc="784EA9C4" w:tentative="1">
      <w:start w:val="1"/>
      <w:numFmt w:val="bullet"/>
      <w:lvlText w:val="•"/>
      <w:lvlJc w:val="left"/>
      <w:pPr>
        <w:tabs>
          <w:tab w:val="num" w:pos="4320"/>
        </w:tabs>
        <w:ind w:left="4320" w:hanging="360"/>
      </w:pPr>
      <w:rPr>
        <w:rFonts w:ascii="Times New Roman" w:hAnsi="Times New Roman" w:hint="default"/>
      </w:rPr>
    </w:lvl>
    <w:lvl w:ilvl="6" w:tplc="52C83C12" w:tentative="1">
      <w:start w:val="1"/>
      <w:numFmt w:val="bullet"/>
      <w:lvlText w:val="•"/>
      <w:lvlJc w:val="left"/>
      <w:pPr>
        <w:tabs>
          <w:tab w:val="num" w:pos="5040"/>
        </w:tabs>
        <w:ind w:left="5040" w:hanging="360"/>
      </w:pPr>
      <w:rPr>
        <w:rFonts w:ascii="Times New Roman" w:hAnsi="Times New Roman" w:hint="default"/>
      </w:rPr>
    </w:lvl>
    <w:lvl w:ilvl="7" w:tplc="FDA40C70" w:tentative="1">
      <w:start w:val="1"/>
      <w:numFmt w:val="bullet"/>
      <w:lvlText w:val="•"/>
      <w:lvlJc w:val="left"/>
      <w:pPr>
        <w:tabs>
          <w:tab w:val="num" w:pos="5760"/>
        </w:tabs>
        <w:ind w:left="5760" w:hanging="360"/>
      </w:pPr>
      <w:rPr>
        <w:rFonts w:ascii="Times New Roman" w:hAnsi="Times New Roman" w:hint="default"/>
      </w:rPr>
    </w:lvl>
    <w:lvl w:ilvl="8" w:tplc="78F84C8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2151CC7"/>
    <w:multiLevelType w:val="multilevel"/>
    <w:tmpl w:val="650E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39640C"/>
    <w:multiLevelType w:val="hybridMultilevel"/>
    <w:tmpl w:val="6B2264BE"/>
    <w:lvl w:ilvl="0" w:tplc="F9724FC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1055729">
    <w:abstractNumId w:val="0"/>
  </w:num>
  <w:num w:numId="2" w16cid:durableId="1337228262">
    <w:abstractNumId w:val="1"/>
  </w:num>
  <w:num w:numId="3" w16cid:durableId="10380">
    <w:abstractNumId w:val="5"/>
  </w:num>
  <w:num w:numId="4" w16cid:durableId="1359310498">
    <w:abstractNumId w:val="6"/>
  </w:num>
  <w:num w:numId="5" w16cid:durableId="411195811">
    <w:abstractNumId w:val="3"/>
  </w:num>
  <w:num w:numId="6" w16cid:durableId="1990398918">
    <w:abstractNumId w:val="2"/>
  </w:num>
  <w:num w:numId="7" w16cid:durableId="128326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1F8"/>
    <w:rsid w:val="000210D4"/>
    <w:rsid w:val="0006007D"/>
    <w:rsid w:val="00063016"/>
    <w:rsid w:val="00066795"/>
    <w:rsid w:val="000745AB"/>
    <w:rsid w:val="00076AF6"/>
    <w:rsid w:val="00085CF2"/>
    <w:rsid w:val="000A17C0"/>
    <w:rsid w:val="000B1705"/>
    <w:rsid w:val="000C4879"/>
    <w:rsid w:val="000D75B2"/>
    <w:rsid w:val="000F5DDB"/>
    <w:rsid w:val="000F7289"/>
    <w:rsid w:val="001121F5"/>
    <w:rsid w:val="001400DC"/>
    <w:rsid w:val="00140CE1"/>
    <w:rsid w:val="00143632"/>
    <w:rsid w:val="0017539C"/>
    <w:rsid w:val="00175AC2"/>
    <w:rsid w:val="0017609F"/>
    <w:rsid w:val="00183F0F"/>
    <w:rsid w:val="0019330A"/>
    <w:rsid w:val="001A3154"/>
    <w:rsid w:val="001A7D1D"/>
    <w:rsid w:val="001B51DD"/>
    <w:rsid w:val="001C628E"/>
    <w:rsid w:val="001E0F7B"/>
    <w:rsid w:val="001F5569"/>
    <w:rsid w:val="00211492"/>
    <w:rsid w:val="002119FD"/>
    <w:rsid w:val="002130E0"/>
    <w:rsid w:val="00221F46"/>
    <w:rsid w:val="00240B32"/>
    <w:rsid w:val="00264425"/>
    <w:rsid w:val="00265875"/>
    <w:rsid w:val="0027303B"/>
    <w:rsid w:val="0028109B"/>
    <w:rsid w:val="002A2188"/>
    <w:rsid w:val="002B1F58"/>
    <w:rsid w:val="002C1C7A"/>
    <w:rsid w:val="002C54E2"/>
    <w:rsid w:val="0030160F"/>
    <w:rsid w:val="00320223"/>
    <w:rsid w:val="00322D0D"/>
    <w:rsid w:val="00337339"/>
    <w:rsid w:val="00361465"/>
    <w:rsid w:val="003877F5"/>
    <w:rsid w:val="00391298"/>
    <w:rsid w:val="003936D3"/>
    <w:rsid w:val="003942D4"/>
    <w:rsid w:val="003958A8"/>
    <w:rsid w:val="003B29C2"/>
    <w:rsid w:val="003C0BE9"/>
    <w:rsid w:val="003C2533"/>
    <w:rsid w:val="003D5A7F"/>
    <w:rsid w:val="003F3DC4"/>
    <w:rsid w:val="0040435A"/>
    <w:rsid w:val="00416A24"/>
    <w:rsid w:val="00427BFF"/>
    <w:rsid w:val="00431D9E"/>
    <w:rsid w:val="00433CE8"/>
    <w:rsid w:val="00434A5C"/>
    <w:rsid w:val="00452C27"/>
    <w:rsid w:val="00453079"/>
    <w:rsid w:val="004544D9"/>
    <w:rsid w:val="0046791F"/>
    <w:rsid w:val="00472BAD"/>
    <w:rsid w:val="004811F8"/>
    <w:rsid w:val="00481E80"/>
    <w:rsid w:val="00484009"/>
    <w:rsid w:val="00484E07"/>
    <w:rsid w:val="00490E72"/>
    <w:rsid w:val="00491157"/>
    <w:rsid w:val="00491BA9"/>
    <w:rsid w:val="004921C8"/>
    <w:rsid w:val="00495B0B"/>
    <w:rsid w:val="004A1B8B"/>
    <w:rsid w:val="004B25A1"/>
    <w:rsid w:val="004D1851"/>
    <w:rsid w:val="004D599D"/>
    <w:rsid w:val="004E2EA5"/>
    <w:rsid w:val="004E3AEB"/>
    <w:rsid w:val="004F04F4"/>
    <w:rsid w:val="0050223C"/>
    <w:rsid w:val="005243FF"/>
    <w:rsid w:val="00564FBC"/>
    <w:rsid w:val="005800BC"/>
    <w:rsid w:val="005821BC"/>
    <w:rsid w:val="00582442"/>
    <w:rsid w:val="005F3269"/>
    <w:rsid w:val="00601E89"/>
    <w:rsid w:val="0061031A"/>
    <w:rsid w:val="00620371"/>
    <w:rsid w:val="00623AE3"/>
    <w:rsid w:val="00630C4D"/>
    <w:rsid w:val="00644EC6"/>
    <w:rsid w:val="0064524C"/>
    <w:rsid w:val="0064737F"/>
    <w:rsid w:val="006535F1"/>
    <w:rsid w:val="0065557D"/>
    <w:rsid w:val="00660D50"/>
    <w:rsid w:val="00662984"/>
    <w:rsid w:val="006716BB"/>
    <w:rsid w:val="00697186"/>
    <w:rsid w:val="006B1859"/>
    <w:rsid w:val="006B6680"/>
    <w:rsid w:val="006B6DCC"/>
    <w:rsid w:val="006B77F1"/>
    <w:rsid w:val="006C5ECF"/>
    <w:rsid w:val="006F3D44"/>
    <w:rsid w:val="00702CF6"/>
    <w:rsid w:val="00702DEF"/>
    <w:rsid w:val="00706861"/>
    <w:rsid w:val="00722551"/>
    <w:rsid w:val="007249F0"/>
    <w:rsid w:val="0075051B"/>
    <w:rsid w:val="0077110E"/>
    <w:rsid w:val="00771815"/>
    <w:rsid w:val="00793188"/>
    <w:rsid w:val="00794D34"/>
    <w:rsid w:val="007A3FCD"/>
    <w:rsid w:val="007B19CF"/>
    <w:rsid w:val="007C05EB"/>
    <w:rsid w:val="007D01AF"/>
    <w:rsid w:val="007E2262"/>
    <w:rsid w:val="00813E5E"/>
    <w:rsid w:val="0083581B"/>
    <w:rsid w:val="0084145B"/>
    <w:rsid w:val="00863874"/>
    <w:rsid w:val="00864AFF"/>
    <w:rsid w:val="00865925"/>
    <w:rsid w:val="00866D98"/>
    <w:rsid w:val="00874DD7"/>
    <w:rsid w:val="008B0737"/>
    <w:rsid w:val="008B4A6A"/>
    <w:rsid w:val="008C7E27"/>
    <w:rsid w:val="008F7448"/>
    <w:rsid w:val="0090147A"/>
    <w:rsid w:val="009173EF"/>
    <w:rsid w:val="00932906"/>
    <w:rsid w:val="00945CC6"/>
    <w:rsid w:val="00961B0B"/>
    <w:rsid w:val="00962D33"/>
    <w:rsid w:val="009B38C3"/>
    <w:rsid w:val="009B7ED4"/>
    <w:rsid w:val="009E17BD"/>
    <w:rsid w:val="009E485A"/>
    <w:rsid w:val="00A04CEC"/>
    <w:rsid w:val="00A27F92"/>
    <w:rsid w:val="00A32257"/>
    <w:rsid w:val="00A36D20"/>
    <w:rsid w:val="00A514A4"/>
    <w:rsid w:val="00A55622"/>
    <w:rsid w:val="00A572F0"/>
    <w:rsid w:val="00A83502"/>
    <w:rsid w:val="00A94BAB"/>
    <w:rsid w:val="00A96697"/>
    <w:rsid w:val="00AD15B3"/>
    <w:rsid w:val="00AD3606"/>
    <w:rsid w:val="00AD4A3D"/>
    <w:rsid w:val="00AD677D"/>
    <w:rsid w:val="00AF283D"/>
    <w:rsid w:val="00AF6E49"/>
    <w:rsid w:val="00B04A67"/>
    <w:rsid w:val="00B0583C"/>
    <w:rsid w:val="00B144A6"/>
    <w:rsid w:val="00B2134A"/>
    <w:rsid w:val="00B40A81"/>
    <w:rsid w:val="00B44910"/>
    <w:rsid w:val="00B518E3"/>
    <w:rsid w:val="00B72267"/>
    <w:rsid w:val="00B76EB6"/>
    <w:rsid w:val="00B7737B"/>
    <w:rsid w:val="00B77B79"/>
    <w:rsid w:val="00B824C8"/>
    <w:rsid w:val="00B84B9D"/>
    <w:rsid w:val="00B9131F"/>
    <w:rsid w:val="00BB0646"/>
    <w:rsid w:val="00BC251A"/>
    <w:rsid w:val="00BC602D"/>
    <w:rsid w:val="00BD032B"/>
    <w:rsid w:val="00BD03F3"/>
    <w:rsid w:val="00BD128A"/>
    <w:rsid w:val="00BE01C6"/>
    <w:rsid w:val="00BE2640"/>
    <w:rsid w:val="00BF1FDE"/>
    <w:rsid w:val="00BF4349"/>
    <w:rsid w:val="00C01189"/>
    <w:rsid w:val="00C0458D"/>
    <w:rsid w:val="00C374DE"/>
    <w:rsid w:val="00C47AD4"/>
    <w:rsid w:val="00C52D81"/>
    <w:rsid w:val="00C55198"/>
    <w:rsid w:val="00C6520B"/>
    <w:rsid w:val="00C9328B"/>
    <w:rsid w:val="00CA6393"/>
    <w:rsid w:val="00CA7995"/>
    <w:rsid w:val="00CB18FF"/>
    <w:rsid w:val="00CB3A44"/>
    <w:rsid w:val="00CB559F"/>
    <w:rsid w:val="00CD0C08"/>
    <w:rsid w:val="00CE03FB"/>
    <w:rsid w:val="00CE433C"/>
    <w:rsid w:val="00CF0161"/>
    <w:rsid w:val="00CF33F3"/>
    <w:rsid w:val="00CF4A2B"/>
    <w:rsid w:val="00D024CA"/>
    <w:rsid w:val="00D06183"/>
    <w:rsid w:val="00D07260"/>
    <w:rsid w:val="00D22C42"/>
    <w:rsid w:val="00D65041"/>
    <w:rsid w:val="00D95934"/>
    <w:rsid w:val="00DB1936"/>
    <w:rsid w:val="00DB384B"/>
    <w:rsid w:val="00DD11ED"/>
    <w:rsid w:val="00DE69C9"/>
    <w:rsid w:val="00DF0189"/>
    <w:rsid w:val="00DF0C2D"/>
    <w:rsid w:val="00DF26C9"/>
    <w:rsid w:val="00E069B7"/>
    <w:rsid w:val="00E06FD5"/>
    <w:rsid w:val="00E10E80"/>
    <w:rsid w:val="00E124F0"/>
    <w:rsid w:val="00E16B1E"/>
    <w:rsid w:val="00E227F3"/>
    <w:rsid w:val="00E545C6"/>
    <w:rsid w:val="00E60F04"/>
    <w:rsid w:val="00E65B24"/>
    <w:rsid w:val="00E854E4"/>
    <w:rsid w:val="00E86DBF"/>
    <w:rsid w:val="00E969AF"/>
    <w:rsid w:val="00EB0D6F"/>
    <w:rsid w:val="00EB2232"/>
    <w:rsid w:val="00EB347A"/>
    <w:rsid w:val="00EC5337"/>
    <w:rsid w:val="00EE49E8"/>
    <w:rsid w:val="00F16BAB"/>
    <w:rsid w:val="00F2150A"/>
    <w:rsid w:val="00F231D8"/>
    <w:rsid w:val="00F3508A"/>
    <w:rsid w:val="00F41209"/>
    <w:rsid w:val="00F44C00"/>
    <w:rsid w:val="00F45D2C"/>
    <w:rsid w:val="00F46C5F"/>
    <w:rsid w:val="00F632C0"/>
    <w:rsid w:val="00F641E1"/>
    <w:rsid w:val="00F91694"/>
    <w:rsid w:val="00F94A63"/>
    <w:rsid w:val="00FA1C28"/>
    <w:rsid w:val="00FB1279"/>
    <w:rsid w:val="00FB6B76"/>
    <w:rsid w:val="00FB7596"/>
    <w:rsid w:val="00FE4077"/>
    <w:rsid w:val="00FE500D"/>
    <w:rsid w:val="00FE77D2"/>
    <w:rsid w:val="00FF39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A048E5"/>
  <w15:docId w15:val="{095992CB-951E-46F8-828A-E2188A25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customStyle="1" w:styleId="UnresolvedMention1">
    <w:name w:val="Unresolved Mention1"/>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character" w:styleId="Strong">
    <w:name w:val="Strong"/>
    <w:basedOn w:val="DefaultParagraphFont"/>
    <w:uiPriority w:val="22"/>
    <w:qFormat/>
    <w:rsid w:val="00337339"/>
    <w:rPr>
      <w:b/>
      <w:bCs/>
    </w:rPr>
  </w:style>
  <w:style w:type="paragraph" w:styleId="NormalWeb">
    <w:name w:val="Normal (Web)"/>
    <w:basedOn w:val="Normal"/>
    <w:uiPriority w:val="99"/>
    <w:unhideWhenUsed/>
    <w:rsid w:val="0033733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styleId="Emphasis">
    <w:name w:val="Emphasis"/>
    <w:basedOn w:val="DefaultParagraphFont"/>
    <w:uiPriority w:val="20"/>
    <w:qFormat/>
    <w:rsid w:val="00337339"/>
    <w:rPr>
      <w:i/>
      <w:iCs/>
    </w:rPr>
  </w:style>
  <w:style w:type="character" w:styleId="CommentReference">
    <w:name w:val="annotation reference"/>
    <w:basedOn w:val="DefaultParagraphFont"/>
    <w:uiPriority w:val="99"/>
    <w:semiHidden/>
    <w:unhideWhenUsed/>
    <w:rsid w:val="00337339"/>
    <w:rPr>
      <w:sz w:val="16"/>
      <w:szCs w:val="16"/>
    </w:rPr>
  </w:style>
  <w:style w:type="paragraph" w:styleId="CommentText">
    <w:name w:val="annotation text"/>
    <w:basedOn w:val="Normal"/>
    <w:link w:val="CommentTextChar"/>
    <w:uiPriority w:val="99"/>
    <w:semiHidden/>
    <w:unhideWhenUsed/>
    <w:rsid w:val="00337339"/>
    <w:rPr>
      <w:sz w:val="20"/>
    </w:rPr>
  </w:style>
  <w:style w:type="character" w:customStyle="1" w:styleId="CommentTextChar">
    <w:name w:val="Comment Text Char"/>
    <w:basedOn w:val="DefaultParagraphFont"/>
    <w:link w:val="CommentText"/>
    <w:uiPriority w:val="99"/>
    <w:semiHidden/>
    <w:rsid w:val="00337339"/>
    <w:rPr>
      <w:rFonts w:ascii="Calibri" w:hAnsi="Calibri"/>
      <w:lang w:val="en-GB" w:eastAsia="en-US"/>
    </w:rPr>
  </w:style>
  <w:style w:type="paragraph" w:styleId="CommentSubject">
    <w:name w:val="annotation subject"/>
    <w:basedOn w:val="CommentText"/>
    <w:next w:val="CommentText"/>
    <w:link w:val="CommentSubjectChar"/>
    <w:semiHidden/>
    <w:unhideWhenUsed/>
    <w:rsid w:val="00337339"/>
    <w:rPr>
      <w:b/>
      <w:bCs/>
    </w:rPr>
  </w:style>
  <w:style w:type="character" w:customStyle="1" w:styleId="CommentSubjectChar">
    <w:name w:val="Comment Subject Char"/>
    <w:basedOn w:val="CommentTextChar"/>
    <w:link w:val="CommentSubject"/>
    <w:semiHidden/>
    <w:rsid w:val="00337339"/>
    <w:rPr>
      <w:rFonts w:ascii="Calibri" w:hAnsi="Calibri"/>
      <w:b/>
      <w:bCs/>
      <w:lang w:val="en-GB" w:eastAsia="en-US"/>
    </w:rPr>
  </w:style>
  <w:style w:type="paragraph" w:styleId="BalloonText">
    <w:name w:val="Balloon Text"/>
    <w:basedOn w:val="Normal"/>
    <w:link w:val="BalloonTextChar"/>
    <w:semiHidden/>
    <w:unhideWhenUsed/>
    <w:rsid w:val="009B7ED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B7ED4"/>
    <w:rPr>
      <w:rFonts w:ascii="Segoe UI" w:hAnsi="Segoe UI" w:cs="Segoe UI"/>
      <w:sz w:val="18"/>
      <w:szCs w:val="18"/>
      <w:lang w:val="en-GB" w:eastAsia="en-US"/>
    </w:rPr>
  </w:style>
  <w:style w:type="paragraph" w:styleId="ListParagraph">
    <w:name w:val="List Paragraph"/>
    <w:basedOn w:val="Normal"/>
    <w:uiPriority w:val="34"/>
    <w:qFormat/>
    <w:rsid w:val="009B7ED4"/>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 w:type="paragraph" w:styleId="Revision">
    <w:name w:val="Revision"/>
    <w:hidden/>
    <w:uiPriority w:val="99"/>
    <w:semiHidden/>
    <w:rsid w:val="003F3DC4"/>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25668">
      <w:bodyDiv w:val="1"/>
      <w:marLeft w:val="0"/>
      <w:marRight w:val="0"/>
      <w:marTop w:val="0"/>
      <w:marBottom w:val="0"/>
      <w:divBdr>
        <w:top w:val="none" w:sz="0" w:space="0" w:color="auto"/>
        <w:left w:val="none" w:sz="0" w:space="0" w:color="auto"/>
        <w:bottom w:val="none" w:sz="0" w:space="0" w:color="auto"/>
        <w:right w:val="none" w:sz="0" w:space="0" w:color="auto"/>
      </w:divBdr>
    </w:div>
    <w:div w:id="94178120">
      <w:bodyDiv w:val="1"/>
      <w:marLeft w:val="0"/>
      <w:marRight w:val="0"/>
      <w:marTop w:val="0"/>
      <w:marBottom w:val="0"/>
      <w:divBdr>
        <w:top w:val="none" w:sz="0" w:space="0" w:color="auto"/>
        <w:left w:val="none" w:sz="0" w:space="0" w:color="auto"/>
        <w:bottom w:val="none" w:sz="0" w:space="0" w:color="auto"/>
        <w:right w:val="none" w:sz="0" w:space="0" w:color="auto"/>
      </w:divBdr>
    </w:div>
    <w:div w:id="237398252">
      <w:bodyDiv w:val="1"/>
      <w:marLeft w:val="0"/>
      <w:marRight w:val="0"/>
      <w:marTop w:val="0"/>
      <w:marBottom w:val="0"/>
      <w:divBdr>
        <w:top w:val="none" w:sz="0" w:space="0" w:color="auto"/>
        <w:left w:val="none" w:sz="0" w:space="0" w:color="auto"/>
        <w:bottom w:val="none" w:sz="0" w:space="0" w:color="auto"/>
        <w:right w:val="none" w:sz="0" w:space="0" w:color="auto"/>
      </w:divBdr>
    </w:div>
    <w:div w:id="264852447">
      <w:bodyDiv w:val="1"/>
      <w:marLeft w:val="0"/>
      <w:marRight w:val="0"/>
      <w:marTop w:val="0"/>
      <w:marBottom w:val="0"/>
      <w:divBdr>
        <w:top w:val="none" w:sz="0" w:space="0" w:color="auto"/>
        <w:left w:val="none" w:sz="0" w:space="0" w:color="auto"/>
        <w:bottom w:val="none" w:sz="0" w:space="0" w:color="auto"/>
        <w:right w:val="none" w:sz="0" w:space="0" w:color="auto"/>
      </w:divBdr>
    </w:div>
    <w:div w:id="293023220">
      <w:bodyDiv w:val="1"/>
      <w:marLeft w:val="0"/>
      <w:marRight w:val="0"/>
      <w:marTop w:val="0"/>
      <w:marBottom w:val="0"/>
      <w:divBdr>
        <w:top w:val="none" w:sz="0" w:space="0" w:color="auto"/>
        <w:left w:val="none" w:sz="0" w:space="0" w:color="auto"/>
        <w:bottom w:val="none" w:sz="0" w:space="0" w:color="auto"/>
        <w:right w:val="none" w:sz="0" w:space="0" w:color="auto"/>
      </w:divBdr>
    </w:div>
    <w:div w:id="468672242">
      <w:bodyDiv w:val="1"/>
      <w:marLeft w:val="0"/>
      <w:marRight w:val="0"/>
      <w:marTop w:val="0"/>
      <w:marBottom w:val="0"/>
      <w:divBdr>
        <w:top w:val="none" w:sz="0" w:space="0" w:color="auto"/>
        <w:left w:val="none" w:sz="0" w:space="0" w:color="auto"/>
        <w:bottom w:val="none" w:sz="0" w:space="0" w:color="auto"/>
        <w:right w:val="none" w:sz="0" w:space="0" w:color="auto"/>
      </w:divBdr>
    </w:div>
    <w:div w:id="1048072380">
      <w:bodyDiv w:val="1"/>
      <w:marLeft w:val="0"/>
      <w:marRight w:val="0"/>
      <w:marTop w:val="0"/>
      <w:marBottom w:val="0"/>
      <w:divBdr>
        <w:top w:val="none" w:sz="0" w:space="0" w:color="auto"/>
        <w:left w:val="none" w:sz="0" w:space="0" w:color="auto"/>
        <w:bottom w:val="none" w:sz="0" w:space="0" w:color="auto"/>
        <w:right w:val="none" w:sz="0" w:space="0" w:color="auto"/>
      </w:divBdr>
    </w:div>
    <w:div w:id="1607343428">
      <w:bodyDiv w:val="1"/>
      <w:marLeft w:val="0"/>
      <w:marRight w:val="0"/>
      <w:marTop w:val="0"/>
      <w:marBottom w:val="0"/>
      <w:divBdr>
        <w:top w:val="none" w:sz="0" w:space="0" w:color="auto"/>
        <w:left w:val="none" w:sz="0" w:space="0" w:color="auto"/>
        <w:bottom w:val="none" w:sz="0" w:space="0" w:color="auto"/>
        <w:right w:val="none" w:sz="0" w:space="0" w:color="auto"/>
      </w:divBdr>
    </w:div>
    <w:div w:id="1696032819">
      <w:bodyDiv w:val="1"/>
      <w:marLeft w:val="0"/>
      <w:marRight w:val="0"/>
      <w:marTop w:val="0"/>
      <w:marBottom w:val="0"/>
      <w:divBdr>
        <w:top w:val="none" w:sz="0" w:space="0" w:color="auto"/>
        <w:left w:val="none" w:sz="0" w:space="0" w:color="auto"/>
        <w:bottom w:val="none" w:sz="0" w:space="0" w:color="auto"/>
        <w:right w:val="none" w:sz="0" w:space="0" w:color="auto"/>
      </w:divBdr>
      <w:divsChild>
        <w:div w:id="3786270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itu.int/md/S25-CL-C-0029/en" TargetMode="External"/><Relationship Id="rId4" Type="http://schemas.openxmlformats.org/officeDocument/2006/relationships/styles" Target="styles.xml"/><Relationship Id="rId9" Type="http://schemas.openxmlformats.org/officeDocument/2006/relationships/hyperlink" Target="https://www.itu.int/md/S25-CL-C-0029/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itus xmlns="http://schemas.titus.com/TitusProperties/">
  <TitusGUID xmlns="">937c73e1-ac5a-4801-a9b9-c94c43031756</TitusGUID>
  <TitusMetadata xmlns="">eyJucyI6Imh0dHA6XC9cL3d3dy50aXR1cy5jb21cL25zXC9tZWxpc3NhIiwicHJvcHMiOlt7Im4iOiJDTEFTU0lGSUNBVElPTiIsInZhbHMiOlt7InZhbHVlIjoiVElUVVNfSU5URVJOQUwifV19XX0=</TitusMetadata>
</titus>
</file>

<file path=customXml/itemProps1.xml><?xml version="1.0" encoding="utf-8"?>
<ds:datastoreItem xmlns:ds="http://schemas.openxmlformats.org/officeDocument/2006/customXml" ds:itemID="{D310C8E0-619B-498C-8F6C-DF07E09A868F}">
  <ds:schemaRefs>
    <ds:schemaRef ds:uri="http://schemas.openxmlformats.org/officeDocument/2006/bibliography"/>
  </ds:schemaRefs>
</ds:datastoreItem>
</file>

<file path=customXml/itemProps2.xml><?xml version="1.0" encoding="utf-8"?>
<ds:datastoreItem xmlns:ds="http://schemas.openxmlformats.org/officeDocument/2006/customXml" ds:itemID="{24568F72-EEA8-495A-AB12-D90349EA259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512</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Input on the guidelines for harmonizing Plenipotentiary Conference resolutions and decisions</vt:lpstr>
    </vt:vector>
  </TitlesOfParts>
  <Manager>General Secretariat</Manager>
  <Company>International Telecommunication Union (ITU)</Company>
  <LinksUpToDate>false</LinksUpToDate>
  <CharactersWithSpaces>3799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Input on the guidelines for harmonizing Plenipotentiary Conference resolutions and decisions</dc:title>
  <dc:subject>ITU Council 2025</dc:subject>
  <cp:keywords>C25; C2025; Council 2025; ITU160</cp:keywords>
  <dc:description/>
  <cp:lastPrinted>2000-07-18T13:30:00Z</cp:lastPrinted>
  <dcterms:created xsi:type="dcterms:W3CDTF">2025-06-04T06:52:00Z</dcterms:created>
  <dcterms:modified xsi:type="dcterms:W3CDTF">2025-06-04T14:47:00Z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TitusGUID">
    <vt:lpwstr>937c73e1-ac5a-4801-a9b9-c94c43031756</vt:lpwstr>
  </property>
  <property fmtid="{D5CDD505-2E9C-101B-9397-08002B2CF9AE}" pid="10" name="CLASSIFICATION">
    <vt:lpwstr>TITUS_INTERNAL</vt:lpwstr>
  </property>
  <property fmtid="{D5CDD505-2E9C-101B-9397-08002B2CF9AE}" pid="11" name="OriginatingUser">
    <vt:lpwstr>raanazi</vt:lpwstr>
  </property>
</Properties>
</file>