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510C83" w:rsidRPr="00E24D59" w14:paraId="02CBD168" w14:textId="77777777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E87D350" w14:textId="77777777" w:rsidR="00510C83" w:rsidRPr="00E24D59" w:rsidRDefault="00510C83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lang w:eastAsia="zh-CN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proofErr w:type="spellStart"/>
            <w:r w:rsidRPr="00E24D59">
              <w:rPr>
                <w:rFonts w:cstheme="minorHAnsi" w:hint="eastAsia"/>
                <w:b/>
                <w:bCs/>
                <w:lang w:val="ru-RU"/>
              </w:rPr>
              <w:t>议项</w:t>
            </w:r>
            <w:proofErr w:type="spellEnd"/>
            <w:r w:rsidRPr="00E24D59">
              <w:rPr>
                <w:rFonts w:cstheme="minorHAnsi" w:hint="eastAsia"/>
                <w:b/>
                <w:bCs/>
                <w:lang w:val="ru-RU"/>
              </w:rPr>
              <w:t>：</w:t>
            </w:r>
            <w:r>
              <w:rPr>
                <w:rFonts w:cstheme="minorHAnsi" w:hint="eastAsia"/>
                <w:b/>
                <w:bCs/>
                <w:lang w:val="ru-RU" w:eastAsia="zh-CN"/>
              </w:rPr>
              <w:t>PL 3</w:t>
            </w:r>
          </w:p>
        </w:tc>
        <w:tc>
          <w:tcPr>
            <w:tcW w:w="5245" w:type="dxa"/>
          </w:tcPr>
          <w:p w14:paraId="4BC2949B" w14:textId="77777777" w:rsidR="00510C83" w:rsidRPr="00E24D59" w:rsidRDefault="00510C83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proofErr w:type="spellStart"/>
            <w:r w:rsidRPr="00E24D59">
              <w:rPr>
                <w:b/>
                <w:lang w:val="fr-CH"/>
              </w:rPr>
              <w:t>C2</w:t>
            </w:r>
            <w:r>
              <w:rPr>
                <w:b/>
                <w:lang w:val="fr-CH"/>
              </w:rPr>
              <w:t>5</w:t>
            </w:r>
            <w:proofErr w:type="spellEnd"/>
            <w:r w:rsidRPr="00E24D59">
              <w:rPr>
                <w:b/>
                <w:lang w:val="fr-CH"/>
              </w:rPr>
              <w:t>/</w:t>
            </w:r>
            <w:r>
              <w:rPr>
                <w:rFonts w:hint="eastAsia"/>
                <w:b/>
                <w:lang w:val="fr-CH" w:eastAsia="zh-CN"/>
              </w:rPr>
              <w:t>91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510C83" w:rsidRPr="00813E5E" w14:paraId="6B840918" w14:textId="77777777">
        <w:trPr>
          <w:cantSplit/>
        </w:trPr>
        <w:tc>
          <w:tcPr>
            <w:tcW w:w="3969" w:type="dxa"/>
            <w:vMerge/>
          </w:tcPr>
          <w:p w14:paraId="602D471D" w14:textId="77777777" w:rsidR="00510C83" w:rsidRPr="00E24D59" w:rsidRDefault="00510C83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sdt>
          <w:sdtPr>
            <w:rPr>
              <w:rFonts w:hint="eastAsia"/>
              <w:b/>
              <w:lang w:eastAsia="zh-CN"/>
            </w:rPr>
            <w:id w:val="-487556767"/>
            <w:placeholder>
              <w:docPart w:val="DefaultPlaceholder_-1854013437"/>
            </w:placeholder>
            <w:date w:fullDate="2025-06-03T00:00:00Z">
              <w:dateFormat w:val="yyyy'年'M'月'd'日'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5245" w:type="dxa"/>
              </w:tcPr>
              <w:p w14:paraId="440E168D" w14:textId="77777777" w:rsidR="00510C83" w:rsidRPr="00E85629" w:rsidRDefault="00510C83">
                <w:pPr>
                  <w:tabs>
                    <w:tab w:val="left" w:pos="851"/>
                  </w:tabs>
                  <w:spacing w:before="0"/>
                  <w:jc w:val="right"/>
                  <w:rPr>
                    <w:b/>
                  </w:rPr>
                </w:pPr>
                <w:r>
                  <w:rPr>
                    <w:rFonts w:hint="eastAsia"/>
                    <w:b/>
                    <w:lang w:eastAsia="zh-CN"/>
                  </w:rPr>
                  <w:t>2025</w:t>
                </w:r>
                <w:r>
                  <w:rPr>
                    <w:rFonts w:hint="eastAsia"/>
                    <w:b/>
                    <w:lang w:eastAsia="zh-CN"/>
                  </w:rPr>
                  <w:t>年</w:t>
                </w:r>
                <w:r>
                  <w:rPr>
                    <w:rFonts w:hint="eastAsia"/>
                    <w:b/>
                    <w:lang w:eastAsia="zh-CN"/>
                  </w:rPr>
                  <w:t>6</w:t>
                </w:r>
                <w:r>
                  <w:rPr>
                    <w:rFonts w:hint="eastAsia"/>
                    <w:b/>
                    <w:lang w:eastAsia="zh-CN"/>
                  </w:rPr>
                  <w:t>月</w:t>
                </w:r>
                <w:r>
                  <w:rPr>
                    <w:rFonts w:hint="eastAsia"/>
                    <w:b/>
                    <w:lang w:eastAsia="zh-CN"/>
                  </w:rPr>
                  <w:t>3</w:t>
                </w:r>
                <w:r>
                  <w:rPr>
                    <w:rFonts w:hint="eastAsia"/>
                    <w:b/>
                    <w:lang w:eastAsia="zh-CN"/>
                  </w:rPr>
                  <w:t>日</w:t>
                </w:r>
              </w:p>
            </w:tc>
          </w:sdtContent>
        </w:sdt>
      </w:tr>
      <w:tr w:rsidR="00510C83" w:rsidRPr="00813E5E" w14:paraId="5450A44E" w14:textId="77777777">
        <w:trPr>
          <w:cantSplit/>
          <w:trHeight w:val="23"/>
        </w:trPr>
        <w:tc>
          <w:tcPr>
            <w:tcW w:w="3969" w:type="dxa"/>
            <w:vMerge/>
          </w:tcPr>
          <w:p w14:paraId="435DD0CF" w14:textId="77777777" w:rsidR="00510C83" w:rsidRPr="00813E5E" w:rsidRDefault="00510C83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01206F0B" w14:textId="77777777" w:rsidR="00510C83" w:rsidRPr="00E85629" w:rsidRDefault="00510C83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eastAsia="zh-CN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</w:t>
            </w:r>
            <w:proofErr w:type="spellEnd"/>
            <w:r w:rsidRPr="00E24D59">
              <w:rPr>
                <w:rFonts w:cstheme="minorHAnsi"/>
                <w:b/>
                <w:bCs/>
                <w:lang w:val="ru-RU"/>
              </w:rPr>
              <w:t>：</w:t>
            </w:r>
            <w:r>
              <w:rPr>
                <w:rFonts w:cstheme="minorHAnsi" w:hint="eastAsia"/>
                <w:b/>
                <w:bCs/>
                <w:lang w:val="ru-RU" w:eastAsia="zh-CN"/>
              </w:rPr>
              <w:t>英文</w:t>
            </w:r>
          </w:p>
        </w:tc>
      </w:tr>
      <w:tr w:rsidR="00510C83" w:rsidRPr="00813E5E" w14:paraId="7073C813" w14:textId="77777777">
        <w:trPr>
          <w:cantSplit/>
          <w:trHeight w:val="23"/>
        </w:trPr>
        <w:tc>
          <w:tcPr>
            <w:tcW w:w="3969" w:type="dxa"/>
          </w:tcPr>
          <w:p w14:paraId="34BC1DBA" w14:textId="77777777" w:rsidR="00510C83" w:rsidRPr="00813E5E" w:rsidRDefault="00510C83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2FCD4243" w14:textId="77777777" w:rsidR="00510C83" w:rsidRDefault="00510C83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510C83" w:rsidRPr="00813E5E" w14:paraId="4303EF52" w14:textId="77777777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4CF6289" w14:textId="7C1E5034" w:rsidR="00510C83" w:rsidRPr="00E24D59" w:rsidRDefault="00510C83" w:rsidP="00DA0E66">
            <w:pPr>
              <w:pStyle w:val="Source"/>
              <w:spacing w:before="840"/>
              <w:jc w:val="left"/>
              <w:rPr>
                <w:sz w:val="34"/>
                <w:szCs w:val="34"/>
                <w:lang w:eastAsia="zh-CN"/>
              </w:rPr>
            </w:pPr>
            <w:bookmarkStart w:id="5" w:name="dsource" w:colFirst="0" w:colLast="0"/>
            <w:bookmarkEnd w:id="4"/>
            <w:r w:rsidRPr="001713E4">
              <w:rPr>
                <w:rFonts w:cstheme="minorHAnsi" w:hint="eastAsia"/>
                <w:sz w:val="34"/>
                <w:szCs w:val="34"/>
                <w:lang w:val="ru-RU" w:eastAsia="zh-CN"/>
              </w:rPr>
              <w:t>沙特阿拉伯（王国）、科威特（国）、摩洛哥（王国）、</w:t>
            </w:r>
            <w:r w:rsidR="00E565FD">
              <w:rPr>
                <w:rFonts w:cstheme="minorHAnsi"/>
                <w:sz w:val="34"/>
                <w:szCs w:val="34"/>
                <w:lang w:val="ru-RU" w:eastAsia="zh-CN"/>
              </w:rPr>
              <w:br/>
            </w:r>
            <w:r w:rsidRPr="001713E4">
              <w:rPr>
                <w:rFonts w:cstheme="minorHAnsi" w:hint="eastAsia"/>
                <w:sz w:val="34"/>
                <w:szCs w:val="34"/>
                <w:lang w:val="ru-RU" w:eastAsia="zh-CN"/>
              </w:rPr>
              <w:t>卡塔尔（国）、南非（共和国）</w:t>
            </w:r>
            <w:r>
              <w:rPr>
                <w:rFonts w:cstheme="minorHAnsi" w:hint="eastAsia"/>
                <w:sz w:val="34"/>
                <w:szCs w:val="34"/>
                <w:lang w:val="ru-RU" w:eastAsia="zh-CN"/>
              </w:rPr>
              <w:t>和</w:t>
            </w:r>
            <w:r w:rsidRPr="001713E4">
              <w:rPr>
                <w:rFonts w:cstheme="minorHAnsi" w:hint="eastAsia"/>
                <w:sz w:val="34"/>
                <w:szCs w:val="34"/>
                <w:lang w:val="ru-RU" w:eastAsia="zh-CN"/>
              </w:rPr>
              <w:t>突尼斯</w:t>
            </w:r>
            <w:r>
              <w:rPr>
                <w:rFonts w:cstheme="minorHAnsi" w:hint="eastAsia"/>
                <w:sz w:val="34"/>
                <w:szCs w:val="34"/>
                <w:lang w:val="ru-RU" w:eastAsia="zh-CN"/>
              </w:rPr>
              <w:t>提交的</w:t>
            </w:r>
            <w:r w:rsidRPr="001713E4">
              <w:rPr>
                <w:rFonts w:cstheme="minorHAnsi" w:hint="eastAsia"/>
                <w:sz w:val="34"/>
                <w:szCs w:val="34"/>
                <w:lang w:val="ru-RU" w:eastAsia="zh-CN"/>
              </w:rPr>
              <w:t>文稿</w:t>
            </w:r>
          </w:p>
        </w:tc>
      </w:tr>
      <w:tr w:rsidR="00510C83" w:rsidRPr="00813E5E" w14:paraId="04FF704B" w14:textId="77777777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0900F68F" w14:textId="2CDDC9BB" w:rsidR="00510C83" w:rsidRPr="00477D57" w:rsidRDefault="00510C83">
            <w:pPr>
              <w:pStyle w:val="Subtitle"/>
              <w:framePr w:hSpace="0" w:wrap="auto" w:hAnchor="text" w:xAlign="left" w:yAlign="inline"/>
              <w:rPr>
                <w:rFonts w:eastAsia="SimSun"/>
                <w:lang w:eastAsia="zh-CN"/>
              </w:rPr>
            </w:pPr>
            <w:bookmarkStart w:id="6" w:name="dtitle1" w:colFirst="0" w:colLast="0"/>
            <w:bookmarkEnd w:id="5"/>
            <w:r>
              <w:rPr>
                <w:rFonts w:eastAsia="SimSun" w:hint="eastAsia"/>
                <w:lang w:eastAsia="zh-CN"/>
              </w:rPr>
              <w:t>有关</w:t>
            </w:r>
            <w:r w:rsidR="004844A3">
              <w:rPr>
                <w:rFonts w:eastAsia="SimSun" w:hint="eastAsia"/>
                <w:lang w:eastAsia="zh-CN"/>
              </w:rPr>
              <w:t>统一</w:t>
            </w:r>
            <w:r>
              <w:rPr>
                <w:rFonts w:eastAsia="SimSun" w:hint="eastAsia"/>
                <w:lang w:eastAsia="zh-CN"/>
              </w:rPr>
              <w:t>协调全权代表大会各项决议和决定的导则</w:t>
            </w:r>
          </w:p>
        </w:tc>
      </w:tr>
      <w:tr w:rsidR="00510C83" w:rsidRPr="00813E5E" w14:paraId="486E09A3" w14:textId="77777777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683A464" w14:textId="77777777" w:rsidR="00510C83" w:rsidRPr="00477D57" w:rsidRDefault="00510C83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b/>
                <w:bCs/>
                <w:lang w:eastAsia="zh-CN"/>
              </w:rPr>
              <w:t>目的</w:t>
            </w:r>
          </w:p>
          <w:p w14:paraId="1346848C" w14:textId="6BF26338" w:rsidR="00510C83" w:rsidRPr="00477D57" w:rsidRDefault="00080163" w:rsidP="00D62844">
            <w:pPr>
              <w:ind w:firstLineChars="200" w:firstLine="480"/>
              <w:rPr>
                <w:rFonts w:asciiTheme="majorEastAsia" w:eastAsiaTheme="majorEastAsia" w:hAnsiTheme="majorEastAsia"/>
                <w:lang w:eastAsia="zh-CN"/>
              </w:rPr>
            </w:pPr>
            <w:r w:rsidRPr="00080163">
              <w:rPr>
                <w:rFonts w:asciiTheme="majorEastAsia" w:eastAsiaTheme="majorEastAsia" w:hAnsiTheme="majorEastAsia" w:hint="eastAsia"/>
                <w:lang w:eastAsia="zh-CN"/>
              </w:rPr>
              <w:t>本文稿强调</w:t>
            </w:r>
            <w:r w:rsidR="001C07D3">
              <w:rPr>
                <w:rFonts w:asciiTheme="majorEastAsia" w:eastAsiaTheme="majorEastAsia" w:hAnsiTheme="majorEastAsia" w:hint="eastAsia"/>
                <w:lang w:eastAsia="zh-CN"/>
              </w:rPr>
              <w:t>了确保</w:t>
            </w:r>
            <w:r w:rsidR="00C93AED">
              <w:rPr>
                <w:rFonts w:asciiTheme="majorEastAsia" w:eastAsiaTheme="majorEastAsia" w:hAnsiTheme="majorEastAsia" w:hint="eastAsia"/>
                <w:lang w:eastAsia="zh-CN"/>
              </w:rPr>
              <w:t>开展审议或简化</w:t>
            </w:r>
            <w:r w:rsidR="001C07D3">
              <w:rPr>
                <w:rFonts w:asciiTheme="majorEastAsia" w:eastAsiaTheme="majorEastAsia" w:hAnsiTheme="majorEastAsia" w:hint="eastAsia"/>
                <w:lang w:eastAsia="zh-CN"/>
              </w:rPr>
              <w:t>现有决议</w:t>
            </w:r>
            <w:r w:rsidR="00C93AED">
              <w:rPr>
                <w:rFonts w:asciiTheme="majorEastAsia" w:eastAsiaTheme="majorEastAsia" w:hAnsiTheme="majorEastAsia" w:hint="eastAsia"/>
                <w:lang w:eastAsia="zh-CN"/>
              </w:rPr>
              <w:t>的工作</w:t>
            </w:r>
            <w:r w:rsidR="001C07D3">
              <w:rPr>
                <w:rFonts w:asciiTheme="majorEastAsia" w:eastAsiaTheme="majorEastAsia" w:hAnsiTheme="majorEastAsia" w:hint="eastAsia"/>
                <w:lang w:eastAsia="zh-CN"/>
              </w:rPr>
              <w:t>时</w:t>
            </w:r>
            <w:r w:rsidRPr="00080163">
              <w:rPr>
                <w:rFonts w:asciiTheme="majorEastAsia" w:eastAsiaTheme="majorEastAsia" w:hAnsiTheme="majorEastAsia" w:hint="eastAsia"/>
                <w:lang w:eastAsia="zh-CN"/>
              </w:rPr>
              <w:t>都必须</w:t>
            </w:r>
            <w:r w:rsidR="001C07D3">
              <w:rPr>
                <w:rFonts w:asciiTheme="majorEastAsia" w:eastAsiaTheme="majorEastAsia" w:hAnsiTheme="majorEastAsia" w:hint="eastAsia"/>
                <w:lang w:eastAsia="zh-CN"/>
              </w:rPr>
              <w:t>经过深思熟虑</w:t>
            </w:r>
            <w:r>
              <w:rPr>
                <w:rFonts w:asciiTheme="majorEastAsia" w:eastAsiaTheme="majorEastAsia" w:hAnsiTheme="majorEastAsia" w:hint="eastAsia"/>
                <w:lang w:eastAsia="zh-CN"/>
              </w:rPr>
              <w:t>的重要性</w:t>
            </w:r>
            <w:r w:rsidRPr="00080163">
              <w:rPr>
                <w:rFonts w:asciiTheme="majorEastAsia" w:eastAsiaTheme="majorEastAsia" w:hAnsiTheme="majorEastAsia" w:hint="eastAsia"/>
                <w:lang w:eastAsia="zh-CN"/>
              </w:rPr>
              <w:t>。它强调需要保持现有案文的完整性、相关性和灵活性。</w:t>
            </w:r>
          </w:p>
          <w:p w14:paraId="135797C6" w14:textId="77777777" w:rsidR="00510C83" w:rsidRPr="00477D57" w:rsidRDefault="00510C83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b/>
                <w:bCs/>
                <w:lang w:eastAsia="zh-CN"/>
              </w:rPr>
              <w:t>理事会需采取的行动</w:t>
            </w:r>
          </w:p>
          <w:p w14:paraId="6CD58CD0" w14:textId="4AB7B77D" w:rsidR="00510C83" w:rsidRPr="00477D57" w:rsidRDefault="001F560F" w:rsidP="00D62844">
            <w:pPr>
              <w:ind w:firstLineChars="200" w:firstLine="480"/>
              <w:rPr>
                <w:rFonts w:asciiTheme="majorEastAsia" w:eastAsiaTheme="majorEastAsia" w:hAnsiTheme="majorEastAsia"/>
                <w:lang w:eastAsia="zh-CN"/>
              </w:rPr>
            </w:pPr>
            <w:r w:rsidRPr="001F560F">
              <w:rPr>
                <w:rFonts w:asciiTheme="majorEastAsia" w:eastAsiaTheme="majorEastAsia" w:hAnsiTheme="majorEastAsia" w:hint="eastAsia"/>
                <w:lang w:eastAsia="zh-CN"/>
              </w:rPr>
              <w:t>请理事会</w:t>
            </w:r>
            <w:r w:rsidRPr="00E551CA">
              <w:rPr>
                <w:rFonts w:asciiTheme="majorEastAsia" w:eastAsiaTheme="majorEastAsia" w:hAnsiTheme="majorEastAsia" w:hint="eastAsia"/>
                <w:b/>
                <w:bCs/>
                <w:lang w:eastAsia="zh-CN"/>
              </w:rPr>
              <w:t>审议</w:t>
            </w:r>
            <w:r w:rsidRPr="001F560F">
              <w:rPr>
                <w:rFonts w:asciiTheme="majorEastAsia" w:eastAsiaTheme="majorEastAsia" w:hAnsiTheme="majorEastAsia" w:hint="eastAsia"/>
                <w:lang w:eastAsia="zh-CN"/>
              </w:rPr>
              <w:t>本文稿并</w:t>
            </w:r>
            <w:r w:rsidRPr="00E551CA">
              <w:rPr>
                <w:rFonts w:asciiTheme="majorEastAsia" w:eastAsiaTheme="majorEastAsia" w:hAnsiTheme="majorEastAsia" w:hint="eastAsia"/>
                <w:b/>
                <w:bCs/>
                <w:lang w:eastAsia="zh-CN"/>
              </w:rPr>
              <w:t>采取相应的必要行动</w:t>
            </w:r>
            <w:r w:rsidRPr="001F560F">
              <w:rPr>
                <w:rFonts w:asciiTheme="majorEastAsia" w:eastAsiaTheme="majorEastAsia" w:hAnsiTheme="majorEastAsia" w:hint="eastAsia"/>
                <w:lang w:eastAsia="zh-CN"/>
              </w:rPr>
              <w:t>。</w:t>
            </w:r>
          </w:p>
          <w:p w14:paraId="5787ECDD" w14:textId="77777777" w:rsidR="00510C83" w:rsidRPr="00E24D59" w:rsidRDefault="00510C83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__________________</w:t>
            </w:r>
          </w:p>
          <w:p w14:paraId="1496CA4E" w14:textId="77777777" w:rsidR="00510C83" w:rsidRPr="00477D57" w:rsidRDefault="00510C83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rFonts w:hint="eastAsia"/>
                <w:b/>
                <w:bCs/>
                <w:lang w:eastAsia="zh-CN"/>
              </w:rPr>
              <w:t>参考文件</w:t>
            </w:r>
          </w:p>
          <w:p w14:paraId="77DBDB03" w14:textId="0FDE77DA" w:rsidR="00510C83" w:rsidRPr="001F560F" w:rsidRDefault="001F560F" w:rsidP="00D62844">
            <w:pPr>
              <w:spacing w:after="120"/>
              <w:ind w:firstLineChars="200" w:firstLine="440"/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 w:rsidRPr="001F560F">
              <w:rPr>
                <w:rFonts w:ascii="STKaiti" w:eastAsia="STKaiti" w:hAnsi="STKaiti" w:hint="eastAsia"/>
                <w:sz w:val="22"/>
                <w:szCs w:val="22"/>
                <w:lang w:eastAsia="zh-CN"/>
              </w:rPr>
              <w:t>理事会</w:t>
            </w:r>
            <w:hyperlink r:id="rId8" w:history="1">
              <w:r w:rsidRPr="001F560F">
                <w:rPr>
                  <w:rStyle w:val="Hyperlink"/>
                  <w:rFonts w:asciiTheme="minorHAnsi" w:eastAsia="SimSun" w:hAnsiTheme="minorHAnsi" w:cstheme="minorHAnsi"/>
                  <w:sz w:val="22"/>
                  <w:szCs w:val="22"/>
                  <w:lang w:eastAsia="zh-CN"/>
                </w:rPr>
                <w:t>C25/29</w:t>
              </w:r>
            </w:hyperlink>
            <w:r w:rsidRPr="001F560F">
              <w:rPr>
                <w:rFonts w:ascii="STKaiti" w:eastAsia="STKaiti" w:hAnsi="STKaiti" w:hint="eastAsia"/>
                <w:sz w:val="22"/>
                <w:szCs w:val="18"/>
                <w:lang w:eastAsia="zh-CN"/>
              </w:rPr>
              <w:t>号文件</w:t>
            </w:r>
          </w:p>
        </w:tc>
      </w:tr>
      <w:bookmarkEnd w:id="2"/>
      <w:bookmarkEnd w:id="6"/>
    </w:tbl>
    <w:p w14:paraId="57BDEF7C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2C993FF0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3FCA8D67" w14:textId="1F228C60" w:rsidR="00323785" w:rsidRPr="00C1320B" w:rsidRDefault="00C1320B" w:rsidP="00E565FD">
      <w:pPr>
        <w:pStyle w:val="Headingb"/>
        <w:rPr>
          <w:lang w:eastAsia="zh-CN"/>
        </w:rPr>
      </w:pPr>
      <w:r w:rsidRPr="00C1320B">
        <w:rPr>
          <w:rFonts w:hint="eastAsia"/>
          <w:lang w:eastAsia="zh-CN"/>
        </w:rPr>
        <w:lastRenderedPageBreak/>
        <w:t>引言</w:t>
      </w:r>
    </w:p>
    <w:p w14:paraId="0E36B681" w14:textId="23C96EA8" w:rsidR="00AE195F" w:rsidRPr="00323785" w:rsidRDefault="00323785" w:rsidP="003F662A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我们</w:t>
      </w:r>
      <w:proofErr w:type="gramStart"/>
      <w:r w:rsidR="00C1320B">
        <w:rPr>
          <w:rFonts w:hint="eastAsia"/>
          <w:lang w:eastAsia="zh-CN"/>
        </w:rPr>
        <w:t>认识到且赞赏</w:t>
      </w:r>
      <w:proofErr w:type="gramEnd"/>
      <w:r w:rsidR="00C1320B">
        <w:fldChar w:fldCharType="begin"/>
      </w:r>
      <w:r w:rsidR="00C1320B">
        <w:rPr>
          <w:lang w:eastAsia="zh-CN"/>
        </w:rPr>
        <w:instrText>HYPERLINK "https://www.itu.int/md/S25-CL-C-0029/en"</w:instrText>
      </w:r>
      <w:r w:rsidR="00C1320B">
        <w:fldChar w:fldCharType="separate"/>
      </w:r>
      <w:r w:rsidR="00C1320B" w:rsidRPr="00C1320B">
        <w:rPr>
          <w:rStyle w:val="Hyperlink"/>
          <w:rFonts w:asciiTheme="minorHAnsi" w:eastAsia="SimSun" w:hAnsiTheme="minorHAnsi" w:cstheme="minorHAnsi"/>
          <w:szCs w:val="24"/>
          <w:lang w:eastAsia="zh-CN"/>
        </w:rPr>
        <w:t>C25/29</w:t>
      </w:r>
      <w:r w:rsidR="00C1320B">
        <w:fldChar w:fldCharType="end"/>
      </w:r>
      <w:r w:rsidR="00C1320B" w:rsidRPr="00E551CA">
        <w:rPr>
          <w:rFonts w:asciiTheme="majorEastAsia" w:eastAsiaTheme="majorEastAsia" w:hAnsiTheme="majorEastAsia" w:hint="eastAsia"/>
          <w:szCs w:val="24"/>
          <w:lang w:eastAsia="zh-CN"/>
        </w:rPr>
        <w:t>号文件</w:t>
      </w:r>
      <w:r>
        <w:rPr>
          <w:rFonts w:hint="eastAsia"/>
          <w:lang w:eastAsia="zh-CN"/>
        </w:rPr>
        <w:t>所反映的旨在</w:t>
      </w:r>
      <w:r w:rsidR="007A3EF6">
        <w:rPr>
          <w:rFonts w:hint="eastAsia"/>
          <w:lang w:eastAsia="zh-CN"/>
        </w:rPr>
        <w:t>协助</w:t>
      </w:r>
      <w:r>
        <w:rPr>
          <w:rFonts w:hint="eastAsia"/>
          <w:lang w:eastAsia="zh-CN"/>
        </w:rPr>
        <w:t>成员国</w:t>
      </w:r>
      <w:r w:rsidR="007A3EF6" w:rsidRPr="003F662A">
        <w:rPr>
          <w:rFonts w:hint="eastAsia"/>
          <w:lang w:eastAsia="zh-CN"/>
        </w:rPr>
        <w:t>起草</w:t>
      </w:r>
      <w:r w:rsidR="00C1320B" w:rsidRPr="003F662A">
        <w:rPr>
          <w:rFonts w:hint="eastAsia"/>
          <w:lang w:eastAsia="zh-CN"/>
        </w:rPr>
        <w:t>全权代表大会提案</w:t>
      </w:r>
      <w:r w:rsidR="00C1320B">
        <w:rPr>
          <w:rFonts w:hint="eastAsia"/>
          <w:lang w:eastAsia="zh-CN"/>
        </w:rPr>
        <w:t>的努力。</w:t>
      </w:r>
      <w:r w:rsidR="00E51168">
        <w:rPr>
          <w:rFonts w:hint="eastAsia"/>
          <w:lang w:eastAsia="zh-CN"/>
        </w:rPr>
        <w:t>通过</w:t>
      </w:r>
      <w:r w:rsidR="00EC602E">
        <w:rPr>
          <w:rFonts w:hint="eastAsia"/>
          <w:lang w:eastAsia="zh-CN"/>
        </w:rPr>
        <w:t>统一</w:t>
      </w:r>
      <w:r w:rsidR="00E51168">
        <w:rPr>
          <w:rFonts w:hint="eastAsia"/>
          <w:lang w:eastAsia="zh-CN"/>
        </w:rPr>
        <w:t>协调</w:t>
      </w:r>
      <w:r w:rsidR="00EC602E">
        <w:rPr>
          <w:rFonts w:hint="eastAsia"/>
          <w:lang w:eastAsia="zh-CN"/>
        </w:rPr>
        <w:t>各项</w:t>
      </w:r>
      <w:r w:rsidR="00E51168">
        <w:rPr>
          <w:rFonts w:hint="eastAsia"/>
          <w:lang w:eastAsia="zh-CN"/>
        </w:rPr>
        <w:t>决议和决定以</w:t>
      </w:r>
      <w:r w:rsidR="00E51168" w:rsidRPr="00E51168">
        <w:rPr>
          <w:rFonts w:hint="eastAsia"/>
          <w:lang w:eastAsia="zh-CN"/>
        </w:rPr>
        <w:t>提高</w:t>
      </w:r>
      <w:r w:rsidR="00E51168">
        <w:rPr>
          <w:rFonts w:hint="eastAsia"/>
          <w:lang w:eastAsia="zh-CN"/>
        </w:rPr>
        <w:t>明确性</w:t>
      </w:r>
      <w:r w:rsidR="00E51168" w:rsidRPr="00E51168">
        <w:rPr>
          <w:rFonts w:hint="eastAsia"/>
          <w:lang w:eastAsia="zh-CN"/>
        </w:rPr>
        <w:t>和效率的意图</w:t>
      </w:r>
      <w:r w:rsidR="00E51168">
        <w:rPr>
          <w:rFonts w:hint="eastAsia"/>
          <w:lang w:eastAsia="zh-CN"/>
        </w:rPr>
        <w:t>是</w:t>
      </w:r>
      <w:r w:rsidR="00E51168" w:rsidRPr="00E51168">
        <w:rPr>
          <w:rFonts w:hint="eastAsia"/>
          <w:lang w:eastAsia="zh-CN"/>
        </w:rPr>
        <w:t>值得欢迎</w:t>
      </w:r>
      <w:r w:rsidR="00E51168">
        <w:rPr>
          <w:rFonts w:hint="eastAsia"/>
          <w:lang w:eastAsia="zh-CN"/>
        </w:rPr>
        <w:t>的</w:t>
      </w:r>
      <w:r w:rsidR="00E51168" w:rsidRPr="00E51168">
        <w:rPr>
          <w:rFonts w:hint="eastAsia"/>
          <w:lang w:eastAsia="zh-CN"/>
        </w:rPr>
        <w:t>。然而，我们认为，必须谨慎对待此类工作，以确保现有案文中蕴含的独特价值、背景和战略方向</w:t>
      </w:r>
      <w:r w:rsidR="00E51168">
        <w:rPr>
          <w:rFonts w:hint="eastAsia"/>
          <w:lang w:eastAsia="zh-CN"/>
        </w:rPr>
        <w:t>得以保留</w:t>
      </w:r>
      <w:r w:rsidR="00E51168" w:rsidRPr="00E51168">
        <w:rPr>
          <w:rFonts w:hint="eastAsia"/>
          <w:lang w:eastAsia="zh-CN"/>
        </w:rPr>
        <w:t>。现行的全权代表大会</w:t>
      </w:r>
      <w:r w:rsidR="00EC602E">
        <w:rPr>
          <w:rFonts w:hint="eastAsia"/>
          <w:lang w:eastAsia="zh-CN"/>
        </w:rPr>
        <w:t>（</w:t>
      </w:r>
      <w:r w:rsidR="00EC602E">
        <w:rPr>
          <w:rFonts w:hint="eastAsia"/>
          <w:lang w:eastAsia="zh-CN"/>
        </w:rPr>
        <w:t>PP</w:t>
      </w:r>
      <w:r w:rsidR="00EC602E">
        <w:rPr>
          <w:rFonts w:hint="eastAsia"/>
          <w:lang w:eastAsia="zh-CN"/>
        </w:rPr>
        <w:t>）</w:t>
      </w:r>
      <w:r w:rsidR="00E51168" w:rsidRPr="00E51168">
        <w:rPr>
          <w:rFonts w:hint="eastAsia"/>
          <w:lang w:eastAsia="zh-CN"/>
        </w:rPr>
        <w:t>决议是成员国</w:t>
      </w:r>
      <w:r w:rsidR="00C72623">
        <w:rPr>
          <w:rFonts w:hint="eastAsia"/>
          <w:lang w:eastAsia="zh-CN"/>
        </w:rPr>
        <w:t>之间经过漫长的程序</w:t>
      </w:r>
      <w:r w:rsidR="00E51168" w:rsidRPr="00E51168">
        <w:rPr>
          <w:rFonts w:hint="eastAsia"/>
          <w:lang w:eastAsia="zh-CN"/>
        </w:rPr>
        <w:t>、详尽</w:t>
      </w:r>
      <w:r w:rsidR="00C72623">
        <w:rPr>
          <w:rFonts w:hint="eastAsia"/>
          <w:lang w:eastAsia="zh-CN"/>
        </w:rPr>
        <w:t>的</w:t>
      </w:r>
      <w:r w:rsidR="00E51168" w:rsidRPr="00E51168">
        <w:rPr>
          <w:rFonts w:hint="eastAsia"/>
          <w:lang w:eastAsia="zh-CN"/>
        </w:rPr>
        <w:t>工作</w:t>
      </w:r>
      <w:r w:rsidR="00C72623">
        <w:rPr>
          <w:rFonts w:hint="eastAsia"/>
          <w:lang w:eastAsia="zh-CN"/>
        </w:rPr>
        <w:t>以及</w:t>
      </w:r>
      <w:r w:rsidR="00EC602E">
        <w:rPr>
          <w:rFonts w:hint="eastAsia"/>
          <w:lang w:eastAsia="zh-CN"/>
        </w:rPr>
        <w:t>协商一致</w:t>
      </w:r>
      <w:r w:rsidR="00E51168" w:rsidRPr="00E51168">
        <w:rPr>
          <w:rFonts w:hint="eastAsia"/>
          <w:lang w:eastAsia="zh-CN"/>
        </w:rPr>
        <w:t>的结果。这些决议体现了深思熟虑</w:t>
      </w:r>
      <w:r w:rsidR="00C72623">
        <w:rPr>
          <w:rFonts w:hint="eastAsia"/>
          <w:lang w:eastAsia="zh-CN"/>
        </w:rPr>
        <w:t>和协作</w:t>
      </w:r>
      <w:r w:rsidR="00E51168" w:rsidRPr="00E51168">
        <w:rPr>
          <w:rFonts w:hint="eastAsia"/>
          <w:lang w:eastAsia="zh-CN"/>
        </w:rPr>
        <w:t>努力，不应轻易修改。</w:t>
      </w:r>
    </w:p>
    <w:p w14:paraId="64041DF2" w14:textId="72A61DCB" w:rsidR="00E323D0" w:rsidRPr="00C72623" w:rsidRDefault="00C72623" w:rsidP="00E565FD">
      <w:pPr>
        <w:pStyle w:val="Headingb"/>
        <w:rPr>
          <w:lang w:eastAsia="zh-CN"/>
        </w:rPr>
      </w:pPr>
      <w:r w:rsidRPr="00C72623">
        <w:rPr>
          <w:rFonts w:hint="eastAsia"/>
          <w:lang w:eastAsia="zh-CN"/>
        </w:rPr>
        <w:t>讨论</w:t>
      </w:r>
    </w:p>
    <w:p w14:paraId="37A05529" w14:textId="01A6F6F4" w:rsidR="00C72623" w:rsidRDefault="00C72623" w:rsidP="003F662A">
      <w:pPr>
        <w:ind w:firstLineChars="200" w:firstLine="480"/>
        <w:rPr>
          <w:lang w:eastAsia="zh-CN"/>
        </w:rPr>
      </w:pPr>
      <w:r w:rsidRPr="00C72623">
        <w:rPr>
          <w:rFonts w:hint="eastAsia"/>
          <w:lang w:eastAsia="zh-CN"/>
        </w:rPr>
        <w:t>全权代表大会通过的</w:t>
      </w:r>
      <w:r w:rsidR="00EC602E">
        <w:rPr>
          <w:rFonts w:hint="eastAsia"/>
          <w:lang w:eastAsia="zh-CN"/>
        </w:rPr>
        <w:t>各项</w:t>
      </w:r>
      <w:r w:rsidRPr="00C72623">
        <w:rPr>
          <w:rFonts w:hint="eastAsia"/>
          <w:lang w:eastAsia="zh-CN"/>
        </w:rPr>
        <w:t>决议和决定体现了成员经过仔细谈判的成果和长期承诺。</w:t>
      </w:r>
      <w:r>
        <w:rPr>
          <w:rFonts w:hint="eastAsia"/>
          <w:lang w:eastAsia="zh-CN"/>
        </w:rPr>
        <w:t>它们受到多种政策</w:t>
      </w:r>
      <w:proofErr w:type="gramStart"/>
      <w:r>
        <w:rPr>
          <w:rFonts w:hint="eastAsia"/>
          <w:lang w:eastAsia="zh-CN"/>
        </w:rPr>
        <w:t>考量</w:t>
      </w:r>
      <w:proofErr w:type="gramEnd"/>
      <w:r>
        <w:rPr>
          <w:rFonts w:hint="eastAsia"/>
          <w:lang w:eastAsia="zh-CN"/>
        </w:rPr>
        <w:t>、区域优先事项以及不断变化的全球动态的影响。在此背景下，</w:t>
      </w:r>
      <w:r w:rsidR="00EC602E">
        <w:rPr>
          <w:rFonts w:hint="eastAsia"/>
          <w:lang w:eastAsia="zh-CN"/>
        </w:rPr>
        <w:t>统一</w:t>
      </w:r>
      <w:r>
        <w:rPr>
          <w:rFonts w:hint="eastAsia"/>
          <w:lang w:eastAsia="zh-CN"/>
        </w:rPr>
        <w:t>协调进程</w:t>
      </w:r>
      <w:r w:rsidR="007A3EF6">
        <w:rPr>
          <w:rFonts w:hint="eastAsia"/>
          <w:lang w:eastAsia="zh-CN"/>
        </w:rPr>
        <w:t>不应沦为技术性的简化或合并过程。</w:t>
      </w:r>
    </w:p>
    <w:p w14:paraId="13ED1C6A" w14:textId="7D5CB2E6" w:rsidR="007A3EF6" w:rsidRDefault="007A3EF6" w:rsidP="003F662A">
      <w:pPr>
        <w:ind w:firstLineChars="200" w:firstLine="480"/>
        <w:rPr>
          <w:lang w:eastAsia="zh-CN"/>
        </w:rPr>
      </w:pPr>
      <w:r w:rsidRPr="007A3EF6">
        <w:rPr>
          <w:rFonts w:hint="eastAsia"/>
          <w:lang w:eastAsia="zh-CN"/>
        </w:rPr>
        <w:t>虽然归纳整理</w:t>
      </w:r>
      <w:r>
        <w:rPr>
          <w:rFonts w:hint="eastAsia"/>
          <w:lang w:eastAsia="zh-CN"/>
        </w:rPr>
        <w:t>各项</w:t>
      </w:r>
      <w:r w:rsidRPr="007A3EF6">
        <w:rPr>
          <w:rFonts w:hint="eastAsia"/>
          <w:lang w:eastAsia="zh-CN"/>
        </w:rPr>
        <w:t>决议会带来一些好处，但</w:t>
      </w:r>
      <w:r w:rsidRPr="007A3EF6">
        <w:rPr>
          <w:rFonts w:hint="eastAsia"/>
          <w:lang w:eastAsia="zh-CN"/>
        </w:rPr>
        <w:t>C25/29</w:t>
      </w:r>
      <w:r w:rsidRPr="007A3EF6">
        <w:rPr>
          <w:rFonts w:hint="eastAsia"/>
          <w:lang w:eastAsia="zh-CN"/>
        </w:rPr>
        <w:t>号文件中提出的导则</w:t>
      </w:r>
      <w:r w:rsidR="00EC602E">
        <w:rPr>
          <w:rFonts w:hint="eastAsia"/>
          <w:lang w:eastAsia="zh-CN"/>
        </w:rPr>
        <w:t>引发</w:t>
      </w:r>
      <w:r w:rsidRPr="007A3EF6">
        <w:rPr>
          <w:rFonts w:hint="eastAsia"/>
          <w:lang w:eastAsia="zh-CN"/>
        </w:rPr>
        <w:t>几点考虑：</w:t>
      </w:r>
    </w:p>
    <w:p w14:paraId="2F262444" w14:textId="0406E103" w:rsidR="00473AA8" w:rsidRDefault="00473AA8" w:rsidP="00E565FD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简化或合并决议，导致删除具有附加值的案文可能</w:t>
      </w:r>
      <w:r w:rsidR="007D085F">
        <w:rPr>
          <w:rFonts w:hint="eastAsia"/>
          <w:lang w:eastAsia="zh-CN"/>
        </w:rPr>
        <w:t>并非</w:t>
      </w:r>
      <w:r>
        <w:rPr>
          <w:rFonts w:hint="eastAsia"/>
          <w:lang w:eastAsia="zh-CN"/>
        </w:rPr>
        <w:t>最合适的方法。重要的是，</w:t>
      </w:r>
      <w:r w:rsidR="00066EE6">
        <w:rPr>
          <w:rFonts w:hint="eastAsia"/>
          <w:lang w:eastAsia="zh-CN"/>
        </w:rPr>
        <w:t>统一</w:t>
      </w:r>
      <w:r>
        <w:rPr>
          <w:rFonts w:hint="eastAsia"/>
          <w:lang w:eastAsia="zh-CN"/>
        </w:rPr>
        <w:t>协调</w:t>
      </w:r>
      <w:r w:rsidR="00A41B52">
        <w:rPr>
          <w:rFonts w:hint="eastAsia"/>
          <w:lang w:eastAsia="zh-CN"/>
        </w:rPr>
        <w:t>的目标是</w:t>
      </w:r>
      <w:r w:rsidR="00066EE6">
        <w:rPr>
          <w:rFonts w:hint="eastAsia"/>
          <w:lang w:eastAsia="zh-CN"/>
        </w:rPr>
        <w:t>加强协调，而</w:t>
      </w:r>
      <w:r w:rsidR="00A41B52" w:rsidRPr="00A41B52">
        <w:rPr>
          <w:rFonts w:hint="eastAsia"/>
          <w:lang w:eastAsia="zh-CN"/>
        </w:rPr>
        <w:t>不损害那些</w:t>
      </w:r>
      <w:r w:rsidR="00066EE6">
        <w:rPr>
          <w:rFonts w:hint="eastAsia"/>
          <w:lang w:eastAsia="zh-CN"/>
        </w:rPr>
        <w:t>继续服务于有</w:t>
      </w:r>
      <w:r w:rsidR="00A41B52" w:rsidRPr="00A41B52">
        <w:rPr>
          <w:rFonts w:hint="eastAsia"/>
          <w:lang w:eastAsia="zh-CN"/>
        </w:rPr>
        <w:t>意义的</w:t>
      </w:r>
      <w:r w:rsidR="00066EE6">
        <w:rPr>
          <w:rFonts w:hint="eastAsia"/>
          <w:lang w:eastAsia="zh-CN"/>
        </w:rPr>
        <w:t>宗旨的</w:t>
      </w:r>
      <w:r w:rsidR="00A41B52" w:rsidRPr="00A41B52">
        <w:rPr>
          <w:rFonts w:hint="eastAsia"/>
          <w:lang w:eastAsia="zh-CN"/>
        </w:rPr>
        <w:t>条款</w:t>
      </w:r>
      <w:r w:rsidR="00A41B52">
        <w:rPr>
          <w:rFonts w:hint="eastAsia"/>
          <w:lang w:eastAsia="zh-CN"/>
        </w:rPr>
        <w:t>。</w:t>
      </w:r>
    </w:p>
    <w:p w14:paraId="3307F942" w14:textId="57B98E90" w:rsidR="00473AA8" w:rsidRDefault="00473AA8" w:rsidP="00E565FD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A41B52" w:rsidRPr="00A41B52">
        <w:rPr>
          <w:rFonts w:hint="eastAsia"/>
          <w:lang w:eastAsia="zh-CN"/>
        </w:rPr>
        <w:t>应重新审议以缺少近期报告或行动为由</w:t>
      </w:r>
      <w:r w:rsidR="00A41B52">
        <w:rPr>
          <w:rFonts w:hint="eastAsia"/>
          <w:lang w:eastAsia="zh-CN"/>
        </w:rPr>
        <w:t>废止</w:t>
      </w:r>
      <w:r w:rsidR="00A41B52" w:rsidRPr="00A41B52">
        <w:rPr>
          <w:rFonts w:hint="eastAsia"/>
          <w:lang w:eastAsia="zh-CN"/>
        </w:rPr>
        <w:t>决议的提案。一些决议即使在没有正在进行的活动的情况下也仍具有战略价值，应逐</w:t>
      </w:r>
      <w:r w:rsidR="00A41B52">
        <w:rPr>
          <w:rFonts w:hint="eastAsia"/>
          <w:lang w:eastAsia="zh-CN"/>
        </w:rPr>
        <w:t>案</w:t>
      </w:r>
      <w:r w:rsidR="00A41B52" w:rsidRPr="00A41B52">
        <w:rPr>
          <w:rFonts w:hint="eastAsia"/>
          <w:lang w:eastAsia="zh-CN"/>
        </w:rPr>
        <w:t>评估。与其废止决议，不如</w:t>
      </w:r>
      <w:r w:rsidR="00A41B52">
        <w:rPr>
          <w:rFonts w:hint="eastAsia"/>
          <w:lang w:eastAsia="zh-CN"/>
        </w:rPr>
        <w:t>集中精力查明未能落实的原因</w:t>
      </w:r>
      <w:r w:rsidR="00A41B52" w:rsidRPr="00A41B52">
        <w:rPr>
          <w:rFonts w:hint="eastAsia"/>
          <w:lang w:eastAsia="zh-CN"/>
        </w:rPr>
        <w:t>，以及</w:t>
      </w:r>
      <w:r w:rsidR="00C20976">
        <w:rPr>
          <w:rFonts w:hint="eastAsia"/>
          <w:lang w:eastAsia="zh-CN"/>
        </w:rPr>
        <w:t>关注</w:t>
      </w:r>
      <w:r w:rsidR="00A41B52" w:rsidRPr="00A41B52">
        <w:rPr>
          <w:rFonts w:hint="eastAsia"/>
          <w:lang w:eastAsia="zh-CN"/>
        </w:rPr>
        <w:t>是否需要</w:t>
      </w:r>
      <w:r w:rsidR="00A41B52">
        <w:rPr>
          <w:rFonts w:hint="eastAsia"/>
          <w:lang w:eastAsia="zh-CN"/>
        </w:rPr>
        <w:t>采取</w:t>
      </w:r>
      <w:r w:rsidR="00A41B52" w:rsidRPr="00A41B52">
        <w:rPr>
          <w:rFonts w:hint="eastAsia"/>
          <w:lang w:eastAsia="zh-CN"/>
        </w:rPr>
        <w:t>有针对性的后续行动或更新报告机制。</w:t>
      </w:r>
    </w:p>
    <w:p w14:paraId="3707DCA8" w14:textId="7E16EE98" w:rsidR="00C20976" w:rsidRDefault="00C20976" w:rsidP="003F662A">
      <w:pPr>
        <w:ind w:firstLineChars="200" w:firstLine="480"/>
        <w:rPr>
          <w:lang w:eastAsia="zh-CN"/>
        </w:rPr>
      </w:pPr>
      <w:r w:rsidRPr="00C20976">
        <w:rPr>
          <w:rFonts w:hint="eastAsia"/>
          <w:lang w:eastAsia="zh-CN"/>
        </w:rPr>
        <w:t>如</w:t>
      </w:r>
      <w:r w:rsidRPr="00C20976">
        <w:rPr>
          <w:rFonts w:hint="eastAsia"/>
          <w:lang w:eastAsia="zh-CN"/>
        </w:rPr>
        <w:t>C25/29</w:t>
      </w:r>
      <w:r w:rsidR="00066EE6">
        <w:rPr>
          <w:rFonts w:hint="eastAsia"/>
          <w:lang w:eastAsia="zh-CN"/>
        </w:rPr>
        <w:t>号</w:t>
      </w:r>
      <w:r w:rsidR="00066EE6" w:rsidRPr="00C20976">
        <w:rPr>
          <w:rFonts w:hint="eastAsia"/>
          <w:lang w:eastAsia="zh-CN"/>
        </w:rPr>
        <w:t>文件</w:t>
      </w:r>
      <w:r w:rsidRPr="00C20976">
        <w:rPr>
          <w:rFonts w:hint="eastAsia"/>
          <w:lang w:eastAsia="zh-CN"/>
        </w:rPr>
        <w:t>所述，决议序言建议</w:t>
      </w:r>
      <w:r w:rsidR="00066EE6">
        <w:rPr>
          <w:rFonts w:hint="eastAsia"/>
          <w:lang w:eastAsia="zh-CN"/>
        </w:rPr>
        <w:t>言简意赅</w:t>
      </w:r>
      <w:r w:rsidRPr="00C20976">
        <w:rPr>
          <w:rFonts w:hint="eastAsia"/>
          <w:lang w:eastAsia="zh-CN"/>
        </w:rPr>
        <w:t>，理想情况下不超过一页</w:t>
      </w:r>
      <w:r w:rsidRPr="00C20976">
        <w:rPr>
          <w:rFonts w:hint="eastAsia"/>
          <w:lang w:eastAsia="zh-CN"/>
        </w:rPr>
        <w:t>A4</w:t>
      </w:r>
      <w:r w:rsidRPr="00C20976">
        <w:rPr>
          <w:rFonts w:hint="eastAsia"/>
          <w:lang w:eastAsia="zh-CN"/>
        </w:rPr>
        <w:t>纸。然而，</w:t>
      </w:r>
      <w:r>
        <w:rPr>
          <w:rFonts w:hint="eastAsia"/>
          <w:lang w:eastAsia="zh-CN"/>
        </w:rPr>
        <w:t>必须认识到序言作为决议重要的组成部分，其作用包括</w:t>
      </w:r>
      <w:r w:rsidRPr="00C20976">
        <w:rPr>
          <w:rFonts w:hint="eastAsia"/>
          <w:lang w:eastAsia="zh-CN"/>
        </w:rPr>
        <w:t>：</w:t>
      </w:r>
    </w:p>
    <w:p w14:paraId="55BD4EA1" w14:textId="4848B3F1" w:rsidR="00C20976" w:rsidRDefault="00C20976" w:rsidP="004A4F97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066EE6">
        <w:rPr>
          <w:rFonts w:hint="eastAsia"/>
          <w:lang w:eastAsia="zh-CN"/>
        </w:rPr>
        <w:t>说明</w:t>
      </w:r>
      <w:r>
        <w:rPr>
          <w:rFonts w:hint="eastAsia"/>
          <w:lang w:eastAsia="zh-CN"/>
        </w:rPr>
        <w:t>问题</w:t>
      </w:r>
      <w:r w:rsidR="00066EE6">
        <w:rPr>
          <w:rFonts w:hint="eastAsia"/>
          <w:lang w:eastAsia="zh-CN"/>
        </w:rPr>
        <w:t>的来龙去脉</w:t>
      </w:r>
      <w:r>
        <w:rPr>
          <w:rFonts w:hint="eastAsia"/>
          <w:lang w:eastAsia="zh-CN"/>
        </w:rPr>
        <w:t>，提供背景和理由。</w:t>
      </w:r>
    </w:p>
    <w:p w14:paraId="110937C0" w14:textId="34D9D1AF" w:rsidR="00C20976" w:rsidRDefault="00C20976" w:rsidP="004A4F97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根据原则、价值观或法律先例，论证拟议行动的合理性。</w:t>
      </w:r>
    </w:p>
    <w:p w14:paraId="4A991672" w14:textId="282BFDB8" w:rsidR="00C20976" w:rsidRDefault="00C20976" w:rsidP="004A4F97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0E3BDB">
        <w:rPr>
          <w:rFonts w:hint="eastAsia"/>
          <w:lang w:eastAsia="zh-CN"/>
        </w:rPr>
        <w:t>通过</w:t>
      </w:r>
      <w:r w:rsidR="000E3BDB" w:rsidRPr="000E3BDB">
        <w:rPr>
          <w:rFonts w:hint="eastAsia"/>
          <w:lang w:eastAsia="zh-CN"/>
        </w:rPr>
        <w:t>承认不同观点和共同目标</w:t>
      </w:r>
      <w:r w:rsidR="000E3BDB">
        <w:rPr>
          <w:rFonts w:hint="eastAsia"/>
          <w:lang w:eastAsia="zh-CN"/>
        </w:rPr>
        <w:t>，达成</w:t>
      </w:r>
      <w:r w:rsidR="00066EE6">
        <w:rPr>
          <w:rFonts w:hint="eastAsia"/>
          <w:lang w:eastAsia="zh-CN"/>
        </w:rPr>
        <w:t>协商一致</w:t>
      </w:r>
      <w:r w:rsidR="000E3BDB" w:rsidRPr="000E3BDB">
        <w:rPr>
          <w:rFonts w:hint="eastAsia"/>
          <w:lang w:eastAsia="zh-CN"/>
        </w:rPr>
        <w:t>。</w:t>
      </w:r>
    </w:p>
    <w:p w14:paraId="6D573FEF" w14:textId="1A75F2CB" w:rsidR="00C20976" w:rsidRDefault="00C20976" w:rsidP="004A4F97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0E3BDB" w:rsidRPr="000E3BDB">
        <w:rPr>
          <w:rFonts w:hint="eastAsia"/>
          <w:lang w:eastAsia="zh-CN"/>
        </w:rPr>
        <w:t>通过引用相关条约或决议，确保法律一致性。</w:t>
      </w:r>
    </w:p>
    <w:p w14:paraId="53418E0B" w14:textId="3AB1352A" w:rsidR="00C20976" w:rsidRDefault="00C20976" w:rsidP="004A4F97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0E3BDB" w:rsidRPr="000E3BDB">
        <w:rPr>
          <w:rFonts w:hint="eastAsia"/>
          <w:lang w:eastAsia="zh-CN"/>
        </w:rPr>
        <w:t>通过</w:t>
      </w:r>
      <w:r w:rsidR="00066EE6">
        <w:rPr>
          <w:rFonts w:hint="eastAsia"/>
          <w:lang w:eastAsia="zh-CN"/>
        </w:rPr>
        <w:t>澄清</w:t>
      </w:r>
      <w:r w:rsidR="000E3BDB" w:rsidRPr="000E3BDB">
        <w:rPr>
          <w:rFonts w:hint="eastAsia"/>
          <w:lang w:eastAsia="zh-CN"/>
        </w:rPr>
        <w:t>范围和目标，协助解读和</w:t>
      </w:r>
      <w:r w:rsidR="000E3BDB">
        <w:rPr>
          <w:rFonts w:hint="eastAsia"/>
          <w:lang w:eastAsia="zh-CN"/>
        </w:rPr>
        <w:t>实施</w:t>
      </w:r>
      <w:r w:rsidR="000E3BDB" w:rsidRPr="000E3BDB">
        <w:rPr>
          <w:rFonts w:hint="eastAsia"/>
          <w:lang w:eastAsia="zh-CN"/>
        </w:rPr>
        <w:t>。</w:t>
      </w:r>
    </w:p>
    <w:p w14:paraId="1E4AE856" w14:textId="127552F8" w:rsidR="000E3BDB" w:rsidRPr="00E551CA" w:rsidRDefault="000E3BDB" w:rsidP="00E24D59">
      <w:pPr>
        <w:rPr>
          <w:b/>
          <w:bCs/>
          <w:lang w:eastAsia="zh-CN"/>
        </w:rPr>
      </w:pPr>
      <w:r w:rsidRPr="00E551CA">
        <w:rPr>
          <w:rFonts w:hint="eastAsia"/>
          <w:b/>
          <w:bCs/>
          <w:lang w:eastAsia="zh-CN"/>
        </w:rPr>
        <w:t>提案</w:t>
      </w:r>
    </w:p>
    <w:p w14:paraId="301696C9" w14:textId="64F21C20" w:rsidR="000E3BDB" w:rsidRDefault="000E3BDB" w:rsidP="003F662A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鉴于上述情况，现提出以下建议：</w:t>
      </w:r>
    </w:p>
    <w:p w14:paraId="74F1A694" w14:textId="3B516460" w:rsidR="000E3BDB" w:rsidRDefault="000E3BDB" w:rsidP="004A4F97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理事会应</w:t>
      </w:r>
      <w:r w:rsidR="00E5144B">
        <w:rPr>
          <w:rFonts w:hint="eastAsia"/>
          <w:lang w:eastAsia="zh-CN"/>
        </w:rPr>
        <w:t>将</w:t>
      </w:r>
      <w:r>
        <w:rPr>
          <w:rFonts w:hint="eastAsia"/>
          <w:lang w:eastAsia="zh-CN"/>
        </w:rPr>
        <w:t>拟议导则</w:t>
      </w:r>
      <w:r w:rsidR="00E5144B">
        <w:rPr>
          <w:rFonts w:hint="eastAsia"/>
          <w:lang w:eastAsia="zh-CN"/>
        </w:rPr>
        <w:t>记录在案</w:t>
      </w:r>
      <w:r>
        <w:rPr>
          <w:rFonts w:hint="eastAsia"/>
          <w:lang w:eastAsia="zh-CN"/>
        </w:rPr>
        <w:t>。</w:t>
      </w:r>
    </w:p>
    <w:p w14:paraId="4FA40F68" w14:textId="5C3B1750" w:rsidR="000E3BDB" w:rsidRPr="00323785" w:rsidRDefault="000E3BDB" w:rsidP="004A4F97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如需制定</w:t>
      </w:r>
      <w:r w:rsidR="00E5144B">
        <w:rPr>
          <w:rFonts w:hint="eastAsia"/>
          <w:lang w:eastAsia="zh-CN"/>
        </w:rPr>
        <w:t>统一</w:t>
      </w:r>
      <w:r w:rsidRPr="000E3BDB">
        <w:rPr>
          <w:rFonts w:hint="eastAsia"/>
          <w:lang w:eastAsia="zh-CN"/>
        </w:rPr>
        <w:t>协调大会</w:t>
      </w:r>
      <w:r w:rsidR="00E5144B">
        <w:rPr>
          <w:rFonts w:hint="eastAsia"/>
          <w:lang w:eastAsia="zh-CN"/>
        </w:rPr>
        <w:t>各项</w:t>
      </w:r>
      <w:r w:rsidRPr="000E3BDB">
        <w:rPr>
          <w:rFonts w:hint="eastAsia"/>
          <w:lang w:eastAsia="zh-CN"/>
        </w:rPr>
        <w:t>决议的</w:t>
      </w:r>
      <w:r>
        <w:rPr>
          <w:rFonts w:hint="eastAsia"/>
          <w:lang w:eastAsia="zh-CN"/>
        </w:rPr>
        <w:t>导则，</w:t>
      </w:r>
      <w:r w:rsidR="003F662A">
        <w:rPr>
          <w:rFonts w:hint="eastAsia"/>
          <w:lang w:eastAsia="zh-CN"/>
        </w:rPr>
        <w:t>其</w:t>
      </w:r>
      <w:r w:rsidRPr="000E3BDB">
        <w:rPr>
          <w:rFonts w:hint="eastAsia"/>
          <w:lang w:eastAsia="zh-CN"/>
        </w:rPr>
        <w:t>应保持</w:t>
      </w:r>
      <w:r>
        <w:rPr>
          <w:rFonts w:hint="eastAsia"/>
          <w:lang w:eastAsia="zh-CN"/>
        </w:rPr>
        <w:t>非约束性</w:t>
      </w:r>
      <w:r w:rsidRPr="000E3BDB">
        <w:rPr>
          <w:rFonts w:hint="eastAsia"/>
          <w:lang w:eastAsia="zh-CN"/>
        </w:rPr>
        <w:t>，并</w:t>
      </w:r>
      <w:r>
        <w:rPr>
          <w:rFonts w:hint="eastAsia"/>
          <w:lang w:eastAsia="zh-CN"/>
        </w:rPr>
        <w:t>仅</w:t>
      </w:r>
      <w:r w:rsidR="003F662A">
        <w:rPr>
          <w:rFonts w:hint="eastAsia"/>
          <w:lang w:eastAsia="zh-CN"/>
        </w:rPr>
        <w:t>作为参考工具</w:t>
      </w:r>
      <w:r w:rsidRPr="000E3BDB">
        <w:rPr>
          <w:rFonts w:hint="eastAsia"/>
          <w:lang w:eastAsia="zh-CN"/>
        </w:rPr>
        <w:t>。此外，导则不应限制成员国向全权代表大会提出修正</w:t>
      </w:r>
      <w:r w:rsidR="003F662A">
        <w:rPr>
          <w:rFonts w:hint="eastAsia"/>
          <w:lang w:eastAsia="zh-CN"/>
        </w:rPr>
        <w:t>和修订</w:t>
      </w:r>
      <w:r w:rsidRPr="000E3BDB">
        <w:rPr>
          <w:rFonts w:hint="eastAsia"/>
          <w:lang w:eastAsia="zh-CN"/>
        </w:rPr>
        <w:t>或新决议和决定。</w:t>
      </w:r>
    </w:p>
    <w:p w14:paraId="0CFDB7C4" w14:textId="77777777" w:rsidR="00E323D0" w:rsidRDefault="00E323D0">
      <w:pPr>
        <w:pStyle w:val="Reasons"/>
        <w:rPr>
          <w:lang w:eastAsia="zh-CN"/>
        </w:rPr>
      </w:pPr>
    </w:p>
    <w:p w14:paraId="7C7F8E6D" w14:textId="77777777" w:rsidR="00E323D0" w:rsidRPr="00E323D0" w:rsidRDefault="00E323D0" w:rsidP="00E323D0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E323D0" w:rsidRPr="00E323D0" w:rsidSect="00E24D59">
      <w:footerReference w:type="default" r:id="rId9"/>
      <w:headerReference w:type="first" r:id="rId10"/>
      <w:footerReference w:type="first" r:id="rId11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5F557" w14:textId="77777777" w:rsidR="00695050" w:rsidRDefault="00695050">
      <w:r>
        <w:separator/>
      </w:r>
    </w:p>
  </w:endnote>
  <w:endnote w:type="continuationSeparator" w:id="0">
    <w:p w14:paraId="320DEEE0" w14:textId="77777777" w:rsidR="00695050" w:rsidRDefault="00695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Segoe Print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13406" w:rsidRPr="00A13406" w14:paraId="4F6360E7" w14:textId="77777777">
      <w:trPr>
        <w:jc w:val="center"/>
      </w:trPr>
      <w:tc>
        <w:tcPr>
          <w:tcW w:w="1803" w:type="dxa"/>
          <w:vAlign w:val="center"/>
        </w:tcPr>
        <w:p w14:paraId="522E0DEA" w14:textId="78821E04" w:rsidR="00E24D59" w:rsidRPr="004A4F97" w:rsidRDefault="00A13406" w:rsidP="00E24D59">
          <w:pPr>
            <w:pStyle w:val="Header"/>
            <w:jc w:val="left"/>
            <w:rPr>
              <w:rFonts w:eastAsiaTheme="minorEastAsia"/>
              <w:noProof/>
              <w:color w:val="808080" w:themeColor="background1" w:themeShade="80"/>
              <w:lang w:eastAsia="zh-CN"/>
            </w:rPr>
          </w:pPr>
          <w:r w:rsidRPr="00A13406">
            <w:rPr>
              <w:noProof/>
              <w:color w:val="808080" w:themeColor="background1" w:themeShade="80"/>
            </w:rPr>
            <w:t>gDoc</w:t>
          </w:r>
          <w:r w:rsidR="004A4F97">
            <w:rPr>
              <w:rFonts w:eastAsiaTheme="minorEastAsia" w:hint="eastAsia"/>
              <w:noProof/>
              <w:color w:val="808080" w:themeColor="background1" w:themeShade="80"/>
              <w:lang w:eastAsia="zh-CN"/>
            </w:rPr>
            <w:t xml:space="preserve"> 2501368</w:t>
          </w:r>
        </w:p>
      </w:tc>
      <w:tc>
        <w:tcPr>
          <w:tcW w:w="8261" w:type="dxa"/>
        </w:tcPr>
        <w:p w14:paraId="4BD8989B" w14:textId="5188A27A" w:rsidR="00E24D59" w:rsidRPr="00A13406" w:rsidRDefault="00E24D59" w:rsidP="00983878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color w:val="808080" w:themeColor="background1" w:themeShade="80"/>
              <w:szCs w:val="18"/>
            </w:rPr>
          </w:pPr>
          <w:r w:rsidRPr="00A13406">
            <w:rPr>
              <w:bCs/>
              <w:color w:val="808080" w:themeColor="background1" w:themeShade="80"/>
            </w:rPr>
            <w:tab/>
            <w:t>C2</w:t>
          </w:r>
          <w:r w:rsidR="0072138B" w:rsidRPr="00A13406">
            <w:rPr>
              <w:bCs/>
              <w:color w:val="808080" w:themeColor="background1" w:themeShade="80"/>
            </w:rPr>
            <w:t>5</w:t>
          </w:r>
          <w:r w:rsidRPr="00A13406">
            <w:rPr>
              <w:bCs/>
              <w:color w:val="808080" w:themeColor="background1" w:themeShade="80"/>
            </w:rPr>
            <w:t>/</w:t>
          </w:r>
          <w:r w:rsidR="004A4F97">
            <w:rPr>
              <w:rFonts w:eastAsiaTheme="minorEastAsia" w:hint="eastAsia"/>
              <w:bCs/>
              <w:color w:val="808080" w:themeColor="background1" w:themeShade="80"/>
              <w:lang w:eastAsia="zh-CN"/>
            </w:rPr>
            <w:t>91</w:t>
          </w:r>
          <w:r w:rsidRPr="00A13406">
            <w:rPr>
              <w:bCs/>
              <w:color w:val="808080" w:themeColor="background1" w:themeShade="80"/>
            </w:rPr>
            <w:t>-C</w:t>
          </w:r>
          <w:r w:rsidRPr="00A13406">
            <w:rPr>
              <w:bCs/>
              <w:color w:val="808080" w:themeColor="background1" w:themeShade="80"/>
            </w:rPr>
            <w:tab/>
          </w:r>
          <w:r w:rsidRPr="00A13406">
            <w:rPr>
              <w:color w:val="808080" w:themeColor="background1" w:themeShade="80"/>
            </w:rPr>
            <w:fldChar w:fldCharType="begin"/>
          </w:r>
          <w:r w:rsidRPr="00A13406">
            <w:rPr>
              <w:color w:val="808080" w:themeColor="background1" w:themeShade="80"/>
            </w:rPr>
            <w:instrText>PAGE</w:instrText>
          </w:r>
          <w:r w:rsidRPr="00A13406">
            <w:rPr>
              <w:color w:val="808080" w:themeColor="background1" w:themeShade="80"/>
            </w:rPr>
            <w:fldChar w:fldCharType="separate"/>
          </w:r>
          <w:r w:rsidRPr="00A13406">
            <w:rPr>
              <w:color w:val="808080" w:themeColor="background1" w:themeShade="80"/>
            </w:rPr>
            <w:t>1</w:t>
          </w:r>
          <w:r w:rsidRPr="00A13406">
            <w:rPr>
              <w:noProof/>
              <w:color w:val="808080" w:themeColor="background1" w:themeShade="80"/>
            </w:rPr>
            <w:fldChar w:fldCharType="end"/>
          </w:r>
        </w:p>
      </w:tc>
    </w:tr>
  </w:tbl>
  <w:p w14:paraId="32895BA8" w14:textId="77777777" w:rsidR="00B40A53" w:rsidRPr="00E24D59" w:rsidRDefault="00B40A53" w:rsidP="00E24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13406" w:rsidRPr="00A13406" w14:paraId="17414CF7" w14:textId="77777777">
      <w:trPr>
        <w:jc w:val="center"/>
      </w:trPr>
      <w:tc>
        <w:tcPr>
          <w:tcW w:w="1803" w:type="dxa"/>
          <w:vAlign w:val="center"/>
        </w:tcPr>
        <w:p w14:paraId="78C4E71F" w14:textId="77777777" w:rsidR="00E24D59" w:rsidRPr="00E34C96" w:rsidRDefault="00E34C96" w:rsidP="00E24D59">
          <w:pPr>
            <w:pStyle w:val="Header"/>
            <w:jc w:val="left"/>
            <w:rPr>
              <w:noProof/>
            </w:rPr>
          </w:pPr>
          <w:hyperlink r:id="rId1" w:history="1">
            <w:r w:rsidRPr="00E34C96">
              <w:rPr>
                <w:rStyle w:val="Hyperlink"/>
              </w:rPr>
              <w:t>council.itu.int/2025</w:t>
            </w:r>
          </w:hyperlink>
        </w:p>
      </w:tc>
      <w:tc>
        <w:tcPr>
          <w:tcW w:w="8261" w:type="dxa"/>
        </w:tcPr>
        <w:p w14:paraId="34E383BA" w14:textId="57E09500" w:rsidR="00E24D59" w:rsidRPr="00A13406" w:rsidRDefault="00E24D59" w:rsidP="00983878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color w:val="808080" w:themeColor="background1" w:themeShade="80"/>
              <w:szCs w:val="18"/>
            </w:rPr>
          </w:pPr>
          <w:r w:rsidRPr="003F086E">
            <w:rPr>
              <w:bCs/>
              <w:color w:val="808080" w:themeColor="background1" w:themeShade="80"/>
            </w:rPr>
            <w:tab/>
            <w:t>C2</w:t>
          </w:r>
          <w:r w:rsidR="0072138B" w:rsidRPr="003F086E">
            <w:rPr>
              <w:bCs/>
              <w:color w:val="808080" w:themeColor="background1" w:themeShade="80"/>
            </w:rPr>
            <w:t>5</w:t>
          </w:r>
          <w:r w:rsidRPr="003F086E">
            <w:rPr>
              <w:bCs/>
              <w:color w:val="808080" w:themeColor="background1" w:themeShade="80"/>
            </w:rPr>
            <w:t>/</w:t>
          </w:r>
          <w:r w:rsidR="007D085F">
            <w:rPr>
              <w:rFonts w:eastAsiaTheme="minorEastAsia" w:hint="eastAsia"/>
              <w:bCs/>
              <w:color w:val="808080" w:themeColor="background1" w:themeShade="80"/>
              <w:lang w:eastAsia="zh-CN"/>
            </w:rPr>
            <w:t>91</w:t>
          </w:r>
          <w:r w:rsidRPr="003F086E">
            <w:rPr>
              <w:bCs/>
              <w:color w:val="808080" w:themeColor="background1" w:themeShade="80"/>
            </w:rPr>
            <w:t>-C</w:t>
          </w:r>
          <w:r w:rsidRPr="003F086E">
            <w:rPr>
              <w:bCs/>
              <w:color w:val="808080" w:themeColor="background1" w:themeShade="80"/>
            </w:rPr>
            <w:tab/>
          </w:r>
          <w:r w:rsidRPr="003F086E">
            <w:rPr>
              <w:color w:val="808080" w:themeColor="background1" w:themeShade="80"/>
            </w:rPr>
            <w:fldChar w:fldCharType="begin"/>
          </w:r>
          <w:r w:rsidRPr="003F086E">
            <w:rPr>
              <w:color w:val="808080" w:themeColor="background1" w:themeShade="80"/>
            </w:rPr>
            <w:instrText>PAGE</w:instrText>
          </w:r>
          <w:r w:rsidRPr="003F086E">
            <w:rPr>
              <w:color w:val="808080" w:themeColor="background1" w:themeShade="80"/>
            </w:rPr>
            <w:fldChar w:fldCharType="separate"/>
          </w:r>
          <w:r w:rsidRPr="003F086E">
            <w:rPr>
              <w:color w:val="808080" w:themeColor="background1" w:themeShade="80"/>
            </w:rPr>
            <w:t>1</w:t>
          </w:r>
          <w:r w:rsidRPr="003F086E">
            <w:rPr>
              <w:noProof/>
              <w:color w:val="808080" w:themeColor="background1" w:themeShade="80"/>
            </w:rPr>
            <w:fldChar w:fldCharType="end"/>
          </w:r>
        </w:p>
      </w:tc>
    </w:tr>
  </w:tbl>
  <w:p w14:paraId="3F3263C4" w14:textId="77777777" w:rsidR="00AC516F" w:rsidRPr="00E24D59" w:rsidRDefault="00AC516F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6FE77" w14:textId="77777777" w:rsidR="00695050" w:rsidRDefault="00695050">
      <w:r>
        <w:t>____________________</w:t>
      </w:r>
    </w:p>
  </w:footnote>
  <w:footnote w:type="continuationSeparator" w:id="0">
    <w:p w14:paraId="0E852F2C" w14:textId="77777777" w:rsidR="00695050" w:rsidRDefault="00695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2"/>
      <w:gridCol w:w="5068"/>
    </w:tblGrid>
    <w:tr w:rsidR="00E24D59" w:rsidRPr="00784011" w14:paraId="628B4239" w14:textId="77777777">
      <w:trPr>
        <w:trHeight w:val="1104"/>
        <w:jc w:val="center"/>
      </w:trPr>
      <w:tc>
        <w:tcPr>
          <w:tcW w:w="4390" w:type="dxa"/>
          <w:vAlign w:val="center"/>
        </w:tcPr>
        <w:p w14:paraId="13803083" w14:textId="77777777" w:rsidR="00E24D59" w:rsidRPr="009621F8" w:rsidRDefault="00A13406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4CBA8072" wp14:editId="29DE7C98">
                <wp:extent cx="3007478" cy="575945"/>
                <wp:effectExtent l="0" t="0" r="0" b="0"/>
                <wp:docPr id="1695723161" name="Picture 1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5723161" name="Picture 1" descr="A black background with blue letters and numbers&#10;&#10;AI-generated content may be incorrect.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8084"/>
                        <a:stretch/>
                      </pic:blipFill>
                      <pic:spPr bwMode="auto">
                        <a:xfrm>
                          <a:off x="0" y="0"/>
                          <a:ext cx="3007765" cy="57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37D1CCEF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6AFC146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F9642BE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7"/>
  <w:p w14:paraId="13785E53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5E8B44" wp14:editId="61118472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340AA3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0"/>
  </w:num>
  <w:num w:numId="2" w16cid:durableId="501241818">
    <w:abstractNumId w:val="2"/>
  </w:num>
  <w:num w:numId="3" w16cid:durableId="371539808">
    <w:abstractNumId w:val="3"/>
  </w:num>
  <w:num w:numId="4" w16cid:durableId="1525828948">
    <w:abstractNumId w:val="4"/>
  </w:num>
  <w:num w:numId="5" w16cid:durableId="2033219779">
    <w:abstractNumId w:val="6"/>
  </w:num>
  <w:num w:numId="6" w16cid:durableId="349645790">
    <w:abstractNumId w:val="5"/>
  </w:num>
  <w:num w:numId="7" w16cid:durableId="1451586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E9"/>
    <w:rsid w:val="00001B77"/>
    <w:rsid w:val="0000517A"/>
    <w:rsid w:val="00031E72"/>
    <w:rsid w:val="000404D2"/>
    <w:rsid w:val="00055EFA"/>
    <w:rsid w:val="000646BD"/>
    <w:rsid w:val="00066EE6"/>
    <w:rsid w:val="00080163"/>
    <w:rsid w:val="000853C0"/>
    <w:rsid w:val="00093DD9"/>
    <w:rsid w:val="0009409E"/>
    <w:rsid w:val="000A1C21"/>
    <w:rsid w:val="000C0BC5"/>
    <w:rsid w:val="000D15EA"/>
    <w:rsid w:val="000D7012"/>
    <w:rsid w:val="000E3BDB"/>
    <w:rsid w:val="000E7390"/>
    <w:rsid w:val="00100D84"/>
    <w:rsid w:val="001113B9"/>
    <w:rsid w:val="00124C9D"/>
    <w:rsid w:val="00126781"/>
    <w:rsid w:val="001305DE"/>
    <w:rsid w:val="0015333E"/>
    <w:rsid w:val="00157773"/>
    <w:rsid w:val="0016351A"/>
    <w:rsid w:val="001713E4"/>
    <w:rsid w:val="0018251A"/>
    <w:rsid w:val="00190272"/>
    <w:rsid w:val="00193244"/>
    <w:rsid w:val="00195C6C"/>
    <w:rsid w:val="00195FED"/>
    <w:rsid w:val="001A4BD6"/>
    <w:rsid w:val="001B6E2B"/>
    <w:rsid w:val="001C07D3"/>
    <w:rsid w:val="001D5A18"/>
    <w:rsid w:val="001F560F"/>
    <w:rsid w:val="00215132"/>
    <w:rsid w:val="00224449"/>
    <w:rsid w:val="00280EB8"/>
    <w:rsid w:val="002A6670"/>
    <w:rsid w:val="002C3F32"/>
    <w:rsid w:val="00303502"/>
    <w:rsid w:val="00323785"/>
    <w:rsid w:val="00323D04"/>
    <w:rsid w:val="00325C25"/>
    <w:rsid w:val="00326DEF"/>
    <w:rsid w:val="00372C8F"/>
    <w:rsid w:val="00380ECE"/>
    <w:rsid w:val="00393DDF"/>
    <w:rsid w:val="00397F55"/>
    <w:rsid w:val="003A74D9"/>
    <w:rsid w:val="003B4454"/>
    <w:rsid w:val="003C21E6"/>
    <w:rsid w:val="003C2E37"/>
    <w:rsid w:val="003F086E"/>
    <w:rsid w:val="003F1415"/>
    <w:rsid w:val="003F662A"/>
    <w:rsid w:val="0040144C"/>
    <w:rsid w:val="00403EB7"/>
    <w:rsid w:val="004178E6"/>
    <w:rsid w:val="00430BF0"/>
    <w:rsid w:val="00453B1F"/>
    <w:rsid w:val="00457BC3"/>
    <w:rsid w:val="004672E6"/>
    <w:rsid w:val="00473AA8"/>
    <w:rsid w:val="00474ED1"/>
    <w:rsid w:val="00477D57"/>
    <w:rsid w:val="004844A3"/>
    <w:rsid w:val="00491BA9"/>
    <w:rsid w:val="00493085"/>
    <w:rsid w:val="004A36EC"/>
    <w:rsid w:val="004A4F97"/>
    <w:rsid w:val="004D163F"/>
    <w:rsid w:val="004E4BFF"/>
    <w:rsid w:val="004E53E0"/>
    <w:rsid w:val="004F2598"/>
    <w:rsid w:val="00510C83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30DD5"/>
    <w:rsid w:val="00637584"/>
    <w:rsid w:val="00645D45"/>
    <w:rsid w:val="00654257"/>
    <w:rsid w:val="0065435A"/>
    <w:rsid w:val="00670D8A"/>
    <w:rsid w:val="00695050"/>
    <w:rsid w:val="006A2DD3"/>
    <w:rsid w:val="006A5113"/>
    <w:rsid w:val="006A5AF8"/>
    <w:rsid w:val="006C36CD"/>
    <w:rsid w:val="00700D1F"/>
    <w:rsid w:val="007205CB"/>
    <w:rsid w:val="0072138B"/>
    <w:rsid w:val="00726073"/>
    <w:rsid w:val="00734FE8"/>
    <w:rsid w:val="007360CE"/>
    <w:rsid w:val="0077110E"/>
    <w:rsid w:val="00772315"/>
    <w:rsid w:val="00775157"/>
    <w:rsid w:val="007813AE"/>
    <w:rsid w:val="007854C3"/>
    <w:rsid w:val="007A37DB"/>
    <w:rsid w:val="007A3EF6"/>
    <w:rsid w:val="007D085F"/>
    <w:rsid w:val="007E189D"/>
    <w:rsid w:val="007F0210"/>
    <w:rsid w:val="007F4660"/>
    <w:rsid w:val="00806E3F"/>
    <w:rsid w:val="00811259"/>
    <w:rsid w:val="00813AA2"/>
    <w:rsid w:val="008173A3"/>
    <w:rsid w:val="00837FC6"/>
    <w:rsid w:val="008418F5"/>
    <w:rsid w:val="0086059C"/>
    <w:rsid w:val="00864589"/>
    <w:rsid w:val="00874C82"/>
    <w:rsid w:val="00890AFB"/>
    <w:rsid w:val="00890FC4"/>
    <w:rsid w:val="00895905"/>
    <w:rsid w:val="008F64AD"/>
    <w:rsid w:val="00911230"/>
    <w:rsid w:val="00911867"/>
    <w:rsid w:val="009164A9"/>
    <w:rsid w:val="009258CB"/>
    <w:rsid w:val="0093362E"/>
    <w:rsid w:val="00944563"/>
    <w:rsid w:val="00953160"/>
    <w:rsid w:val="00956144"/>
    <w:rsid w:val="009625D8"/>
    <w:rsid w:val="00983878"/>
    <w:rsid w:val="0098459B"/>
    <w:rsid w:val="00997185"/>
    <w:rsid w:val="009C2458"/>
    <w:rsid w:val="009C4A7B"/>
    <w:rsid w:val="009C6123"/>
    <w:rsid w:val="009F1E3E"/>
    <w:rsid w:val="00A1213C"/>
    <w:rsid w:val="00A13406"/>
    <w:rsid w:val="00A272FF"/>
    <w:rsid w:val="00A27F55"/>
    <w:rsid w:val="00A41B52"/>
    <w:rsid w:val="00A5354B"/>
    <w:rsid w:val="00A71B57"/>
    <w:rsid w:val="00AA3AF7"/>
    <w:rsid w:val="00AB42C1"/>
    <w:rsid w:val="00AC4328"/>
    <w:rsid w:val="00AC516F"/>
    <w:rsid w:val="00AD707A"/>
    <w:rsid w:val="00AE195F"/>
    <w:rsid w:val="00AE2926"/>
    <w:rsid w:val="00B0184B"/>
    <w:rsid w:val="00B035CD"/>
    <w:rsid w:val="00B068B8"/>
    <w:rsid w:val="00B0769D"/>
    <w:rsid w:val="00B135AF"/>
    <w:rsid w:val="00B217F8"/>
    <w:rsid w:val="00B218E9"/>
    <w:rsid w:val="00B332EA"/>
    <w:rsid w:val="00B40A53"/>
    <w:rsid w:val="00B45365"/>
    <w:rsid w:val="00B46A65"/>
    <w:rsid w:val="00B60184"/>
    <w:rsid w:val="00B62D20"/>
    <w:rsid w:val="00B81E75"/>
    <w:rsid w:val="00B93453"/>
    <w:rsid w:val="00B9445B"/>
    <w:rsid w:val="00BD0954"/>
    <w:rsid w:val="00BD1A5A"/>
    <w:rsid w:val="00BD7A9B"/>
    <w:rsid w:val="00BD7BE1"/>
    <w:rsid w:val="00BF416B"/>
    <w:rsid w:val="00C1320B"/>
    <w:rsid w:val="00C20976"/>
    <w:rsid w:val="00C45EB2"/>
    <w:rsid w:val="00C64E4E"/>
    <w:rsid w:val="00C66E64"/>
    <w:rsid w:val="00C72623"/>
    <w:rsid w:val="00C761A0"/>
    <w:rsid w:val="00C85F7E"/>
    <w:rsid w:val="00C90D53"/>
    <w:rsid w:val="00C93AED"/>
    <w:rsid w:val="00CA0B2E"/>
    <w:rsid w:val="00CA6EF7"/>
    <w:rsid w:val="00CD47F0"/>
    <w:rsid w:val="00CD5566"/>
    <w:rsid w:val="00CD64D7"/>
    <w:rsid w:val="00CE299D"/>
    <w:rsid w:val="00CE6F22"/>
    <w:rsid w:val="00CF41F6"/>
    <w:rsid w:val="00CF7D3E"/>
    <w:rsid w:val="00D023B3"/>
    <w:rsid w:val="00D02B4E"/>
    <w:rsid w:val="00D21F11"/>
    <w:rsid w:val="00D36817"/>
    <w:rsid w:val="00D453EE"/>
    <w:rsid w:val="00D5666C"/>
    <w:rsid w:val="00D62844"/>
    <w:rsid w:val="00D666BC"/>
    <w:rsid w:val="00D83542"/>
    <w:rsid w:val="00D92F45"/>
    <w:rsid w:val="00D94637"/>
    <w:rsid w:val="00D9725C"/>
    <w:rsid w:val="00DA0E66"/>
    <w:rsid w:val="00DA7006"/>
    <w:rsid w:val="00DB3621"/>
    <w:rsid w:val="00DC6427"/>
    <w:rsid w:val="00DD62F5"/>
    <w:rsid w:val="00DD66A1"/>
    <w:rsid w:val="00DE196D"/>
    <w:rsid w:val="00DF6B49"/>
    <w:rsid w:val="00E067C5"/>
    <w:rsid w:val="00E24D59"/>
    <w:rsid w:val="00E265BF"/>
    <w:rsid w:val="00E323D0"/>
    <w:rsid w:val="00E34C96"/>
    <w:rsid w:val="00E378D8"/>
    <w:rsid w:val="00E43A12"/>
    <w:rsid w:val="00E45C97"/>
    <w:rsid w:val="00E51168"/>
    <w:rsid w:val="00E5144B"/>
    <w:rsid w:val="00E551CA"/>
    <w:rsid w:val="00E565FD"/>
    <w:rsid w:val="00E67C67"/>
    <w:rsid w:val="00E77476"/>
    <w:rsid w:val="00E8228B"/>
    <w:rsid w:val="00E97582"/>
    <w:rsid w:val="00EC602E"/>
    <w:rsid w:val="00EE5706"/>
    <w:rsid w:val="00EF373D"/>
    <w:rsid w:val="00F11595"/>
    <w:rsid w:val="00F13BC9"/>
    <w:rsid w:val="00F357B2"/>
    <w:rsid w:val="00F36556"/>
    <w:rsid w:val="00F6736A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A260973"/>
  <w15:docId w15:val="{2D645A98-B9B0-488A-953E-C0F6040A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E97582"/>
    <w:rPr>
      <w:rFonts w:eastAsia="Times New Roman"/>
      <w:noProof/>
      <w:color w:val="4F81BD" w:themeColor="accent1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B218E9"/>
    <w:pPr>
      <w:keepNext/>
      <w:keepLines/>
      <w:spacing w:before="160"/>
      <w:ind w:left="794"/>
    </w:pPr>
    <w:rPr>
      <w:rFonts w:eastAsia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B218E9"/>
    <w:rPr>
      <w:rFonts w:ascii="Calibri" w:eastAsia="STKaiti" w:hAnsi="Calibr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72138B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E34C9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844A3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5-CL-C-0029/en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C0406-E55D-43D1-BF32-F7A3961DCB5D}"/>
      </w:docPartPr>
      <w:docPartBody>
        <w:p w:rsidR="00493E5B" w:rsidRDefault="003E7AFF">
          <w:r w:rsidRPr="008002B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Segoe Print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D99"/>
    <w:rsid w:val="001113B9"/>
    <w:rsid w:val="00297688"/>
    <w:rsid w:val="00323D04"/>
    <w:rsid w:val="003E7AFF"/>
    <w:rsid w:val="00457BC3"/>
    <w:rsid w:val="00493E5B"/>
    <w:rsid w:val="004E53E0"/>
    <w:rsid w:val="007854C3"/>
    <w:rsid w:val="007F4660"/>
    <w:rsid w:val="00956144"/>
    <w:rsid w:val="00AD707A"/>
    <w:rsid w:val="00C24BFC"/>
    <w:rsid w:val="00C90468"/>
    <w:rsid w:val="00F3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956</Words>
  <Characters>1028</Characters>
  <Application>Microsoft Office Word</Application>
  <DocSecurity>0</DocSecurity>
  <Lines>56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1040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Input on the guidelines for harmonizing Plenipotentiary Conference resolutions and decisions</dc:title>
  <dc:subject>ITU Council 2025</dc:subject>
  <cp:keywords>C2025, C25, Council-25</cp:keywords>
  <dc:description/>
  <cp:lastPrinted>2015-02-24T13:23:00Z</cp:lastPrinted>
  <dcterms:created xsi:type="dcterms:W3CDTF">2025-06-19T08:35:00Z</dcterms:created>
  <dcterms:modified xsi:type="dcterms:W3CDTF">2025-06-19T08:35:00Z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  <property fmtid="{D5CDD505-2E9C-101B-9397-08002B2CF9AE}" pid="8" name="GrammarlyDocumentId">
    <vt:lpwstr>c6e9fb3b98c60be3ceca001f06bedd27e80c23e89b99aa0a1c899b80b9af3e8b</vt:lpwstr>
  </property>
</Properties>
</file>