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14:paraId="15EF5ABF" w14:textId="77777777" w:rsidTr="00F363FE">
        <w:tc>
          <w:tcPr>
            <w:tcW w:w="6512" w:type="dxa"/>
          </w:tcPr>
          <w:p w14:paraId="4046FC53" w14:textId="207EAFA2" w:rsidR="007B0AA0" w:rsidRPr="007B0AA0" w:rsidRDefault="007B0AA0" w:rsidP="00F363FE">
            <w:pPr>
              <w:spacing w:before="60" w:after="60" w:line="260" w:lineRule="exact"/>
              <w:rPr>
                <w:b/>
                <w:bCs/>
                <w:lang w:bidi="ar-EG"/>
              </w:rPr>
            </w:pPr>
            <w:r w:rsidRPr="007B0AA0">
              <w:rPr>
                <w:rFonts w:hint="cs"/>
                <w:b/>
                <w:bCs/>
                <w:rtl/>
                <w:lang w:bidi="ar-EG"/>
              </w:rPr>
              <w:t>بند جدول الأعمال:</w:t>
            </w:r>
            <w:r w:rsidR="006505B6">
              <w:rPr>
                <w:rFonts w:hint="cs"/>
                <w:b/>
                <w:bCs/>
                <w:rtl/>
                <w:lang w:bidi="ar-EG"/>
              </w:rPr>
              <w:t xml:space="preserve"> </w:t>
            </w:r>
            <w:r w:rsidR="006505B6">
              <w:rPr>
                <w:b/>
                <w:bCs/>
                <w:lang w:bidi="ar-EG"/>
              </w:rPr>
              <w:t>PL</w:t>
            </w:r>
            <w:r w:rsidR="00CE0720">
              <w:rPr>
                <w:b/>
                <w:bCs/>
                <w:lang w:bidi="ar-EG"/>
              </w:rPr>
              <w:t>.</w:t>
            </w:r>
            <w:r w:rsidR="006505B6">
              <w:rPr>
                <w:b/>
                <w:bCs/>
                <w:lang w:bidi="ar-EG"/>
              </w:rPr>
              <w:t>3</w:t>
            </w:r>
          </w:p>
        </w:tc>
        <w:tc>
          <w:tcPr>
            <w:tcW w:w="3117" w:type="dxa"/>
          </w:tcPr>
          <w:p w14:paraId="7E4AC833" w14:textId="73658AE6"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6505B6">
              <w:rPr>
                <w:b/>
                <w:bCs/>
                <w:lang w:bidi="ar-EG"/>
              </w:rPr>
              <w:t>91</w:t>
            </w:r>
            <w:r w:rsidRPr="007B0AA0">
              <w:rPr>
                <w:b/>
                <w:bCs/>
                <w:lang w:bidi="ar-EG"/>
              </w:rPr>
              <w:t>-A</w:t>
            </w:r>
          </w:p>
        </w:tc>
      </w:tr>
      <w:tr w:rsidR="007B0AA0" w14:paraId="7F383CF3" w14:textId="77777777" w:rsidTr="00F363FE">
        <w:tc>
          <w:tcPr>
            <w:tcW w:w="6512" w:type="dxa"/>
          </w:tcPr>
          <w:p w14:paraId="1A78FB93" w14:textId="77777777" w:rsidR="007B0AA0" w:rsidRPr="007B0AA0" w:rsidRDefault="007B0AA0" w:rsidP="00F363FE">
            <w:pPr>
              <w:spacing w:before="60" w:after="60" w:line="260" w:lineRule="exact"/>
              <w:rPr>
                <w:b/>
                <w:bCs/>
                <w:rtl/>
                <w:lang w:bidi="ar-EG"/>
              </w:rPr>
            </w:pPr>
          </w:p>
        </w:tc>
        <w:tc>
          <w:tcPr>
            <w:tcW w:w="3117" w:type="dxa"/>
          </w:tcPr>
          <w:p w14:paraId="2E57F3FF" w14:textId="2EB0DCA7" w:rsidR="007B0AA0" w:rsidRPr="007B0AA0" w:rsidRDefault="006505B6" w:rsidP="00F363FE">
            <w:pPr>
              <w:spacing w:before="60" w:after="60" w:line="260" w:lineRule="exact"/>
              <w:rPr>
                <w:b/>
                <w:bCs/>
                <w:rtl/>
                <w:lang w:bidi="ar-EG"/>
              </w:rPr>
            </w:pPr>
            <w:r w:rsidRPr="007D1103">
              <w:rPr>
                <w:b/>
                <w:bCs/>
                <w:cs/>
                <w:lang w:bidi="ar-EG"/>
              </w:rPr>
              <w:t>‎</w:t>
            </w:r>
            <w:r w:rsidRPr="007D1103">
              <w:rPr>
                <w:b/>
                <w:bCs/>
                <w:lang w:bidi="ar-EG"/>
              </w:rPr>
              <w:t>3</w:t>
            </w:r>
            <w:r w:rsidRPr="007D1103">
              <w:rPr>
                <w:b/>
                <w:bCs/>
                <w:cs/>
                <w:lang w:bidi="ar-EG"/>
              </w:rPr>
              <w:t>‎</w:t>
            </w:r>
            <w:r w:rsidRPr="007D1103">
              <w:rPr>
                <w:b/>
                <w:bCs/>
                <w:rtl/>
                <w:lang w:bidi="ar-EG"/>
              </w:rPr>
              <w:t>‏ يونيو 2025‏</w:t>
            </w:r>
          </w:p>
        </w:tc>
      </w:tr>
      <w:tr w:rsidR="007B0AA0" w14:paraId="18A55935" w14:textId="77777777" w:rsidTr="00F363FE">
        <w:tc>
          <w:tcPr>
            <w:tcW w:w="6512" w:type="dxa"/>
          </w:tcPr>
          <w:p w14:paraId="2B8722C6" w14:textId="77777777" w:rsidR="007B0AA0" w:rsidRPr="007B0AA0" w:rsidRDefault="007B0AA0" w:rsidP="00F363FE">
            <w:pPr>
              <w:spacing w:before="60" w:after="60" w:line="260" w:lineRule="exact"/>
              <w:rPr>
                <w:b/>
                <w:bCs/>
                <w:rtl/>
                <w:lang w:bidi="ar-EG"/>
              </w:rPr>
            </w:pPr>
          </w:p>
        </w:tc>
        <w:tc>
          <w:tcPr>
            <w:tcW w:w="3117" w:type="dxa"/>
          </w:tcPr>
          <w:p w14:paraId="7A4DE05D"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33A3D044" w14:textId="77777777" w:rsidTr="00F363FE">
        <w:tc>
          <w:tcPr>
            <w:tcW w:w="6512" w:type="dxa"/>
          </w:tcPr>
          <w:p w14:paraId="1A5BFED4" w14:textId="77777777" w:rsidR="007B0AA0" w:rsidRDefault="007B0AA0" w:rsidP="00F363FE">
            <w:pPr>
              <w:spacing w:before="60" w:after="60" w:line="260" w:lineRule="exact"/>
              <w:rPr>
                <w:lang w:bidi="ar-EG"/>
              </w:rPr>
            </w:pPr>
          </w:p>
        </w:tc>
        <w:tc>
          <w:tcPr>
            <w:tcW w:w="3117" w:type="dxa"/>
          </w:tcPr>
          <w:p w14:paraId="564BC3CF" w14:textId="77777777" w:rsidR="007B0AA0" w:rsidRDefault="007B0AA0" w:rsidP="00F363FE">
            <w:pPr>
              <w:spacing w:before="60" w:after="60" w:line="260" w:lineRule="exact"/>
              <w:rPr>
                <w:rtl/>
                <w:lang w:bidi="ar-EG"/>
              </w:rPr>
            </w:pPr>
          </w:p>
        </w:tc>
      </w:tr>
      <w:tr w:rsidR="007B0AA0" w14:paraId="067EA276" w14:textId="77777777" w:rsidTr="00EE7446">
        <w:tc>
          <w:tcPr>
            <w:tcW w:w="9629" w:type="dxa"/>
            <w:gridSpan w:val="2"/>
          </w:tcPr>
          <w:p w14:paraId="2E79820B" w14:textId="2FF0BE89" w:rsidR="007B0AA0" w:rsidRDefault="006505B6" w:rsidP="006505B6">
            <w:pPr>
              <w:pStyle w:val="Source"/>
              <w:jc w:val="left"/>
              <w:rPr>
                <w:lang w:bidi="ar-EG"/>
              </w:rPr>
            </w:pPr>
            <w:r w:rsidRPr="006505B6">
              <w:rPr>
                <w:rtl/>
                <w:lang w:bidi="ar-EG"/>
              </w:rPr>
              <w:t xml:space="preserve">مساهمة من المملكة العربية السعودية، </w:t>
            </w:r>
            <w:r w:rsidRPr="006505B6">
              <w:rPr>
                <w:rFonts w:hint="cs"/>
                <w:rtl/>
                <w:lang w:bidi="ar-EG"/>
              </w:rPr>
              <w:t>و</w:t>
            </w:r>
            <w:r w:rsidRPr="006505B6">
              <w:rPr>
                <w:rtl/>
                <w:lang w:bidi="ar-EG"/>
              </w:rPr>
              <w:t xml:space="preserve">دولة الكويت، </w:t>
            </w:r>
            <w:r w:rsidRPr="006505B6">
              <w:rPr>
                <w:rFonts w:hint="cs"/>
                <w:rtl/>
                <w:lang w:bidi="ar-EG"/>
              </w:rPr>
              <w:t>و</w:t>
            </w:r>
            <w:r w:rsidRPr="006505B6">
              <w:rPr>
                <w:rtl/>
                <w:lang w:bidi="ar-EG"/>
              </w:rPr>
              <w:t xml:space="preserve">المملكة المغربية، </w:t>
            </w:r>
            <w:r w:rsidRPr="006505B6">
              <w:rPr>
                <w:rFonts w:hint="cs"/>
                <w:rtl/>
                <w:lang w:bidi="ar-EG"/>
              </w:rPr>
              <w:t>و</w:t>
            </w:r>
            <w:r w:rsidRPr="006505B6">
              <w:rPr>
                <w:rtl/>
                <w:lang w:bidi="ar-EG"/>
              </w:rPr>
              <w:t xml:space="preserve">دولة قطر، </w:t>
            </w:r>
            <w:r w:rsidRPr="006505B6">
              <w:rPr>
                <w:rFonts w:hint="cs"/>
                <w:rtl/>
                <w:lang w:bidi="ar-EG"/>
              </w:rPr>
              <w:t>و</w:t>
            </w:r>
            <w:r w:rsidRPr="006505B6">
              <w:rPr>
                <w:rtl/>
                <w:lang w:bidi="ar-EG"/>
              </w:rPr>
              <w:t xml:space="preserve">جمهورية جنوب </w:t>
            </w:r>
            <w:r w:rsidRPr="006505B6">
              <w:rPr>
                <w:rFonts w:hint="cs"/>
                <w:rtl/>
                <w:lang w:bidi="ar-EG"/>
              </w:rPr>
              <w:t>إ</w:t>
            </w:r>
            <w:r w:rsidRPr="006505B6">
              <w:rPr>
                <w:rtl/>
                <w:lang w:bidi="ar-EG"/>
              </w:rPr>
              <w:t xml:space="preserve">فريقيا، </w:t>
            </w:r>
            <w:r w:rsidRPr="006505B6">
              <w:rPr>
                <w:rFonts w:hint="cs"/>
                <w:rtl/>
                <w:lang w:bidi="ar-EG"/>
              </w:rPr>
              <w:t>و</w:t>
            </w:r>
            <w:r w:rsidRPr="006505B6">
              <w:rPr>
                <w:rtl/>
                <w:lang w:bidi="ar-EG"/>
              </w:rPr>
              <w:t>تونس</w:t>
            </w:r>
          </w:p>
        </w:tc>
      </w:tr>
      <w:tr w:rsidR="007B0AA0" w14:paraId="6D606602" w14:textId="77777777" w:rsidTr="007B0AA0">
        <w:tc>
          <w:tcPr>
            <w:tcW w:w="9629" w:type="dxa"/>
            <w:gridSpan w:val="2"/>
            <w:tcBorders>
              <w:bottom w:val="single" w:sz="4" w:space="0" w:color="auto"/>
            </w:tcBorders>
          </w:tcPr>
          <w:p w14:paraId="432B40C4" w14:textId="3B4F1C62" w:rsidR="007B0AA0" w:rsidRPr="005546CF" w:rsidRDefault="006505B6" w:rsidP="006505B6">
            <w:pPr>
              <w:pStyle w:val="Subtitle0"/>
              <w:rPr>
                <w:sz w:val="32"/>
                <w:szCs w:val="32"/>
              </w:rPr>
            </w:pPr>
            <w:r w:rsidRPr="006505B6">
              <w:rPr>
                <w:rFonts w:hint="cs"/>
                <w:sz w:val="32"/>
                <w:szCs w:val="32"/>
                <w:rtl/>
                <w:lang w:bidi="ar-SA"/>
              </w:rPr>
              <w:t>مدخلات بشأن ال</w:t>
            </w:r>
            <w:r w:rsidRPr="006505B6">
              <w:rPr>
                <w:sz w:val="32"/>
                <w:szCs w:val="32"/>
                <w:rtl/>
                <w:lang w:bidi="ar-SA"/>
              </w:rPr>
              <w:t xml:space="preserve">مبادئ </w:t>
            </w:r>
            <w:r w:rsidRPr="006505B6">
              <w:rPr>
                <w:rFonts w:hint="cs"/>
                <w:sz w:val="32"/>
                <w:szCs w:val="32"/>
                <w:rtl/>
                <w:lang w:bidi="ar-SA"/>
              </w:rPr>
              <w:t>ال</w:t>
            </w:r>
            <w:r w:rsidRPr="006505B6">
              <w:rPr>
                <w:sz w:val="32"/>
                <w:szCs w:val="32"/>
                <w:rtl/>
                <w:lang w:bidi="ar-SA"/>
              </w:rPr>
              <w:t>توجيهية لتنسيق قرارات ومقررات مؤتمر المندوبين المفوضين</w:t>
            </w:r>
          </w:p>
        </w:tc>
      </w:tr>
      <w:tr w:rsidR="007B0AA0" w14:paraId="46F625F5" w14:textId="77777777" w:rsidTr="007B0AA0">
        <w:tc>
          <w:tcPr>
            <w:tcW w:w="9629" w:type="dxa"/>
            <w:gridSpan w:val="2"/>
            <w:tcBorders>
              <w:top w:val="single" w:sz="4" w:space="0" w:color="auto"/>
              <w:bottom w:val="single" w:sz="4" w:space="0" w:color="auto"/>
            </w:tcBorders>
          </w:tcPr>
          <w:p w14:paraId="26364D85" w14:textId="77777777" w:rsidR="007B0AA0" w:rsidRPr="007B0AA0" w:rsidRDefault="007B0AA0" w:rsidP="007B0AA0">
            <w:pPr>
              <w:rPr>
                <w:b/>
                <w:bCs/>
                <w:rtl/>
              </w:rPr>
            </w:pPr>
            <w:r w:rsidRPr="00494119">
              <w:rPr>
                <w:rFonts w:hint="cs"/>
                <w:b/>
                <w:bCs/>
                <w:rtl/>
              </w:rPr>
              <w:t>الغرض</w:t>
            </w:r>
          </w:p>
          <w:p w14:paraId="0C48A549" w14:textId="78BAC1C0" w:rsidR="007B0AA0" w:rsidRPr="006505B6" w:rsidRDefault="006505B6" w:rsidP="006505B6">
            <w:pPr>
              <w:rPr>
                <w:rtl/>
                <w:lang w:bidi="en-GB"/>
              </w:rPr>
            </w:pPr>
            <w:r w:rsidRPr="006505B6">
              <w:rPr>
                <w:rtl/>
              </w:rPr>
              <w:t xml:space="preserve">تُسلّط هذه المساهمة الضوء على أهمية ضمان </w:t>
            </w:r>
            <w:r w:rsidRPr="006505B6">
              <w:rPr>
                <w:rFonts w:hint="cs"/>
                <w:rtl/>
              </w:rPr>
              <w:t xml:space="preserve">النظر بعناية في </w:t>
            </w:r>
            <w:r w:rsidRPr="006505B6">
              <w:rPr>
                <w:rtl/>
              </w:rPr>
              <w:t xml:space="preserve">أي جهود </w:t>
            </w:r>
            <w:r w:rsidRPr="006505B6">
              <w:rPr>
                <w:rFonts w:hint="cs"/>
                <w:rtl/>
              </w:rPr>
              <w:t xml:space="preserve">مبذولة </w:t>
            </w:r>
            <w:r w:rsidRPr="006505B6">
              <w:rPr>
                <w:rtl/>
              </w:rPr>
              <w:t>لمراجعة القرارات الحالية أو تبسيط</w:t>
            </w:r>
            <w:r w:rsidRPr="006505B6">
              <w:rPr>
                <w:rFonts w:hint="cs"/>
                <w:rtl/>
              </w:rPr>
              <w:t>ها</w:t>
            </w:r>
            <w:r w:rsidRPr="006505B6">
              <w:rPr>
                <w:rtl/>
              </w:rPr>
              <w:t xml:space="preserve">. </w:t>
            </w:r>
            <w:r w:rsidRPr="006505B6">
              <w:rPr>
                <w:rFonts w:hint="cs"/>
                <w:rtl/>
              </w:rPr>
              <w:t>و</w:t>
            </w:r>
            <w:r w:rsidRPr="006505B6">
              <w:rPr>
                <w:rtl/>
              </w:rPr>
              <w:t>تؤكد على ضرورة الحفاظ على سلامة النصوص الحالية وأهميتها ومرونتها.</w:t>
            </w:r>
          </w:p>
          <w:p w14:paraId="59F99D50" w14:textId="77777777" w:rsidR="007B0AA0" w:rsidRPr="007B0AA0" w:rsidRDefault="007B0AA0" w:rsidP="007B0AA0">
            <w:pPr>
              <w:rPr>
                <w:b/>
                <w:bCs/>
                <w:rtl/>
              </w:rPr>
            </w:pPr>
            <w:r w:rsidRPr="007B0AA0">
              <w:rPr>
                <w:rFonts w:hint="cs"/>
                <w:b/>
                <w:bCs/>
                <w:rtl/>
              </w:rPr>
              <w:t>الإجراء المطلوب من المجلس</w:t>
            </w:r>
          </w:p>
          <w:p w14:paraId="5B7F2BB1" w14:textId="2E5169EE" w:rsidR="006F363C" w:rsidRPr="005546CF" w:rsidRDefault="006505B6" w:rsidP="006505B6">
            <w:r w:rsidRPr="006505B6">
              <w:rPr>
                <w:rtl/>
              </w:rPr>
              <w:t xml:space="preserve">يُدعى المجلس إلى </w:t>
            </w:r>
            <w:r w:rsidRPr="006505B6">
              <w:rPr>
                <w:b/>
                <w:bCs/>
                <w:rtl/>
              </w:rPr>
              <w:t>النظر</w:t>
            </w:r>
            <w:r w:rsidRPr="006505B6">
              <w:rPr>
                <w:rtl/>
              </w:rPr>
              <w:t xml:space="preserve"> في هذه المساهمة </w:t>
            </w:r>
            <w:r w:rsidRPr="006505B6">
              <w:rPr>
                <w:b/>
                <w:bCs/>
                <w:rtl/>
              </w:rPr>
              <w:t>واتخاذ الإجراءات اللازمة</w:t>
            </w:r>
            <w:r w:rsidRPr="006505B6">
              <w:rPr>
                <w:rtl/>
              </w:rPr>
              <w:t xml:space="preserve"> وفقاً لذلك.</w:t>
            </w:r>
          </w:p>
          <w:p w14:paraId="38BC164B"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22B011CA" w14:textId="77777777" w:rsidR="007B0AA0" w:rsidRPr="007B0AA0" w:rsidRDefault="007B0AA0" w:rsidP="007B0AA0">
            <w:pPr>
              <w:rPr>
                <w:b/>
                <w:bCs/>
                <w:rtl/>
              </w:rPr>
            </w:pPr>
            <w:r w:rsidRPr="007B0AA0">
              <w:rPr>
                <w:rFonts w:hint="cs"/>
                <w:b/>
                <w:bCs/>
                <w:rtl/>
              </w:rPr>
              <w:t>المراجع</w:t>
            </w:r>
          </w:p>
          <w:p w14:paraId="57A7445A" w14:textId="79181BDC" w:rsidR="007B0AA0" w:rsidRPr="005546CF" w:rsidRDefault="006505B6" w:rsidP="006505B6">
            <w:pPr>
              <w:rPr>
                <w:i/>
                <w:iCs/>
                <w:rtl/>
              </w:rPr>
            </w:pPr>
            <w:r w:rsidRPr="006505B6">
              <w:rPr>
                <w:rFonts w:hint="cs"/>
                <w:i/>
                <w:iCs/>
                <w:rtl/>
              </w:rPr>
              <w:t xml:space="preserve">وثيقة المجلس </w:t>
            </w:r>
            <w:hyperlink r:id="rId8" w:history="1">
              <w:r w:rsidRPr="006505B6">
                <w:rPr>
                  <w:rStyle w:val="Hyperlink"/>
                  <w:i/>
                  <w:iCs/>
                  <w:noProof w:val="0"/>
                  <w:lang w:eastAsia="zh-CN"/>
                </w:rPr>
                <w:t>C25/29</w:t>
              </w:r>
            </w:hyperlink>
          </w:p>
        </w:tc>
      </w:tr>
    </w:tbl>
    <w:p w14:paraId="6C1B0C1B" w14:textId="77777777" w:rsidR="00E61BE8" w:rsidRDefault="00E61BE8" w:rsidP="00E61BE8">
      <w:pPr>
        <w:rPr>
          <w:rtl/>
          <w:lang w:bidi="ar-EG"/>
        </w:rPr>
      </w:pPr>
    </w:p>
    <w:p w14:paraId="64AC5B6C" w14:textId="77777777" w:rsidR="00F50E3F" w:rsidRDefault="00F50E3F" w:rsidP="0043260A">
      <w:pPr>
        <w:rPr>
          <w:rtl/>
          <w:lang w:bidi="ar-EG"/>
        </w:rPr>
      </w:pPr>
      <w:r>
        <w:rPr>
          <w:rtl/>
          <w:lang w:bidi="ar-EG"/>
        </w:rPr>
        <w:br w:type="page"/>
      </w:r>
    </w:p>
    <w:p w14:paraId="3702A749" w14:textId="77777777" w:rsidR="006505B6" w:rsidRPr="006505B6" w:rsidRDefault="006505B6" w:rsidP="006505B6">
      <w:pPr>
        <w:pStyle w:val="Headingb"/>
        <w:rPr>
          <w:lang w:bidi="ar-EG"/>
        </w:rPr>
      </w:pPr>
      <w:r w:rsidRPr="006505B6">
        <w:rPr>
          <w:rFonts w:hint="cs"/>
          <w:rtl/>
          <w:lang w:val="en-GB"/>
        </w:rPr>
        <w:lastRenderedPageBreak/>
        <w:t>مقدمة</w:t>
      </w:r>
    </w:p>
    <w:p w14:paraId="7BD87F65" w14:textId="77777777" w:rsidR="006505B6" w:rsidRPr="006505B6" w:rsidRDefault="006505B6" w:rsidP="006505B6">
      <w:pPr>
        <w:rPr>
          <w:rtl/>
          <w:lang w:val="en-GB"/>
        </w:rPr>
      </w:pPr>
      <w:r w:rsidRPr="006505B6">
        <w:rPr>
          <w:rFonts w:hint="cs"/>
          <w:rtl/>
          <w:lang w:val="en-GB"/>
        </w:rPr>
        <w:t>نقر مع التقدير</w:t>
      </w:r>
      <w:r w:rsidRPr="006505B6">
        <w:rPr>
          <w:rtl/>
          <w:lang w:val="en-GB"/>
        </w:rPr>
        <w:t xml:space="preserve"> </w:t>
      </w:r>
      <w:r w:rsidRPr="006505B6">
        <w:rPr>
          <w:rFonts w:hint="cs"/>
          <w:rtl/>
          <w:lang w:val="en-GB"/>
        </w:rPr>
        <w:t>ب</w:t>
      </w:r>
      <w:r w:rsidRPr="006505B6">
        <w:rPr>
          <w:rtl/>
          <w:lang w:val="en-GB"/>
        </w:rPr>
        <w:t xml:space="preserve">الجهود </w:t>
      </w:r>
      <w:r w:rsidRPr="006505B6">
        <w:rPr>
          <w:rFonts w:hint="cs"/>
          <w:rtl/>
          <w:lang w:val="en-GB"/>
        </w:rPr>
        <w:t>التي تنعكس</w:t>
      </w:r>
      <w:r w:rsidRPr="006505B6">
        <w:rPr>
          <w:rtl/>
          <w:lang w:val="en-GB"/>
        </w:rPr>
        <w:t xml:space="preserve"> في الوثيقة </w:t>
      </w:r>
      <w:hyperlink r:id="rId9" w:history="1">
        <w:r w:rsidRPr="006505B6">
          <w:rPr>
            <w:rStyle w:val="Hyperlink"/>
            <w:noProof w:val="0"/>
            <w:lang w:val="en-US" w:eastAsia="zh-CN" w:bidi="ar-EG"/>
          </w:rPr>
          <w:t>C25/29</w:t>
        </w:r>
      </w:hyperlink>
      <w:r w:rsidRPr="006505B6">
        <w:rPr>
          <w:rtl/>
          <w:lang w:val="en-GB"/>
        </w:rPr>
        <w:t xml:space="preserve"> والرامية إلى دعم الدول الأعضاء في إعداد مقترحاتها لمؤتمر المندوبين المفوضين. ونرحب بال</w:t>
      </w:r>
      <w:r w:rsidRPr="006505B6">
        <w:rPr>
          <w:rFonts w:hint="cs"/>
          <w:rtl/>
          <w:lang w:val="en-GB"/>
        </w:rPr>
        <w:t>عزم على</w:t>
      </w:r>
      <w:r w:rsidRPr="006505B6">
        <w:rPr>
          <w:rtl/>
          <w:lang w:val="en-GB"/>
        </w:rPr>
        <w:t xml:space="preserve"> </w:t>
      </w:r>
      <w:r w:rsidRPr="006505B6">
        <w:rPr>
          <w:rFonts w:hint="cs"/>
          <w:rtl/>
          <w:lang w:val="en-GB"/>
        </w:rPr>
        <w:t>تنسيق</w:t>
      </w:r>
      <w:r w:rsidRPr="006505B6">
        <w:rPr>
          <w:rtl/>
          <w:lang w:val="en-GB"/>
        </w:rPr>
        <w:t xml:space="preserve"> القرارات والمقررات لتحسين الوضوح والكفاءة. ومع ذلك، </w:t>
      </w:r>
      <w:r w:rsidRPr="006505B6">
        <w:rPr>
          <w:rFonts w:hint="cs"/>
          <w:rtl/>
          <w:lang w:val="en-GB"/>
        </w:rPr>
        <w:t>نرى</w:t>
      </w:r>
      <w:r w:rsidRPr="006505B6">
        <w:rPr>
          <w:rtl/>
          <w:lang w:val="en-GB"/>
        </w:rPr>
        <w:t xml:space="preserve"> أنه يجب </w:t>
      </w:r>
      <w:r w:rsidRPr="006505B6">
        <w:rPr>
          <w:rFonts w:hint="cs"/>
          <w:rtl/>
          <w:lang w:val="en-GB"/>
        </w:rPr>
        <w:t>النظر إلى</w:t>
      </w:r>
      <w:r w:rsidRPr="006505B6">
        <w:rPr>
          <w:rtl/>
          <w:lang w:val="en-GB"/>
        </w:rPr>
        <w:t xml:space="preserve"> هذه الجهود بحذر لضمان الحفاظ على القيمة الفريدة والسياق والتوجه الاستراتيجي </w:t>
      </w:r>
      <w:r w:rsidRPr="006505B6">
        <w:rPr>
          <w:rFonts w:hint="cs"/>
          <w:rtl/>
          <w:lang w:val="en-GB"/>
        </w:rPr>
        <w:t>المدمج</w:t>
      </w:r>
      <w:r w:rsidRPr="006505B6">
        <w:rPr>
          <w:rtl/>
          <w:lang w:val="en-GB"/>
        </w:rPr>
        <w:t xml:space="preserve"> في النصوص الحالية. </w:t>
      </w:r>
      <w:r w:rsidRPr="006505B6">
        <w:rPr>
          <w:rFonts w:hint="cs"/>
          <w:rtl/>
          <w:lang w:val="en-GB"/>
        </w:rPr>
        <w:t>ف</w:t>
      </w:r>
      <w:r w:rsidRPr="006505B6">
        <w:rPr>
          <w:rtl/>
          <w:lang w:val="en-GB"/>
        </w:rPr>
        <w:t xml:space="preserve">قرارات مؤتمر المندوبين المفوضين </w:t>
      </w:r>
      <w:r w:rsidRPr="006505B6">
        <w:rPr>
          <w:rFonts w:hint="cs"/>
          <w:rtl/>
          <w:lang w:val="en-GB"/>
        </w:rPr>
        <w:t>السارية</w:t>
      </w:r>
      <w:r w:rsidRPr="006505B6">
        <w:rPr>
          <w:rtl/>
          <w:lang w:val="en-GB"/>
        </w:rPr>
        <w:t xml:space="preserve"> </w:t>
      </w:r>
      <w:r w:rsidRPr="006505B6">
        <w:rPr>
          <w:rFonts w:hint="cs"/>
          <w:rtl/>
          <w:lang w:val="en-GB"/>
        </w:rPr>
        <w:t>جاءت</w:t>
      </w:r>
      <w:r w:rsidRPr="006505B6">
        <w:rPr>
          <w:rtl/>
          <w:lang w:val="en-GB"/>
        </w:rPr>
        <w:t xml:space="preserve"> نتيجة عملية طويلة وعمل </w:t>
      </w:r>
      <w:r w:rsidRPr="006505B6">
        <w:rPr>
          <w:rFonts w:hint="cs"/>
          <w:rtl/>
          <w:lang w:val="en-GB"/>
        </w:rPr>
        <w:t>مكثف</w:t>
      </w:r>
      <w:r w:rsidRPr="006505B6">
        <w:rPr>
          <w:rtl/>
          <w:lang w:val="en-GB"/>
        </w:rPr>
        <w:t xml:space="preserve"> وتوافق في الآراء بين الدول الأعضاء. وتعكس هذه القرارات جهوداً مدروسة وتعاونية، ولا ينبغي تعديلها بسهولة.</w:t>
      </w:r>
    </w:p>
    <w:p w14:paraId="3B9C4AC4" w14:textId="77777777" w:rsidR="006505B6" w:rsidRPr="006505B6" w:rsidRDefault="006505B6" w:rsidP="003A5DF6">
      <w:pPr>
        <w:pStyle w:val="Headingb"/>
        <w:rPr>
          <w:rtl/>
          <w:lang w:val="en-GB"/>
        </w:rPr>
      </w:pPr>
      <w:r w:rsidRPr="006505B6">
        <w:rPr>
          <w:rtl/>
          <w:lang w:val="en-GB"/>
        </w:rPr>
        <w:t>المناقشة</w:t>
      </w:r>
    </w:p>
    <w:p w14:paraId="75ED0B74" w14:textId="77777777" w:rsidR="006505B6" w:rsidRPr="006505B6" w:rsidRDefault="006505B6" w:rsidP="006505B6">
      <w:pPr>
        <w:rPr>
          <w:rtl/>
          <w:lang w:val="en-GB"/>
        </w:rPr>
      </w:pPr>
      <w:r w:rsidRPr="006505B6">
        <w:rPr>
          <w:rFonts w:hint="cs"/>
          <w:rtl/>
          <w:lang w:val="en-GB"/>
        </w:rPr>
        <w:t xml:space="preserve">إن </w:t>
      </w:r>
      <w:r w:rsidRPr="006505B6">
        <w:rPr>
          <w:rtl/>
          <w:lang w:val="en-GB"/>
        </w:rPr>
        <w:t xml:space="preserve">القرارات والمقررات التي يعتمدها مؤتمر المندوبين المفوضين تعكس نتائج </w:t>
      </w:r>
      <w:r w:rsidRPr="006505B6">
        <w:rPr>
          <w:rFonts w:hint="cs"/>
          <w:rtl/>
          <w:lang w:val="en-GB"/>
        </w:rPr>
        <w:t>تم ال</w:t>
      </w:r>
      <w:r w:rsidRPr="006505B6">
        <w:rPr>
          <w:rtl/>
          <w:lang w:val="en-GB"/>
        </w:rPr>
        <w:t xml:space="preserve">تفاوض </w:t>
      </w:r>
      <w:r w:rsidRPr="006505B6">
        <w:rPr>
          <w:rFonts w:hint="cs"/>
          <w:rtl/>
          <w:lang w:val="en-GB"/>
        </w:rPr>
        <w:t>بشأن</w:t>
      </w:r>
      <w:r w:rsidRPr="006505B6">
        <w:rPr>
          <w:rtl/>
          <w:lang w:val="en-GB"/>
        </w:rPr>
        <w:t xml:space="preserve">ها بعناية والتزامات طويلة </w:t>
      </w:r>
      <w:r w:rsidRPr="006505B6">
        <w:rPr>
          <w:rFonts w:hint="cs"/>
          <w:rtl/>
          <w:lang w:val="en-GB"/>
        </w:rPr>
        <w:t>الأجل</w:t>
      </w:r>
      <w:r w:rsidRPr="006505B6">
        <w:rPr>
          <w:rtl/>
          <w:lang w:val="en-GB"/>
        </w:rPr>
        <w:t xml:space="preserve"> من جانب الأعضاء. وهي </w:t>
      </w:r>
      <w:r w:rsidRPr="006505B6">
        <w:rPr>
          <w:rFonts w:hint="cs"/>
          <w:rtl/>
          <w:lang w:val="en-GB"/>
        </w:rPr>
        <w:t>تت</w:t>
      </w:r>
      <w:r w:rsidRPr="006505B6">
        <w:rPr>
          <w:rtl/>
          <w:lang w:val="en-GB"/>
        </w:rPr>
        <w:t xml:space="preserve">شكل بناء على اعتبارات سياسية مُتنوعة، وأولويات إقليمية، وديناميات عالمية مُتطورة. وفي هذا السياق، يجب ألا تقتصر عملية </w:t>
      </w:r>
      <w:r w:rsidRPr="006505B6">
        <w:rPr>
          <w:rFonts w:hint="cs"/>
          <w:rtl/>
          <w:lang w:val="en-GB" w:bidi="ar-SY"/>
        </w:rPr>
        <w:t>التنسيق</w:t>
      </w:r>
      <w:r w:rsidRPr="006505B6">
        <w:rPr>
          <w:rtl/>
          <w:lang w:val="en-GB" w:bidi="ar-SY"/>
        </w:rPr>
        <w:t xml:space="preserve"> </w:t>
      </w:r>
      <w:r w:rsidRPr="006505B6">
        <w:rPr>
          <w:rtl/>
          <w:lang w:val="en-GB"/>
        </w:rPr>
        <w:t>على مجرد عملية فنية للتبسيط أو التوحيد.</w:t>
      </w:r>
    </w:p>
    <w:p w14:paraId="21DD6192" w14:textId="77777777" w:rsidR="006505B6" w:rsidRPr="006505B6" w:rsidRDefault="006505B6" w:rsidP="006505B6">
      <w:pPr>
        <w:rPr>
          <w:rtl/>
          <w:lang w:val="en-GB"/>
        </w:rPr>
      </w:pPr>
      <w:r w:rsidRPr="006505B6">
        <w:rPr>
          <w:rFonts w:hint="cs"/>
          <w:rtl/>
          <w:lang w:val="en-GB"/>
        </w:rPr>
        <w:t>و</w:t>
      </w:r>
      <w:r w:rsidRPr="006505B6">
        <w:rPr>
          <w:rtl/>
          <w:lang w:val="en-GB"/>
        </w:rPr>
        <w:t xml:space="preserve">في حين أن تبسيط القرارات </w:t>
      </w:r>
      <w:r w:rsidRPr="006505B6">
        <w:rPr>
          <w:rFonts w:hint="cs"/>
          <w:rtl/>
          <w:lang w:val="en-GB"/>
        </w:rPr>
        <w:t>يمكن أن</w:t>
      </w:r>
      <w:r w:rsidRPr="006505B6">
        <w:rPr>
          <w:rtl/>
          <w:lang w:val="en-GB"/>
        </w:rPr>
        <w:t xml:space="preserve"> يُحقق بعض الفوائد، فإن المبادئ التوجيهية المقترحة في الوثيقة </w:t>
      </w:r>
      <w:r w:rsidRPr="006505B6">
        <w:rPr>
          <w:lang w:bidi="ar-EG"/>
        </w:rPr>
        <w:t>C25/29</w:t>
      </w:r>
      <w:r w:rsidRPr="006505B6">
        <w:rPr>
          <w:rtl/>
          <w:lang w:val="en-GB"/>
        </w:rPr>
        <w:t xml:space="preserve"> تُثير عدة اعتبارات:</w:t>
      </w:r>
    </w:p>
    <w:p w14:paraId="44F4DE67" w14:textId="2DC6165B" w:rsidR="006505B6" w:rsidRPr="006505B6" w:rsidRDefault="003350B2" w:rsidP="005A7978">
      <w:pPr>
        <w:pStyle w:val="enumlev1"/>
        <w:rPr>
          <w:rtl/>
          <w:lang w:val="en-GB"/>
        </w:rPr>
      </w:pPr>
      <w:r>
        <w:rPr>
          <w:rFonts w:hint="cs"/>
          <w:rtl/>
          <w:lang w:bidi="ar-EG"/>
        </w:rPr>
        <w:t>-</w:t>
      </w:r>
      <w:r w:rsidR="006505B6" w:rsidRPr="006505B6">
        <w:rPr>
          <w:rtl/>
          <w:lang w:val="en-GB"/>
        </w:rPr>
        <w:tab/>
        <w:t xml:space="preserve">قد لا يكون تبسيط القرارات أو دمجها بطريقة تؤدي إلى حذف نصوص ذات قيمة مضافة هو النهج الأنسب. </w:t>
      </w:r>
      <w:r w:rsidR="006505B6" w:rsidRPr="006505B6">
        <w:rPr>
          <w:rFonts w:hint="cs"/>
          <w:rtl/>
          <w:lang w:val="en-GB"/>
        </w:rPr>
        <w:t>ف</w:t>
      </w:r>
      <w:r w:rsidR="006505B6" w:rsidRPr="006505B6">
        <w:rPr>
          <w:rtl/>
          <w:lang w:val="en-GB"/>
        </w:rPr>
        <w:t xml:space="preserve">من المهم أن يكون </w:t>
      </w:r>
      <w:r w:rsidR="006505B6" w:rsidRPr="006505B6">
        <w:rPr>
          <w:rFonts w:hint="cs"/>
          <w:rtl/>
          <w:lang w:val="en-GB"/>
        </w:rPr>
        <w:t>ال</w:t>
      </w:r>
      <w:r w:rsidR="006505B6" w:rsidRPr="006505B6">
        <w:rPr>
          <w:rtl/>
          <w:lang w:val="en-GB"/>
        </w:rPr>
        <w:t xml:space="preserve">هدف </w:t>
      </w:r>
      <w:r w:rsidR="006505B6" w:rsidRPr="006505B6">
        <w:rPr>
          <w:rFonts w:hint="cs"/>
          <w:rtl/>
          <w:lang w:val="en-GB"/>
        </w:rPr>
        <w:t>من التنسيق</w:t>
      </w:r>
      <w:r w:rsidR="006505B6" w:rsidRPr="006505B6">
        <w:rPr>
          <w:rtl/>
          <w:lang w:val="en-GB"/>
        </w:rPr>
        <w:t xml:space="preserve"> </w:t>
      </w:r>
      <w:r w:rsidR="006505B6" w:rsidRPr="006505B6">
        <w:rPr>
          <w:rFonts w:hint="cs"/>
          <w:rtl/>
          <w:lang w:val="en-GB"/>
        </w:rPr>
        <w:t xml:space="preserve">هو </w:t>
      </w:r>
      <w:r w:rsidR="006505B6" w:rsidRPr="006505B6">
        <w:rPr>
          <w:rtl/>
          <w:lang w:val="en-GB"/>
        </w:rPr>
        <w:t xml:space="preserve">تعزيز </w:t>
      </w:r>
      <w:r w:rsidR="006505B6" w:rsidRPr="006505B6">
        <w:rPr>
          <w:rFonts w:hint="cs"/>
          <w:rtl/>
          <w:lang w:val="en-GB"/>
        </w:rPr>
        <w:t>المواءمة</w:t>
      </w:r>
      <w:r w:rsidR="006505B6" w:rsidRPr="006505B6">
        <w:rPr>
          <w:rtl/>
          <w:lang w:val="en-GB"/>
        </w:rPr>
        <w:t xml:space="preserve"> دون المساس بالأحكام التي لا تزال تُحقق أغراضاً ذات </w:t>
      </w:r>
      <w:r w:rsidR="006505B6" w:rsidRPr="006505B6">
        <w:rPr>
          <w:rFonts w:hint="cs"/>
          <w:rtl/>
          <w:lang w:val="en-GB"/>
        </w:rPr>
        <w:t>مغزى</w:t>
      </w:r>
      <w:r w:rsidR="006505B6" w:rsidRPr="006505B6">
        <w:rPr>
          <w:rtl/>
          <w:lang w:val="en-GB"/>
        </w:rPr>
        <w:t>.</w:t>
      </w:r>
    </w:p>
    <w:p w14:paraId="0104F063" w14:textId="338B63FA" w:rsidR="006505B6" w:rsidRPr="006505B6" w:rsidRDefault="003350B2" w:rsidP="005A7978">
      <w:pPr>
        <w:pStyle w:val="enumlev1"/>
        <w:rPr>
          <w:rtl/>
          <w:lang w:val="en-GB"/>
        </w:rPr>
      </w:pPr>
      <w:r>
        <w:rPr>
          <w:rFonts w:hint="cs"/>
          <w:rtl/>
          <w:lang w:bidi="ar-EG"/>
        </w:rPr>
        <w:t>-</w:t>
      </w:r>
      <w:r w:rsidR="006505B6" w:rsidRPr="006505B6">
        <w:rPr>
          <w:rtl/>
          <w:lang w:val="en-GB"/>
        </w:rPr>
        <w:tab/>
        <w:t xml:space="preserve">ينبغي إعادة النظر في </w:t>
      </w:r>
      <w:r w:rsidR="006505B6" w:rsidRPr="006505B6">
        <w:rPr>
          <w:rFonts w:hint="cs"/>
          <w:rtl/>
          <w:lang w:val="en-GB"/>
        </w:rPr>
        <w:t>مقترح</w:t>
      </w:r>
      <w:r w:rsidR="006505B6" w:rsidRPr="006505B6">
        <w:rPr>
          <w:rtl/>
          <w:lang w:val="en-GB"/>
        </w:rPr>
        <w:t xml:space="preserve"> إلغاء القرارات بناء</w:t>
      </w:r>
      <w:r w:rsidR="0017581D">
        <w:rPr>
          <w:rFonts w:hint="cs"/>
          <w:rtl/>
          <w:lang w:val="en-GB"/>
        </w:rPr>
        <w:t>ً</w:t>
      </w:r>
      <w:r w:rsidR="006505B6" w:rsidRPr="006505B6">
        <w:rPr>
          <w:rtl/>
          <w:lang w:val="en-GB"/>
        </w:rPr>
        <w:t xml:space="preserve"> على عدم وجود </w:t>
      </w:r>
      <w:r w:rsidR="006505B6" w:rsidRPr="006505B6">
        <w:rPr>
          <w:rFonts w:hint="cs"/>
          <w:rtl/>
          <w:lang w:val="en-GB"/>
        </w:rPr>
        <w:t>إبلاغ</w:t>
      </w:r>
      <w:r w:rsidR="006505B6" w:rsidRPr="006505B6">
        <w:rPr>
          <w:rtl/>
          <w:lang w:val="en-GB"/>
        </w:rPr>
        <w:t xml:space="preserve"> أو إجراءات </w:t>
      </w:r>
      <w:r w:rsidR="006505B6" w:rsidRPr="006505B6">
        <w:rPr>
          <w:rFonts w:hint="cs"/>
          <w:rtl/>
          <w:lang w:val="en-GB"/>
        </w:rPr>
        <w:t>في الفترة الأخيرة</w:t>
      </w:r>
      <w:r w:rsidR="006505B6" w:rsidRPr="006505B6">
        <w:rPr>
          <w:rtl/>
          <w:lang w:val="en-GB"/>
        </w:rPr>
        <w:t xml:space="preserve">. </w:t>
      </w:r>
      <w:r w:rsidR="006505B6" w:rsidRPr="006505B6">
        <w:rPr>
          <w:rFonts w:hint="cs"/>
          <w:rtl/>
          <w:lang w:val="en-GB"/>
        </w:rPr>
        <w:t>ف</w:t>
      </w:r>
      <w:r w:rsidR="006505B6" w:rsidRPr="006505B6">
        <w:rPr>
          <w:rtl/>
          <w:lang w:val="en-GB"/>
        </w:rPr>
        <w:t xml:space="preserve">بعض القرارات تحتفظ بقيمة استراتيجية حتى في </w:t>
      </w:r>
      <w:r w:rsidR="006505B6" w:rsidRPr="006505B6">
        <w:rPr>
          <w:rFonts w:hint="cs"/>
          <w:rtl/>
          <w:lang w:val="en-GB"/>
        </w:rPr>
        <w:t>حالة عدم وجود</w:t>
      </w:r>
      <w:r w:rsidR="006505B6" w:rsidRPr="006505B6">
        <w:rPr>
          <w:rtl/>
          <w:lang w:val="en-GB"/>
        </w:rPr>
        <w:t xml:space="preserve"> أنشطة جارية، وينبغي تقييمها على أساس كل حالة على حدة. وبدلاً من إلغاء القرارات، ينبغي أن تُركز الجهود على تحديد أسباب عدم التنفيذ، وما إذا كانت هناك حاجة إلى إجراءات متابعة مُستهدفة أو آليات إبلاغ مُحد</w:t>
      </w:r>
      <w:r w:rsidR="006505B6" w:rsidRPr="006505B6">
        <w:rPr>
          <w:rFonts w:hint="cs"/>
          <w:rtl/>
          <w:lang w:val="en-GB"/>
        </w:rPr>
        <w:t>ّ</w:t>
      </w:r>
      <w:r w:rsidR="006505B6" w:rsidRPr="006505B6">
        <w:rPr>
          <w:rtl/>
          <w:lang w:val="en-GB"/>
        </w:rPr>
        <w:t>ثة.</w:t>
      </w:r>
    </w:p>
    <w:p w14:paraId="3586A6B6" w14:textId="77777777" w:rsidR="006505B6" w:rsidRPr="006505B6" w:rsidRDefault="006505B6" w:rsidP="006505B6">
      <w:pPr>
        <w:rPr>
          <w:rtl/>
          <w:lang w:val="en-GB"/>
        </w:rPr>
      </w:pPr>
      <w:r w:rsidRPr="006505B6">
        <w:rPr>
          <w:rFonts w:hint="cs"/>
          <w:rtl/>
          <w:lang w:val="en-GB" w:bidi="ar-SY"/>
        </w:rPr>
        <w:t>و</w:t>
      </w:r>
      <w:r w:rsidRPr="006505B6">
        <w:rPr>
          <w:rtl/>
          <w:lang w:val="en-GB" w:bidi="ar-SY"/>
        </w:rPr>
        <w:t xml:space="preserve">كما هو مُبين في الوثيقة </w:t>
      </w:r>
      <w:r w:rsidRPr="006505B6">
        <w:rPr>
          <w:lang w:bidi="ar-EG"/>
        </w:rPr>
        <w:t>C25/29</w:t>
      </w:r>
      <w:r w:rsidRPr="006505B6">
        <w:rPr>
          <w:rtl/>
          <w:lang w:val="en-GB" w:bidi="ar-SY"/>
        </w:rPr>
        <w:t xml:space="preserve">، يُوصى بأن تكون ديباجة القرار </w:t>
      </w:r>
      <w:r w:rsidRPr="006505B6">
        <w:rPr>
          <w:rFonts w:hint="cs"/>
          <w:rtl/>
          <w:lang w:val="en-GB" w:bidi="ar-SY"/>
        </w:rPr>
        <w:t>مقتضبة</w:t>
      </w:r>
      <w:r w:rsidRPr="006505B6">
        <w:rPr>
          <w:rtl/>
          <w:lang w:val="en-GB" w:bidi="ar-SY"/>
        </w:rPr>
        <w:t xml:space="preserve">، ويُفضل ألا تتجاوز صفحة واحدة </w:t>
      </w:r>
      <w:r w:rsidRPr="006505B6">
        <w:rPr>
          <w:rtl/>
          <w:lang w:val="en-GB"/>
        </w:rPr>
        <w:t>بمقاس</w:t>
      </w:r>
      <w:r w:rsidRPr="006505B6">
        <w:rPr>
          <w:rFonts w:hint="cs"/>
          <w:rtl/>
          <w:lang w:val="en-GB"/>
        </w:rPr>
        <w:t> </w:t>
      </w:r>
      <w:r w:rsidRPr="006505B6">
        <w:rPr>
          <w:lang w:bidi="ar-EG"/>
        </w:rPr>
        <w:t>A4</w:t>
      </w:r>
      <w:r w:rsidRPr="006505B6">
        <w:rPr>
          <w:rtl/>
          <w:lang w:val="en-GB" w:bidi="ar-SY"/>
        </w:rPr>
        <w:t>. ومع ذلك، من المهم إدراك أن الديباجة تُمثل عنصراً أساسياً من خلال:</w:t>
      </w:r>
    </w:p>
    <w:p w14:paraId="09B6560F" w14:textId="52555B0B" w:rsidR="006505B6" w:rsidRPr="006505B6" w:rsidRDefault="003350B2" w:rsidP="005A7978">
      <w:pPr>
        <w:pStyle w:val="enumlev1"/>
        <w:rPr>
          <w:rtl/>
          <w:lang w:val="en-GB"/>
        </w:rPr>
      </w:pPr>
      <w:r>
        <w:rPr>
          <w:rFonts w:hint="cs"/>
          <w:rtl/>
          <w:lang w:bidi="ar-EG"/>
        </w:rPr>
        <w:t>-</w:t>
      </w:r>
      <w:r w:rsidR="006505B6" w:rsidRPr="006505B6">
        <w:rPr>
          <w:rtl/>
          <w:lang w:val="en-GB"/>
        </w:rPr>
        <w:tab/>
        <w:t xml:space="preserve">وضع القضية في سياقها، وتقديم </w:t>
      </w:r>
      <w:r>
        <w:rPr>
          <w:rFonts w:hint="cs"/>
          <w:rtl/>
          <w:lang w:val="en-GB"/>
        </w:rPr>
        <w:t>المعلومات الأساسية</w:t>
      </w:r>
      <w:r w:rsidRPr="006505B6">
        <w:rPr>
          <w:rtl/>
          <w:lang w:val="en-GB"/>
        </w:rPr>
        <w:t xml:space="preserve"> </w:t>
      </w:r>
      <w:r w:rsidR="006505B6" w:rsidRPr="006505B6">
        <w:rPr>
          <w:rtl/>
          <w:lang w:val="en-GB"/>
        </w:rPr>
        <w:t>والأساس المنطقي.</w:t>
      </w:r>
    </w:p>
    <w:p w14:paraId="33103665" w14:textId="2EE41F1B" w:rsidR="006505B6" w:rsidRPr="006505B6" w:rsidRDefault="003350B2" w:rsidP="005A7978">
      <w:pPr>
        <w:pStyle w:val="enumlev1"/>
        <w:rPr>
          <w:rtl/>
          <w:lang w:val="en-GB"/>
        </w:rPr>
      </w:pPr>
      <w:r>
        <w:rPr>
          <w:rFonts w:hint="cs"/>
          <w:rtl/>
          <w:lang w:bidi="ar-EG"/>
        </w:rPr>
        <w:t>-</w:t>
      </w:r>
      <w:r w:rsidR="006505B6" w:rsidRPr="006505B6">
        <w:rPr>
          <w:rtl/>
          <w:lang w:val="en-GB"/>
        </w:rPr>
        <w:tab/>
        <w:t>تبرير الإجراءات المقترحة بناء</w:t>
      </w:r>
      <w:r>
        <w:rPr>
          <w:rFonts w:hint="cs"/>
          <w:rtl/>
          <w:lang w:val="en-GB"/>
        </w:rPr>
        <w:t>ً</w:t>
      </w:r>
      <w:r w:rsidR="006505B6" w:rsidRPr="006505B6">
        <w:rPr>
          <w:rtl/>
          <w:lang w:val="en-GB"/>
        </w:rPr>
        <w:t xml:space="preserve"> على المبادئ أو القيم أو السوابق القانونية.</w:t>
      </w:r>
    </w:p>
    <w:p w14:paraId="10039C55" w14:textId="4B90F624" w:rsidR="006505B6" w:rsidRPr="006505B6" w:rsidRDefault="003350B2" w:rsidP="005A7978">
      <w:pPr>
        <w:pStyle w:val="enumlev1"/>
        <w:rPr>
          <w:rtl/>
          <w:lang w:val="en-GB"/>
        </w:rPr>
      </w:pPr>
      <w:r>
        <w:rPr>
          <w:rFonts w:hint="cs"/>
          <w:rtl/>
          <w:lang w:bidi="ar-EG"/>
        </w:rPr>
        <w:t>-</w:t>
      </w:r>
      <w:r w:rsidR="006505B6" w:rsidRPr="006505B6">
        <w:rPr>
          <w:rtl/>
          <w:lang w:val="en-GB"/>
        </w:rPr>
        <w:tab/>
        <w:t xml:space="preserve">بناء توافق في الآراء من خلال الإقرار بوجهات النظر </w:t>
      </w:r>
      <w:r w:rsidR="006505B6" w:rsidRPr="006505B6">
        <w:rPr>
          <w:rFonts w:hint="cs"/>
          <w:rtl/>
          <w:lang w:val="en-GB"/>
        </w:rPr>
        <w:t xml:space="preserve">المتباينة </w:t>
      </w:r>
      <w:r w:rsidR="006505B6" w:rsidRPr="006505B6">
        <w:rPr>
          <w:rtl/>
          <w:lang w:val="en-GB"/>
        </w:rPr>
        <w:t>والأهداف المشتركة.</w:t>
      </w:r>
    </w:p>
    <w:p w14:paraId="759121F9" w14:textId="52913D4C" w:rsidR="006505B6" w:rsidRPr="006505B6" w:rsidRDefault="003350B2" w:rsidP="005A7978">
      <w:pPr>
        <w:pStyle w:val="enumlev1"/>
        <w:rPr>
          <w:rtl/>
          <w:lang w:val="en-GB"/>
        </w:rPr>
      </w:pPr>
      <w:r>
        <w:rPr>
          <w:rFonts w:hint="cs"/>
          <w:rtl/>
          <w:lang w:bidi="ar-EG"/>
        </w:rPr>
        <w:t>-</w:t>
      </w:r>
      <w:r w:rsidR="006505B6" w:rsidRPr="006505B6">
        <w:rPr>
          <w:rtl/>
          <w:lang w:val="en-GB"/>
        </w:rPr>
        <w:tab/>
        <w:t>ضمان الاتساق القانوني من خلال الإشارة إلى المعاهدات أو القرارات ذات الصلة.</w:t>
      </w:r>
    </w:p>
    <w:p w14:paraId="5BD13708" w14:textId="36983AB4" w:rsidR="006505B6" w:rsidRPr="006505B6" w:rsidRDefault="003350B2" w:rsidP="005A7978">
      <w:pPr>
        <w:pStyle w:val="enumlev1"/>
        <w:rPr>
          <w:rtl/>
          <w:lang w:val="en-GB"/>
        </w:rPr>
      </w:pPr>
      <w:r>
        <w:rPr>
          <w:rFonts w:hint="cs"/>
          <w:rtl/>
          <w:lang w:bidi="ar-EG"/>
        </w:rPr>
        <w:t>-</w:t>
      </w:r>
      <w:r w:rsidR="006505B6" w:rsidRPr="006505B6">
        <w:rPr>
          <w:rtl/>
          <w:lang w:val="en-GB"/>
        </w:rPr>
        <w:tab/>
        <w:t xml:space="preserve">المساعدة في التفسير والتنفيذ من خلال توضيح </w:t>
      </w:r>
      <w:r w:rsidR="006505B6" w:rsidRPr="006505B6">
        <w:rPr>
          <w:rFonts w:hint="cs"/>
          <w:rtl/>
          <w:lang w:val="en-GB"/>
        </w:rPr>
        <w:t>مجال التطبيق</w:t>
      </w:r>
      <w:r w:rsidR="006505B6" w:rsidRPr="006505B6">
        <w:rPr>
          <w:rtl/>
          <w:lang w:val="en-GB"/>
        </w:rPr>
        <w:t xml:space="preserve"> والأهداف.</w:t>
      </w:r>
    </w:p>
    <w:p w14:paraId="04390534" w14:textId="77777777" w:rsidR="006505B6" w:rsidRPr="006505B6" w:rsidRDefault="006505B6" w:rsidP="005A7978">
      <w:pPr>
        <w:pStyle w:val="Headingb"/>
        <w:rPr>
          <w:rtl/>
          <w:lang w:val="en-GB"/>
        </w:rPr>
      </w:pPr>
      <w:r w:rsidRPr="006505B6">
        <w:rPr>
          <w:rtl/>
          <w:lang w:val="en-GB"/>
        </w:rPr>
        <w:t>المقترح</w:t>
      </w:r>
    </w:p>
    <w:p w14:paraId="1A894075" w14:textId="77777777" w:rsidR="006505B6" w:rsidRPr="006505B6" w:rsidRDefault="006505B6" w:rsidP="006505B6">
      <w:pPr>
        <w:rPr>
          <w:rtl/>
          <w:lang w:val="en-GB"/>
        </w:rPr>
      </w:pPr>
      <w:r w:rsidRPr="006505B6">
        <w:rPr>
          <w:rtl/>
          <w:lang w:val="en-GB"/>
        </w:rPr>
        <w:t>في ضوء ما ورد أعلاه، يُقترح النهجان التاليان:</w:t>
      </w:r>
    </w:p>
    <w:p w14:paraId="1E7A948F" w14:textId="22069B83" w:rsidR="006505B6" w:rsidRPr="006505B6" w:rsidRDefault="003350B2" w:rsidP="00F84E3D">
      <w:pPr>
        <w:pStyle w:val="enumlev1"/>
        <w:rPr>
          <w:rtl/>
          <w:lang w:val="en-GB"/>
        </w:rPr>
      </w:pPr>
      <w:r>
        <w:rPr>
          <w:rFonts w:hint="cs"/>
          <w:rtl/>
          <w:lang w:bidi="ar-EG"/>
        </w:rPr>
        <w:t>-</w:t>
      </w:r>
      <w:r w:rsidR="006505B6" w:rsidRPr="006505B6">
        <w:rPr>
          <w:rtl/>
          <w:lang w:val="en-GB"/>
        </w:rPr>
        <w:tab/>
        <w:t>يُحيط المجلس علماً بالمبادئ التوجيهية المقترحة.</w:t>
      </w:r>
    </w:p>
    <w:p w14:paraId="5FA1F36F" w14:textId="0DFCCB5C" w:rsidR="006505B6" w:rsidRPr="006505B6" w:rsidRDefault="003350B2" w:rsidP="00F84E3D">
      <w:pPr>
        <w:pStyle w:val="enumlev1"/>
        <w:rPr>
          <w:rtl/>
          <w:lang w:val="en-GB"/>
        </w:rPr>
      </w:pPr>
      <w:r>
        <w:rPr>
          <w:rFonts w:hint="cs"/>
          <w:rtl/>
          <w:lang w:bidi="ar-EG"/>
        </w:rPr>
        <w:t>-</w:t>
      </w:r>
      <w:r w:rsidR="006505B6" w:rsidRPr="006505B6">
        <w:rPr>
          <w:rtl/>
          <w:lang w:val="en-GB"/>
        </w:rPr>
        <w:tab/>
        <w:t xml:space="preserve">ينبغي أن تظل المبادئ التوجيهية </w:t>
      </w:r>
      <w:r w:rsidR="006505B6" w:rsidRPr="006505B6">
        <w:rPr>
          <w:rFonts w:hint="cs"/>
          <w:rtl/>
          <w:lang w:val="en-GB"/>
        </w:rPr>
        <w:t>لتنسيق</w:t>
      </w:r>
      <w:r w:rsidR="006505B6" w:rsidRPr="006505B6">
        <w:rPr>
          <w:rtl/>
          <w:lang w:val="en-GB"/>
        </w:rPr>
        <w:t xml:space="preserve"> قرارات المؤتمرات، </w:t>
      </w:r>
      <w:r w:rsidR="006505B6" w:rsidRPr="006505B6">
        <w:rPr>
          <w:rFonts w:hint="cs"/>
          <w:rtl/>
          <w:lang w:val="en-GB"/>
        </w:rPr>
        <w:t>إذا كانت هناك حاجة إليها</w:t>
      </w:r>
      <w:r w:rsidR="006505B6" w:rsidRPr="006505B6">
        <w:rPr>
          <w:rtl/>
          <w:lang w:val="en-GB"/>
        </w:rPr>
        <w:t xml:space="preserve">، غير ملزمة وأن </w:t>
      </w:r>
      <w:r w:rsidR="006505B6" w:rsidRPr="006505B6">
        <w:rPr>
          <w:rFonts w:hint="cs"/>
          <w:rtl/>
          <w:lang w:val="en-GB"/>
        </w:rPr>
        <w:t>تعمل ك</w:t>
      </w:r>
      <w:r w:rsidR="006505B6" w:rsidRPr="006505B6">
        <w:rPr>
          <w:rtl/>
          <w:lang w:val="en-GB"/>
        </w:rPr>
        <w:t xml:space="preserve">أداة مرجعية. كما ينبغي ألا </w:t>
      </w:r>
      <w:r w:rsidR="006505B6" w:rsidRPr="006505B6">
        <w:rPr>
          <w:rFonts w:hint="cs"/>
          <w:rtl/>
          <w:lang w:val="en-GB"/>
        </w:rPr>
        <w:t>تقيد</w:t>
      </w:r>
      <w:r w:rsidR="006505B6" w:rsidRPr="006505B6">
        <w:rPr>
          <w:rtl/>
          <w:lang w:val="en-GB"/>
        </w:rPr>
        <w:t xml:space="preserve"> هذه المبادئ التوجيهية </w:t>
      </w:r>
      <w:r w:rsidR="006505B6" w:rsidRPr="006505B6">
        <w:rPr>
          <w:rFonts w:hint="cs"/>
          <w:rtl/>
          <w:lang w:val="en-GB"/>
        </w:rPr>
        <w:t xml:space="preserve">قدرة </w:t>
      </w:r>
      <w:r w:rsidR="006505B6" w:rsidRPr="006505B6">
        <w:rPr>
          <w:rtl/>
          <w:lang w:val="en-GB"/>
        </w:rPr>
        <w:t xml:space="preserve">الدول الأعضاء </w:t>
      </w:r>
      <w:r w:rsidR="006505B6" w:rsidRPr="006505B6">
        <w:rPr>
          <w:rFonts w:hint="cs"/>
          <w:rtl/>
          <w:lang w:val="en-GB"/>
        </w:rPr>
        <w:t>على</w:t>
      </w:r>
      <w:r w:rsidR="006505B6" w:rsidRPr="006505B6">
        <w:rPr>
          <w:rtl/>
          <w:lang w:val="en-GB"/>
        </w:rPr>
        <w:t xml:space="preserve"> اقتراح تعديلات أو تغييرات أو قرارات ومقررات جديدة لمؤتمرات المندوبين المفوضين.</w:t>
      </w:r>
    </w:p>
    <w:p w14:paraId="228D6870"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7C472" w14:textId="77777777" w:rsidR="006505B6" w:rsidRDefault="006505B6" w:rsidP="006C3242">
      <w:pPr>
        <w:spacing w:before="0" w:line="240" w:lineRule="auto"/>
      </w:pPr>
      <w:r>
        <w:separator/>
      </w:r>
    </w:p>
  </w:endnote>
  <w:endnote w:type="continuationSeparator" w:id="0">
    <w:p w14:paraId="2972940D" w14:textId="77777777" w:rsidR="006505B6" w:rsidRDefault="006505B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05CE3" w14:textId="77777777" w:rsidR="00380BD5" w:rsidRDefault="00380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08961F60" w14:textId="77777777" w:rsidTr="00A67F05">
      <w:trPr>
        <w:jc w:val="center"/>
      </w:trPr>
      <w:tc>
        <w:tcPr>
          <w:tcW w:w="868" w:type="pct"/>
          <w:vAlign w:val="center"/>
        </w:tcPr>
        <w:p w14:paraId="2F1BE076" w14:textId="4934000B" w:rsidR="00F50E3F" w:rsidRPr="005A7978" w:rsidRDefault="006505B6" w:rsidP="00380BD5">
          <w:pPr>
            <w:tabs>
              <w:tab w:val="clear" w:pos="794"/>
            </w:tabs>
            <w:overflowPunct w:val="0"/>
            <w:autoSpaceDE w:val="0"/>
            <w:autoSpaceDN w:val="0"/>
            <w:bidi w:val="0"/>
            <w:adjustRightInd w:val="0"/>
            <w:spacing w:before="0" w:after="0" w:line="240" w:lineRule="auto"/>
            <w:jc w:val="right"/>
            <w:textAlignment w:val="baseline"/>
            <w:rPr>
              <w:rFonts w:ascii="Calibri" w:hAnsi="Calibri" w:cs="Arial"/>
              <w:noProof/>
              <w:sz w:val="18"/>
            </w:rPr>
          </w:pPr>
          <w:r w:rsidRPr="005A7978">
            <w:rPr>
              <w:rFonts w:ascii="Calibri" w:hAnsi="Calibri" w:cs="Arial"/>
              <w:sz w:val="18"/>
              <w:szCs w:val="14"/>
              <w:lang w:val="en-US"/>
            </w:rPr>
            <w:t>2501368</w:t>
          </w:r>
        </w:p>
      </w:tc>
      <w:tc>
        <w:tcPr>
          <w:tcW w:w="3912" w:type="pct"/>
        </w:tcPr>
        <w:p w14:paraId="5B7EDCCB" w14:textId="792C98BD" w:rsidR="00F50E3F" w:rsidRPr="007B0AA0" w:rsidRDefault="00F50E3F" w:rsidP="00380BD5">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6505B6">
            <w:rPr>
              <w:rFonts w:ascii="Calibri" w:hAnsi="Calibri" w:cs="Arial"/>
              <w:bCs/>
              <w:color w:val="7F7F7F"/>
              <w:sz w:val="18"/>
            </w:rPr>
            <w:t>91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CE92DFD" w14:textId="77777777" w:rsidR="00F50E3F" w:rsidRPr="007B0AA0" w:rsidRDefault="00F50E3F" w:rsidP="00380BD5">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23E5EE6" w14:textId="77777777" w:rsidR="006C3242" w:rsidRPr="00077A58" w:rsidRDefault="006C3242" w:rsidP="00077A58">
    <w:pPr>
      <w:pStyle w:val="Footer"/>
      <w:tabs>
        <w:tab w:val="clear" w:pos="4153"/>
        <w:tab w:val="clear" w:pos="8306"/>
        <w:tab w:val="center" w:pos="5103"/>
        <w:tab w:val="right" w:pos="9639"/>
      </w:tabs>
      <w:spacing w:after="0"/>
      <w:rPr>
        <w:sz w:val="2"/>
        <w:szCs w:val="2"/>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0656DAA9" w14:textId="77777777" w:rsidTr="00A67F05">
      <w:trPr>
        <w:jc w:val="center"/>
      </w:trPr>
      <w:tc>
        <w:tcPr>
          <w:tcW w:w="1013" w:type="pct"/>
          <w:vAlign w:val="center"/>
        </w:tcPr>
        <w:p w14:paraId="415F30DA" w14:textId="77777777" w:rsidR="007B0AA0" w:rsidRPr="0096716C" w:rsidRDefault="00660DEA" w:rsidP="00380BD5">
          <w:pPr>
            <w:tabs>
              <w:tab w:val="clear" w:pos="794"/>
            </w:tabs>
            <w:overflowPunct w:val="0"/>
            <w:autoSpaceDE w:val="0"/>
            <w:autoSpaceDN w:val="0"/>
            <w:bidi w:val="0"/>
            <w:adjustRightInd w:val="0"/>
            <w:spacing w:before="0" w:after="0" w:line="240" w:lineRule="auto"/>
            <w:jc w:val="right"/>
            <w:textAlignment w:val="baseline"/>
            <w:rPr>
              <w:rFonts w:ascii="Calibri" w:hAnsi="Calibri" w:cs="Arial"/>
              <w:noProof/>
              <w:color w:val="7F7F7F"/>
              <w:sz w:val="18"/>
              <w:szCs w:val="18"/>
            </w:rPr>
          </w:pPr>
          <w:hyperlink r:id="rId1" w:history="1">
            <w:r w:rsidRPr="0096716C">
              <w:rPr>
                <w:rStyle w:val="Hyperlink"/>
                <w:sz w:val="18"/>
                <w:szCs w:val="18"/>
                <w:u w:val="none"/>
              </w:rPr>
              <w:t>council.itu.int/2025</w:t>
            </w:r>
          </w:hyperlink>
        </w:p>
      </w:tc>
      <w:tc>
        <w:tcPr>
          <w:tcW w:w="3768" w:type="pct"/>
        </w:tcPr>
        <w:p w14:paraId="7BE1F8B4" w14:textId="7447055E" w:rsidR="007B0AA0" w:rsidRPr="007B0AA0" w:rsidRDefault="007B0AA0" w:rsidP="00380BD5">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6505B6">
            <w:rPr>
              <w:rFonts w:ascii="Calibri" w:hAnsi="Calibri" w:cs="Arial"/>
              <w:bCs/>
              <w:color w:val="7F7F7F"/>
              <w:sz w:val="18"/>
            </w:rPr>
            <w:t>91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70F059B" w14:textId="77777777" w:rsidR="007B0AA0" w:rsidRPr="007B0AA0" w:rsidRDefault="00F50E3F" w:rsidP="00380BD5">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D0F4695" w14:textId="77777777" w:rsidR="0006468A" w:rsidRPr="00077A58" w:rsidRDefault="0006468A" w:rsidP="00077A58">
    <w:pPr>
      <w:pStyle w:val="Footer"/>
      <w:tabs>
        <w:tab w:val="clear" w:pos="4153"/>
        <w:tab w:val="clear" w:pos="8306"/>
        <w:tab w:val="center" w:pos="5103"/>
        <w:tab w:val="right" w:pos="9639"/>
      </w:tabs>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93362" w14:textId="77777777" w:rsidR="006505B6" w:rsidRDefault="006505B6" w:rsidP="006C3242">
      <w:pPr>
        <w:spacing w:before="0" w:line="240" w:lineRule="auto"/>
      </w:pPr>
      <w:r>
        <w:separator/>
      </w:r>
    </w:p>
  </w:footnote>
  <w:footnote w:type="continuationSeparator" w:id="0">
    <w:p w14:paraId="10FF6CB9" w14:textId="77777777" w:rsidR="006505B6" w:rsidRDefault="006505B6"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1C561" w14:textId="77777777" w:rsidR="00380BD5" w:rsidRDefault="00380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3FFFD" w14:textId="77777777" w:rsidR="00380BD5" w:rsidRDefault="00380B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0C272"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B41E50F" wp14:editId="59FD6A48">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3CC60"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69E3337B" wp14:editId="4C3AE208">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D4430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B466B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68A2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FA4CB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E4293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C013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B8DA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863A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A602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D08D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 w:numId="12" w16cid:durableId="600069876">
    <w:abstractNumId w:val="8"/>
  </w:num>
  <w:num w:numId="13" w16cid:durableId="1178351898">
    <w:abstractNumId w:val="3"/>
  </w:num>
  <w:num w:numId="14" w16cid:durableId="1909726060">
    <w:abstractNumId w:val="2"/>
  </w:num>
  <w:num w:numId="15" w16cid:durableId="1999141725">
    <w:abstractNumId w:val="1"/>
  </w:num>
  <w:num w:numId="16" w16cid:durableId="888146279">
    <w:abstractNumId w:val="0"/>
  </w:num>
  <w:num w:numId="17" w16cid:durableId="2083597155">
    <w:abstractNumId w:val="8"/>
  </w:num>
  <w:num w:numId="18" w16cid:durableId="1619406290">
    <w:abstractNumId w:val="3"/>
  </w:num>
  <w:num w:numId="19" w16cid:durableId="825321454">
    <w:abstractNumId w:val="2"/>
  </w:num>
  <w:num w:numId="20" w16cid:durableId="462578560">
    <w:abstractNumId w:val="1"/>
  </w:num>
  <w:num w:numId="21" w16cid:durableId="321126944">
    <w:abstractNumId w:val="0"/>
  </w:num>
  <w:num w:numId="22" w16cid:durableId="871183843">
    <w:abstractNumId w:val="8"/>
  </w:num>
  <w:num w:numId="23" w16cid:durableId="1954480431">
    <w:abstractNumId w:val="3"/>
  </w:num>
  <w:num w:numId="24" w16cid:durableId="1416976362">
    <w:abstractNumId w:val="2"/>
  </w:num>
  <w:num w:numId="25" w16cid:durableId="74939210">
    <w:abstractNumId w:val="1"/>
  </w:num>
  <w:num w:numId="26" w16cid:durableId="628779972">
    <w:abstractNumId w:val="0"/>
  </w:num>
  <w:num w:numId="27" w16cid:durableId="1830558958">
    <w:abstractNumId w:val="8"/>
  </w:num>
  <w:num w:numId="28" w16cid:durableId="770198609">
    <w:abstractNumId w:val="3"/>
  </w:num>
  <w:num w:numId="29" w16cid:durableId="1108624205">
    <w:abstractNumId w:val="2"/>
  </w:num>
  <w:num w:numId="30" w16cid:durableId="1912079890">
    <w:abstractNumId w:val="1"/>
  </w:num>
  <w:num w:numId="31" w16cid:durableId="538980121">
    <w:abstractNumId w:val="0"/>
  </w:num>
  <w:num w:numId="32" w16cid:durableId="1615752232">
    <w:abstractNumId w:val="8"/>
  </w:num>
  <w:num w:numId="33" w16cid:durableId="1757748738">
    <w:abstractNumId w:val="3"/>
  </w:num>
  <w:num w:numId="34" w16cid:durableId="1154444361">
    <w:abstractNumId w:val="2"/>
  </w:num>
  <w:num w:numId="35" w16cid:durableId="639116170">
    <w:abstractNumId w:val="1"/>
  </w:num>
  <w:num w:numId="36" w16cid:durableId="1703555523">
    <w:abstractNumId w:val="0"/>
  </w:num>
  <w:num w:numId="37" w16cid:durableId="916136151">
    <w:abstractNumId w:val="8"/>
  </w:num>
  <w:num w:numId="38" w16cid:durableId="51854675">
    <w:abstractNumId w:val="3"/>
  </w:num>
  <w:num w:numId="39" w16cid:durableId="1200623996">
    <w:abstractNumId w:val="2"/>
  </w:num>
  <w:num w:numId="40" w16cid:durableId="243339613">
    <w:abstractNumId w:val="1"/>
  </w:num>
  <w:num w:numId="41" w16cid:durableId="379600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5B6"/>
    <w:rsid w:val="000367B7"/>
    <w:rsid w:val="0006468A"/>
    <w:rsid w:val="00077A58"/>
    <w:rsid w:val="00090574"/>
    <w:rsid w:val="000C1C0E"/>
    <w:rsid w:val="000C548A"/>
    <w:rsid w:val="000E5007"/>
    <w:rsid w:val="0017581D"/>
    <w:rsid w:val="00191059"/>
    <w:rsid w:val="00194B2B"/>
    <w:rsid w:val="001B6E2B"/>
    <w:rsid w:val="001C0169"/>
    <w:rsid w:val="001C0C21"/>
    <w:rsid w:val="001D1D50"/>
    <w:rsid w:val="001D64C7"/>
    <w:rsid w:val="001D6745"/>
    <w:rsid w:val="001E446E"/>
    <w:rsid w:val="002154EE"/>
    <w:rsid w:val="002276D2"/>
    <w:rsid w:val="0023283D"/>
    <w:rsid w:val="00254393"/>
    <w:rsid w:val="0026373E"/>
    <w:rsid w:val="00271C43"/>
    <w:rsid w:val="00290728"/>
    <w:rsid w:val="002978F4"/>
    <w:rsid w:val="002B028D"/>
    <w:rsid w:val="002C3F32"/>
    <w:rsid w:val="002E6541"/>
    <w:rsid w:val="00334924"/>
    <w:rsid w:val="003350B2"/>
    <w:rsid w:val="003409BC"/>
    <w:rsid w:val="00357185"/>
    <w:rsid w:val="00380BD5"/>
    <w:rsid w:val="00383829"/>
    <w:rsid w:val="003A5DF6"/>
    <w:rsid w:val="003F4B29"/>
    <w:rsid w:val="00410B26"/>
    <w:rsid w:val="00420F8A"/>
    <w:rsid w:val="0042686F"/>
    <w:rsid w:val="004317D8"/>
    <w:rsid w:val="0043260A"/>
    <w:rsid w:val="00434183"/>
    <w:rsid w:val="00443869"/>
    <w:rsid w:val="00447F32"/>
    <w:rsid w:val="00491BA9"/>
    <w:rsid w:val="00494119"/>
    <w:rsid w:val="004A4701"/>
    <w:rsid w:val="004B7334"/>
    <w:rsid w:val="004E11DC"/>
    <w:rsid w:val="005130DE"/>
    <w:rsid w:val="00513157"/>
    <w:rsid w:val="00525DDD"/>
    <w:rsid w:val="005409AC"/>
    <w:rsid w:val="005434E0"/>
    <w:rsid w:val="005546CF"/>
    <w:rsid w:val="0055516A"/>
    <w:rsid w:val="0058491B"/>
    <w:rsid w:val="00592EA5"/>
    <w:rsid w:val="005A3170"/>
    <w:rsid w:val="005A7978"/>
    <w:rsid w:val="006505B6"/>
    <w:rsid w:val="00657019"/>
    <w:rsid w:val="00660DEA"/>
    <w:rsid w:val="00677396"/>
    <w:rsid w:val="00683F16"/>
    <w:rsid w:val="0069200F"/>
    <w:rsid w:val="006A65CB"/>
    <w:rsid w:val="006B12E5"/>
    <w:rsid w:val="006C3242"/>
    <w:rsid w:val="006C7CC0"/>
    <w:rsid w:val="006F363C"/>
    <w:rsid w:val="006F63F7"/>
    <w:rsid w:val="007025C7"/>
    <w:rsid w:val="00706D7A"/>
    <w:rsid w:val="00722F0D"/>
    <w:rsid w:val="00735081"/>
    <w:rsid w:val="0074420E"/>
    <w:rsid w:val="007648A6"/>
    <w:rsid w:val="0077110E"/>
    <w:rsid w:val="00783E26"/>
    <w:rsid w:val="007A6684"/>
    <w:rsid w:val="007B0AA0"/>
    <w:rsid w:val="007C3BC7"/>
    <w:rsid w:val="007C3BCD"/>
    <w:rsid w:val="007D4ACF"/>
    <w:rsid w:val="007F0787"/>
    <w:rsid w:val="00810B7B"/>
    <w:rsid w:val="0082358A"/>
    <w:rsid w:val="008235CD"/>
    <w:rsid w:val="008247DE"/>
    <w:rsid w:val="008339C0"/>
    <w:rsid w:val="00840B10"/>
    <w:rsid w:val="008513CB"/>
    <w:rsid w:val="00874E9F"/>
    <w:rsid w:val="008A7D3A"/>
    <w:rsid w:val="008A7F84"/>
    <w:rsid w:val="0091702E"/>
    <w:rsid w:val="00923B0C"/>
    <w:rsid w:val="00924F46"/>
    <w:rsid w:val="00935AAC"/>
    <w:rsid w:val="0093725D"/>
    <w:rsid w:val="0094021C"/>
    <w:rsid w:val="00952F86"/>
    <w:rsid w:val="0096716C"/>
    <w:rsid w:val="00982B28"/>
    <w:rsid w:val="009A14C2"/>
    <w:rsid w:val="009D313F"/>
    <w:rsid w:val="00A47A5A"/>
    <w:rsid w:val="00A63AE6"/>
    <w:rsid w:val="00A6683B"/>
    <w:rsid w:val="00A67F05"/>
    <w:rsid w:val="00A97F94"/>
    <w:rsid w:val="00AA7EA2"/>
    <w:rsid w:val="00AB5A56"/>
    <w:rsid w:val="00B03099"/>
    <w:rsid w:val="00B05BC8"/>
    <w:rsid w:val="00B30F5E"/>
    <w:rsid w:val="00B64B47"/>
    <w:rsid w:val="00B95654"/>
    <w:rsid w:val="00B97F32"/>
    <w:rsid w:val="00BA04B2"/>
    <w:rsid w:val="00C002DE"/>
    <w:rsid w:val="00C0602B"/>
    <w:rsid w:val="00C224DA"/>
    <w:rsid w:val="00C53BF8"/>
    <w:rsid w:val="00C66157"/>
    <w:rsid w:val="00C674FE"/>
    <w:rsid w:val="00C67501"/>
    <w:rsid w:val="00C75633"/>
    <w:rsid w:val="00CE0720"/>
    <w:rsid w:val="00CE2EE1"/>
    <w:rsid w:val="00CE3349"/>
    <w:rsid w:val="00CE36E5"/>
    <w:rsid w:val="00CE4360"/>
    <w:rsid w:val="00CF27F5"/>
    <w:rsid w:val="00CF3FFD"/>
    <w:rsid w:val="00D10CCF"/>
    <w:rsid w:val="00D13941"/>
    <w:rsid w:val="00D23F5F"/>
    <w:rsid w:val="00D43F7D"/>
    <w:rsid w:val="00D50E04"/>
    <w:rsid w:val="00D63735"/>
    <w:rsid w:val="00D77D0F"/>
    <w:rsid w:val="00DA1CF0"/>
    <w:rsid w:val="00DC1E02"/>
    <w:rsid w:val="00DC24B4"/>
    <w:rsid w:val="00DC5FB0"/>
    <w:rsid w:val="00DF16DC"/>
    <w:rsid w:val="00E45211"/>
    <w:rsid w:val="00E473C5"/>
    <w:rsid w:val="00E61BE8"/>
    <w:rsid w:val="00E83FF1"/>
    <w:rsid w:val="00E92863"/>
    <w:rsid w:val="00E979B2"/>
    <w:rsid w:val="00EB796D"/>
    <w:rsid w:val="00F058DC"/>
    <w:rsid w:val="00F24FC4"/>
    <w:rsid w:val="00F2676C"/>
    <w:rsid w:val="00F363FE"/>
    <w:rsid w:val="00F50E3F"/>
    <w:rsid w:val="00F84366"/>
    <w:rsid w:val="00F84E3D"/>
    <w:rsid w:val="00F85089"/>
    <w:rsid w:val="00F974C5"/>
    <w:rsid w:val="00FA3763"/>
    <w:rsid w:val="00FA6F46"/>
    <w:rsid w:val="00FC0E94"/>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219613"/>
  <w15:chartTrackingRefBased/>
  <w15:docId w15:val="{73C49831-F468-49AB-93B4-9DFEFC81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077A58"/>
    <w:pPr>
      <w:spacing w:before="80" w:after="80"/>
      <w:ind w:left="794" w:hanging="794"/>
      <w:outlineLvl w:val="0"/>
    </w:pPr>
    <w:rPr>
      <w:lang w:bidi="ar-SY"/>
    </w:rPr>
  </w:style>
  <w:style w:type="paragraph" w:customStyle="1" w:styleId="enumlev2">
    <w:name w:val="enumlev2"/>
    <w:basedOn w:val="Normal"/>
    <w:next w:val="enumlev1"/>
    <w:qFormat/>
    <w:rsid w:val="00077A58"/>
    <w:pPr>
      <w:spacing w:before="80" w:after="80"/>
      <w:ind w:left="1588" w:hanging="794"/>
      <w:outlineLvl w:val="1"/>
    </w:pPr>
  </w:style>
  <w:style w:type="paragraph" w:customStyle="1" w:styleId="enumlev3">
    <w:name w:val="enumlev3"/>
    <w:basedOn w:val="Normal"/>
    <w:qFormat/>
    <w:rsid w:val="00077A58"/>
    <w:pPr>
      <w:spacing w:before="80" w:after="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96716C"/>
    <w:rPr>
      <w:rFonts w:ascii="Dubai" w:hAnsi="Dubai" w:cs="Dubai"/>
      <w:noProof/>
      <w:color w:val="5B9BD5"/>
      <w:u w:val="single" w:color="5B9BD5"/>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styleId="FollowedHyperlink">
    <w:name w:val="FollowedHyperlink"/>
    <w:basedOn w:val="DefaultParagraphFont"/>
    <w:uiPriority w:val="99"/>
    <w:semiHidden/>
    <w:unhideWhenUsed/>
    <w:rsid w:val="006505B6"/>
    <w:rPr>
      <w:color w:val="954F72" w:themeColor="followedHyperlink"/>
      <w:u w:val="single"/>
    </w:rPr>
  </w:style>
  <w:style w:type="paragraph" w:styleId="Revision">
    <w:name w:val="Revision"/>
    <w:hidden/>
    <w:uiPriority w:val="99"/>
    <w:semiHidden/>
    <w:rsid w:val="0017581D"/>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29/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5-CL-C-0029/en"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S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0</TotalTime>
  <Pages>2</Pages>
  <Words>485</Words>
  <Characters>2624</Characters>
  <Application>Microsoft Office Word</Application>
  <DocSecurity>0</DocSecurity>
  <Lines>55</Lines>
  <Paragraphs>31</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Input on the guidelines for harmonizing Plenipotentiary Conference resolutions and decisions</dc:title>
  <dc:subject>ITU Council 2025</dc:subject>
  <cp:keywords>C2025, C25, Council-25</cp:keywords>
  <dc:description/>
  <dcterms:created xsi:type="dcterms:W3CDTF">2025-06-12T15:20:00Z</dcterms:created>
  <dcterms:modified xsi:type="dcterms:W3CDTF">2025-06-12T15:20:00Z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