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7E040377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F81D3A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779937E" w14:textId="453C2004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23102F">
              <w:rPr>
                <w:b/>
              </w:rPr>
              <w:t>90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1462281C" w:rsidR="00AD3606" w:rsidRPr="00C0458D" w:rsidRDefault="0023102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068271F3" w:rsidR="00AD3606" w:rsidRPr="000F7289" w:rsidRDefault="0098469E" w:rsidP="00945CC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295C05">
              <w:t xml:space="preserve">Contribution by </w:t>
            </w:r>
            <w:r>
              <w:t>Saudi Arabia (Kingdom of), Kuwait (State of), Morocco (Kingdom of), Qatar (State of), South Africa (Republic of),</w:t>
            </w:r>
            <w:r w:rsidR="00744872">
              <w:t xml:space="preserve"> and</w:t>
            </w:r>
            <w:r>
              <w:t xml:space="preserve"> Tunisia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0A9E8541" w:rsidR="00AD3606" w:rsidRPr="000B5353" w:rsidRDefault="00F81D3A" w:rsidP="0054108E">
            <w:pPr>
              <w:pStyle w:val="Subtitle"/>
              <w:framePr w:hSpace="0" w:wrap="auto" w:xAlign="left" w:yAlign="inline"/>
              <w:rPr>
                <w:lang w:val="en-US"/>
              </w:rPr>
            </w:pPr>
            <w:bookmarkStart w:id="9" w:name="dtitle1" w:colFirst="0" w:colLast="0"/>
            <w:bookmarkEnd w:id="8"/>
            <w:r w:rsidRPr="001F5770">
              <w:rPr>
                <w:lang w:val="en-US"/>
              </w:rPr>
              <w:t>REFLECTIONS ON THE ITU RESOURCE MOBILIZATION STRATEGY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602F71CA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45503F77" w14:textId="4DD54B53" w:rsidR="00DF050E" w:rsidRPr="00DF050E" w:rsidRDefault="00AE0359" w:rsidP="001F5770">
            <w:pPr>
              <w:spacing w:before="160"/>
              <w:rPr>
                <w:lang w:val="en-US"/>
              </w:rPr>
            </w:pPr>
            <w:r w:rsidRPr="00AE0359">
              <w:rPr>
                <w:lang w:val="en-US"/>
              </w:rPr>
              <w:t xml:space="preserve">This contribution </w:t>
            </w:r>
            <w:r w:rsidR="00EA1992">
              <w:rPr>
                <w:lang w:val="en-US"/>
              </w:rPr>
              <w:t xml:space="preserve">appreciates </w:t>
            </w:r>
            <w:r w:rsidR="00101F6B" w:rsidRPr="00AE0359">
              <w:rPr>
                <w:lang w:val="en-US"/>
              </w:rPr>
              <w:t xml:space="preserve">the efforts of the ITU </w:t>
            </w:r>
            <w:r w:rsidR="00127816">
              <w:rPr>
                <w:lang w:val="en-US"/>
              </w:rPr>
              <w:t>s</w:t>
            </w:r>
            <w:r w:rsidR="00101F6B" w:rsidRPr="00AE0359">
              <w:rPr>
                <w:lang w:val="en-US"/>
              </w:rPr>
              <w:t>ecretariat and emphasizes the value of developing a clear roadmap to translate the strategy into concrete and coordinated actions across the Union.</w:t>
            </w:r>
            <w:r w:rsidR="002C30E5">
              <w:rPr>
                <w:lang w:val="en-US"/>
              </w:rPr>
              <w:t xml:space="preserve"> </w:t>
            </w:r>
          </w:p>
          <w:p w14:paraId="4288AA6F" w14:textId="18345BA8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CE8D4BB" w14:textId="77777777" w:rsidR="009B7ED4" w:rsidRDefault="009B7ED4" w:rsidP="001E1378">
            <w:pPr>
              <w:jc w:val="both"/>
              <w:rPr>
                <w:rFonts w:asciiTheme="minorHAnsi" w:hAnsiTheme="minorHAnsi" w:cstheme="minorHAnsi"/>
              </w:rPr>
            </w:pPr>
            <w:r w:rsidRPr="003E7E89">
              <w:rPr>
                <w:rFonts w:asciiTheme="minorHAnsi" w:hAnsiTheme="minorHAnsi" w:cstheme="minorHAnsi"/>
              </w:rPr>
              <w:t xml:space="preserve">The council is invited </w:t>
            </w:r>
            <w:r w:rsidRPr="00AC3E2F">
              <w:rPr>
                <w:rFonts w:asciiTheme="minorHAnsi" w:hAnsiTheme="minorHAnsi" w:cstheme="minorHAnsi"/>
              </w:rPr>
              <w:t>to</w:t>
            </w:r>
            <w:r w:rsidRPr="003E7E89">
              <w:rPr>
                <w:rFonts w:asciiTheme="minorHAnsi" w:hAnsiTheme="minorHAnsi" w:cstheme="minorHAnsi"/>
                <w:b/>
                <w:bCs/>
              </w:rPr>
              <w:t xml:space="preserve"> consider</w:t>
            </w:r>
            <w:r w:rsidRPr="003E7E89">
              <w:rPr>
                <w:rFonts w:asciiTheme="minorHAnsi" w:hAnsiTheme="minorHAnsi" w:cstheme="minorHAnsi"/>
              </w:rPr>
              <w:t xml:space="preserve"> this contribution and </w:t>
            </w:r>
            <w:r w:rsidRPr="003E7E89">
              <w:rPr>
                <w:rFonts w:asciiTheme="minorHAnsi" w:hAnsiTheme="minorHAnsi" w:cstheme="minorHAnsi"/>
                <w:b/>
                <w:bCs/>
              </w:rPr>
              <w:t>take the necessary action</w:t>
            </w:r>
            <w:r w:rsidRPr="003E7E89">
              <w:rPr>
                <w:rFonts w:asciiTheme="minorHAnsi" w:hAnsiTheme="minorHAnsi" w:cstheme="minorHAnsi"/>
              </w:rPr>
              <w:t xml:space="preserve"> accordingly.</w:t>
            </w:r>
          </w:p>
          <w:p w14:paraId="08939791" w14:textId="6BE14A35" w:rsidR="00C0458D" w:rsidRPr="009B7ED4" w:rsidRDefault="00C0458D" w:rsidP="009B7ED4">
            <w:pPr>
              <w:rPr>
                <w:rFonts w:asciiTheme="minorHAnsi" w:hAnsiTheme="minorHAnsi" w:cstheme="minorHAnsi"/>
              </w:rPr>
            </w:pPr>
            <w:r>
              <w:t>_______________</w:t>
            </w:r>
          </w:p>
          <w:p w14:paraId="212A584A" w14:textId="61454405" w:rsidR="00AD3606" w:rsidRPr="00C0458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References</w:t>
            </w:r>
          </w:p>
          <w:p w14:paraId="7089D4B7" w14:textId="26FD0FC2" w:rsidR="00AD3606" w:rsidRPr="00F81D3A" w:rsidRDefault="00F81D3A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F81D3A">
              <w:rPr>
                <w:i/>
                <w:iCs/>
                <w:sz w:val="22"/>
                <w:szCs w:val="22"/>
              </w:rPr>
              <w:t xml:space="preserve">Documents </w:t>
            </w:r>
            <w:hyperlink r:id="rId9">
              <w:r w:rsidR="00DF050E" w:rsidRPr="00F81D3A">
                <w:rPr>
                  <w:rStyle w:val="Hyperlink"/>
                  <w:i/>
                  <w:iCs/>
                  <w:sz w:val="22"/>
                  <w:szCs w:val="22"/>
                </w:rPr>
                <w:t>CWG-FHR-17/INF/9</w:t>
              </w:r>
            </w:hyperlink>
            <w:r w:rsidRPr="00F81D3A">
              <w:rPr>
                <w:i/>
                <w:iCs/>
                <w:sz w:val="22"/>
                <w:szCs w:val="22"/>
              </w:rPr>
              <w:t xml:space="preserve"> and </w:t>
            </w:r>
            <w:hyperlink r:id="rId10">
              <w:r w:rsidR="00DF050E" w:rsidRPr="00F81D3A">
                <w:rPr>
                  <w:rStyle w:val="Hyperlink"/>
                  <w:rFonts w:eastAsia="Calibri" w:cs="Calibri"/>
                  <w:i/>
                  <w:iCs/>
                  <w:sz w:val="22"/>
                  <w:szCs w:val="22"/>
                </w:rPr>
                <w:t>C24/70</w:t>
              </w:r>
            </w:hyperlink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0"/>
    <w:p w14:paraId="461F8F36" w14:textId="4E52C052" w:rsidR="00DF050E" w:rsidRPr="006B3E74" w:rsidRDefault="00DF050E" w:rsidP="00293309">
      <w:pPr>
        <w:pStyle w:val="Headingb"/>
      </w:pPr>
      <w:r w:rsidRPr="006B3E74">
        <w:lastRenderedPageBreak/>
        <w:t>Introduction</w:t>
      </w:r>
    </w:p>
    <w:p w14:paraId="70182029" w14:textId="3EEC9FFD" w:rsidR="00A0511D" w:rsidRPr="00A0511D" w:rsidRDefault="00A0511D" w:rsidP="00A0511D">
      <w:pPr>
        <w:shd w:val="clear" w:color="auto" w:fill="FFFFFF" w:themeFill="background1"/>
        <w:spacing w:after="120"/>
        <w:jc w:val="both"/>
        <w:rPr>
          <w:rFonts w:eastAsiaTheme="minorEastAsia"/>
          <w:color w:val="000000" w:themeColor="text1"/>
          <w:szCs w:val="24"/>
          <w:lang w:val="en-US"/>
        </w:rPr>
      </w:pPr>
      <w:r w:rsidRPr="00A0511D">
        <w:rPr>
          <w:rFonts w:eastAsiaTheme="minorEastAsia"/>
          <w:color w:val="000000" w:themeColor="text1"/>
          <w:szCs w:val="24"/>
          <w:lang w:val="en-US"/>
        </w:rPr>
        <w:t xml:space="preserve">In response to Decision 5 (Rev. Bucharest, 2022) of the Plenipotentiary Conference, the ITU </w:t>
      </w:r>
      <w:r w:rsidR="00127816">
        <w:rPr>
          <w:rFonts w:eastAsiaTheme="minorEastAsia"/>
          <w:color w:val="000000" w:themeColor="text1"/>
          <w:szCs w:val="24"/>
          <w:lang w:val="en-US"/>
        </w:rPr>
        <w:t>s</w:t>
      </w:r>
      <w:r w:rsidRPr="00A0511D">
        <w:rPr>
          <w:rFonts w:eastAsiaTheme="minorEastAsia"/>
          <w:color w:val="000000" w:themeColor="text1"/>
          <w:szCs w:val="24"/>
          <w:lang w:val="en-US"/>
        </w:rPr>
        <w:t>ecretariat has undertaken a series of structured and inclusive consultations to develop an ITU-wide resource mobilization strategy. This process has been carried out through multiple meetings and engagement approaches that enabled valuable contributions from a wide range of stakeholders.</w:t>
      </w:r>
    </w:p>
    <w:p w14:paraId="6896B07D" w14:textId="1919CE12" w:rsidR="00A0511D" w:rsidRPr="00A0511D" w:rsidRDefault="00A0511D" w:rsidP="00A0511D">
      <w:pPr>
        <w:shd w:val="clear" w:color="auto" w:fill="FFFFFF" w:themeFill="background1"/>
        <w:spacing w:after="120"/>
        <w:jc w:val="both"/>
        <w:rPr>
          <w:rFonts w:eastAsiaTheme="minorEastAsia"/>
          <w:color w:val="000000" w:themeColor="text1"/>
          <w:szCs w:val="24"/>
          <w:lang w:val="en-US"/>
        </w:rPr>
      </w:pPr>
      <w:r w:rsidRPr="00A0511D">
        <w:rPr>
          <w:rFonts w:eastAsiaTheme="minorEastAsia"/>
          <w:color w:val="000000" w:themeColor="text1"/>
          <w:szCs w:val="24"/>
          <w:lang w:val="en-US"/>
        </w:rPr>
        <w:t>These efforts included a brainstorming session held during the CWG-FHR meeting in January</w:t>
      </w:r>
      <w:r w:rsidR="00AC3E2F">
        <w:rPr>
          <w:rFonts w:eastAsiaTheme="minorEastAsia"/>
          <w:color w:val="000000" w:themeColor="text1"/>
          <w:szCs w:val="24"/>
          <w:lang w:val="en-US"/>
        </w:rPr>
        <w:t> </w:t>
      </w:r>
      <w:r w:rsidRPr="00A0511D">
        <w:rPr>
          <w:rFonts w:eastAsiaTheme="minorEastAsia"/>
          <w:color w:val="000000" w:themeColor="text1"/>
          <w:szCs w:val="24"/>
          <w:lang w:val="en-US"/>
        </w:rPr>
        <w:t>2024 (</w:t>
      </w:r>
      <w:r w:rsidR="00293309">
        <w:rPr>
          <w:rFonts w:eastAsiaTheme="minorEastAsia"/>
          <w:color w:val="000000" w:themeColor="text1"/>
          <w:szCs w:val="24"/>
          <w:lang w:val="en-US"/>
        </w:rPr>
        <w:t xml:space="preserve">Doc. </w:t>
      </w:r>
      <w:hyperlink r:id="rId11" w:history="1">
        <w:r w:rsidRPr="00E5686E">
          <w:rPr>
            <w:rStyle w:val="Hyperlink"/>
            <w:rFonts w:eastAsiaTheme="minorEastAsia"/>
            <w:szCs w:val="24"/>
            <w:lang w:val="en-US"/>
          </w:rPr>
          <w:t>CWG-FHR-17/INF/9</w:t>
        </w:r>
      </w:hyperlink>
      <w:r w:rsidRPr="00A0511D">
        <w:rPr>
          <w:rFonts w:eastAsiaTheme="minorEastAsia"/>
          <w:color w:val="000000" w:themeColor="text1"/>
          <w:szCs w:val="24"/>
          <w:lang w:val="en-US"/>
        </w:rPr>
        <w:t>), which gathered over 50 delegates, as well as a World Café discussion that fostered open and informal dialogue on strategic priorities. To further broaden input, a CWG-FHR correspondence group was established in March 2024, allowing Member States to provide additional perspectives and feedback on the strategy’s potential elements.</w:t>
      </w:r>
    </w:p>
    <w:p w14:paraId="7E18C816" w14:textId="19D6CB9C" w:rsidR="00A0511D" w:rsidRPr="001F5770" w:rsidRDefault="00A0511D">
      <w:pPr>
        <w:shd w:val="clear" w:color="auto" w:fill="FFFFFF" w:themeFill="background1"/>
        <w:spacing w:after="120"/>
        <w:jc w:val="both"/>
        <w:rPr>
          <w:rFonts w:eastAsiaTheme="minorEastAsia"/>
          <w:color w:val="000000" w:themeColor="text1"/>
          <w:szCs w:val="24"/>
          <w:lang w:val="en-US"/>
        </w:rPr>
      </w:pPr>
      <w:r w:rsidRPr="00A0511D">
        <w:rPr>
          <w:rFonts w:eastAsiaTheme="minorEastAsia"/>
          <w:color w:val="000000" w:themeColor="text1"/>
          <w:szCs w:val="24"/>
          <w:lang w:val="en-US"/>
        </w:rPr>
        <w:t>The resulting strategy was presented to the 2024 session of the Council (Doc</w:t>
      </w:r>
      <w:r w:rsidR="00293309">
        <w:rPr>
          <w:rFonts w:eastAsiaTheme="minorEastAsia"/>
          <w:color w:val="000000" w:themeColor="text1"/>
          <w:szCs w:val="24"/>
          <w:lang w:val="en-US"/>
        </w:rPr>
        <w:t>.</w:t>
      </w:r>
      <w:r w:rsidRPr="00A0511D">
        <w:rPr>
          <w:rFonts w:eastAsiaTheme="minorEastAsia"/>
          <w:color w:val="000000" w:themeColor="text1"/>
          <w:szCs w:val="24"/>
          <w:lang w:val="en-US"/>
        </w:rPr>
        <w:t xml:space="preserve"> </w:t>
      </w:r>
      <w:hyperlink r:id="rId12">
        <w:r w:rsidR="00E5686E" w:rsidRPr="239BD58E">
          <w:rPr>
            <w:rStyle w:val="Hyperlink"/>
            <w:rFonts w:eastAsia="Calibri" w:cs="Calibri"/>
          </w:rPr>
          <w:t>C24/70</w:t>
        </w:r>
      </w:hyperlink>
      <w:r w:rsidRPr="00A0511D">
        <w:rPr>
          <w:rFonts w:eastAsiaTheme="minorEastAsia"/>
          <w:color w:val="000000" w:themeColor="text1"/>
          <w:szCs w:val="24"/>
          <w:lang w:val="en-US"/>
        </w:rPr>
        <w:t>) and is structured around three key pillars: strengthening membership engagement; leveraging ITU events, products, and services; and increasing voluntary contributions.</w:t>
      </w:r>
    </w:p>
    <w:p w14:paraId="1AC023D5" w14:textId="57A8DDDC" w:rsidR="00DF050E" w:rsidRDefault="00DF050E" w:rsidP="00293309">
      <w:pPr>
        <w:pStyle w:val="Headingb"/>
      </w:pPr>
      <w:r w:rsidRPr="006B3E74">
        <w:t>Discussion</w:t>
      </w:r>
    </w:p>
    <w:p w14:paraId="2C8C4BF7" w14:textId="3E17782D" w:rsidR="007143F3" w:rsidRPr="007143F3" w:rsidRDefault="007143F3">
      <w:pPr>
        <w:jc w:val="both"/>
        <w:rPr>
          <w:rFonts w:eastAsiaTheme="minorEastAsia"/>
          <w:color w:val="000000" w:themeColor="text1"/>
          <w:szCs w:val="24"/>
          <w:lang w:val="en-US"/>
        </w:rPr>
      </w:pPr>
      <w:r w:rsidRPr="007143F3">
        <w:rPr>
          <w:rFonts w:eastAsiaTheme="minorEastAsia"/>
          <w:color w:val="000000" w:themeColor="text1"/>
          <w:szCs w:val="24"/>
          <w:lang w:val="en-US"/>
        </w:rPr>
        <w:t xml:space="preserve">We would like to express our appreciation for the significant efforts made by the ITU </w:t>
      </w:r>
      <w:r w:rsidR="00127816">
        <w:rPr>
          <w:rFonts w:eastAsiaTheme="minorEastAsia"/>
          <w:color w:val="000000" w:themeColor="text1"/>
          <w:szCs w:val="24"/>
          <w:lang w:val="en-US"/>
        </w:rPr>
        <w:t>s</w:t>
      </w:r>
      <w:r w:rsidRPr="007143F3">
        <w:rPr>
          <w:rFonts w:eastAsiaTheme="minorEastAsia"/>
          <w:color w:val="000000" w:themeColor="text1"/>
          <w:szCs w:val="24"/>
          <w:lang w:val="en-US"/>
        </w:rPr>
        <w:t>ecretariat in response to Decision 5 (Rev. Bucharest, 2022). The consultative and</w:t>
      </w:r>
      <w:r w:rsidR="0081477E">
        <w:rPr>
          <w:rFonts w:eastAsiaTheme="minorEastAsia"/>
          <w:color w:val="000000" w:themeColor="text1"/>
          <w:szCs w:val="24"/>
          <w:lang w:val="en-US"/>
        </w:rPr>
        <w:t xml:space="preserve"> inclusive processes undertaken, </w:t>
      </w:r>
      <w:r w:rsidRPr="007143F3">
        <w:rPr>
          <w:rFonts w:eastAsiaTheme="minorEastAsia"/>
          <w:color w:val="000000" w:themeColor="text1"/>
          <w:szCs w:val="24"/>
          <w:lang w:val="en-US"/>
        </w:rPr>
        <w:t>including the resource mobilization brainstorming session, the World Café discussions, the CWG-FHR brainstorming lunch, and the outco</w:t>
      </w:r>
      <w:r w:rsidR="0081477E">
        <w:rPr>
          <w:rFonts w:eastAsiaTheme="minorEastAsia"/>
          <w:color w:val="000000" w:themeColor="text1"/>
          <w:szCs w:val="24"/>
          <w:lang w:val="en-US"/>
        </w:rPr>
        <w:t xml:space="preserve">mes of the correspondence group, </w:t>
      </w:r>
      <w:r w:rsidRPr="007143F3">
        <w:rPr>
          <w:rFonts w:eastAsiaTheme="minorEastAsia"/>
          <w:color w:val="000000" w:themeColor="text1"/>
          <w:szCs w:val="24"/>
          <w:lang w:val="en-US"/>
        </w:rPr>
        <w:t>have engaged a wide range of stakeholders and generated valuable insights to inform the development of the strategy.</w:t>
      </w:r>
    </w:p>
    <w:p w14:paraId="1D4B0319" w14:textId="77777777" w:rsidR="007143F3" w:rsidRPr="007143F3" w:rsidRDefault="007143F3">
      <w:pPr>
        <w:jc w:val="both"/>
        <w:rPr>
          <w:rFonts w:eastAsiaTheme="minorEastAsia"/>
          <w:color w:val="000000" w:themeColor="text1"/>
          <w:szCs w:val="24"/>
          <w:lang w:val="en-US"/>
        </w:rPr>
      </w:pPr>
      <w:r w:rsidRPr="007143F3">
        <w:rPr>
          <w:rFonts w:eastAsiaTheme="minorEastAsia"/>
          <w:color w:val="000000" w:themeColor="text1"/>
          <w:szCs w:val="24"/>
          <w:lang w:val="en-US"/>
        </w:rPr>
        <w:t>These efforts represent an important step forward in advancing a more structured and strategic approach to resource mobilization across the Union. The strategy’s focus on strengthening membership, leveraging ITU’s services and events, and increasing voluntary contributions provides a solid foundation upon which future actions can be built.</w:t>
      </w:r>
    </w:p>
    <w:p w14:paraId="61C28AAE" w14:textId="604DCC84" w:rsidR="007143F3" w:rsidRPr="007143F3" w:rsidRDefault="007143F3">
      <w:pPr>
        <w:jc w:val="both"/>
        <w:rPr>
          <w:rFonts w:eastAsiaTheme="minorEastAsia"/>
          <w:color w:val="000000" w:themeColor="text1"/>
          <w:szCs w:val="24"/>
          <w:lang w:val="en-US"/>
        </w:rPr>
      </w:pPr>
      <w:r w:rsidRPr="007143F3">
        <w:rPr>
          <w:rFonts w:eastAsiaTheme="minorEastAsia"/>
          <w:color w:val="000000" w:themeColor="text1"/>
          <w:szCs w:val="24"/>
          <w:lang w:val="en-US"/>
        </w:rPr>
        <w:t>As we look ahead, it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 will be </w:t>
      </w:r>
      <w:r w:rsidR="00B8450E">
        <w:rPr>
          <w:rFonts w:eastAsiaTheme="minorEastAsia"/>
          <w:color w:val="000000" w:themeColor="text1"/>
          <w:szCs w:val="24"/>
          <w:lang w:val="en-US"/>
        </w:rPr>
        <w:t>useful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 </w:t>
      </w:r>
      <w:r w:rsidRPr="007143F3">
        <w:rPr>
          <w:rFonts w:eastAsiaTheme="minorEastAsia"/>
          <w:color w:val="000000" w:themeColor="text1"/>
          <w:szCs w:val="24"/>
          <w:lang w:val="en-US"/>
        </w:rPr>
        <w:t xml:space="preserve">to 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elaborate more </w:t>
      </w:r>
      <w:r w:rsidR="00293309">
        <w:rPr>
          <w:rFonts w:eastAsiaTheme="minorEastAsia"/>
          <w:color w:val="000000" w:themeColor="text1"/>
          <w:szCs w:val="24"/>
          <w:lang w:val="en-US"/>
        </w:rPr>
        <w:t xml:space="preserve">on 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the </w:t>
      </w:r>
      <w:r w:rsidRPr="007143F3">
        <w:rPr>
          <w:rFonts w:eastAsiaTheme="minorEastAsia"/>
          <w:color w:val="000000" w:themeColor="text1"/>
          <w:szCs w:val="24"/>
          <w:lang w:val="en-US"/>
        </w:rPr>
        <w:t>implementation pathway, ensuring that there are well-defined linkages between the ideas and inputs gathered and the concrete actio</w:t>
      </w:r>
      <w:r w:rsidR="00B8450E">
        <w:rPr>
          <w:rFonts w:eastAsiaTheme="minorEastAsia"/>
          <w:color w:val="000000" w:themeColor="text1"/>
          <w:szCs w:val="24"/>
          <w:lang w:val="en-US"/>
        </w:rPr>
        <w:t>ns to be undertaken. This will</w:t>
      </w:r>
      <w:r w:rsidRPr="007143F3">
        <w:rPr>
          <w:rFonts w:eastAsiaTheme="minorEastAsia"/>
          <w:color w:val="000000" w:themeColor="text1"/>
          <w:szCs w:val="24"/>
          <w:lang w:val="en-US"/>
        </w:rPr>
        <w:t xml:space="preserve"> help Member States better understand the strategic direction of the</w:t>
      </w:r>
      <w:r w:rsidR="00B8450E">
        <w:rPr>
          <w:rFonts w:eastAsiaTheme="minorEastAsia"/>
          <w:color w:val="000000" w:themeColor="text1"/>
          <w:szCs w:val="24"/>
          <w:lang w:val="en-US"/>
        </w:rPr>
        <w:t xml:space="preserve"> resource mobilization efforts.</w:t>
      </w:r>
    </w:p>
    <w:p w14:paraId="7C50A595" w14:textId="23ABC5ED" w:rsidR="00DF050E" w:rsidRDefault="007143F3" w:rsidP="001F5770">
      <w:pPr>
        <w:jc w:val="both"/>
        <w:rPr>
          <w:b/>
          <w:bCs/>
        </w:rPr>
      </w:pPr>
      <w:r w:rsidRPr="007143F3">
        <w:rPr>
          <w:rFonts w:eastAsiaTheme="minorEastAsia"/>
          <w:color w:val="000000" w:themeColor="text1"/>
          <w:szCs w:val="24"/>
          <w:lang w:val="en-US"/>
        </w:rPr>
        <w:t>Moreover, the development of a clear, phased roadmap with d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efined timelines and </w:t>
      </w:r>
      <w:r w:rsidRPr="007143F3">
        <w:rPr>
          <w:rFonts w:eastAsiaTheme="minorEastAsia"/>
          <w:color w:val="000000" w:themeColor="text1"/>
          <w:szCs w:val="24"/>
          <w:lang w:val="en-US"/>
        </w:rPr>
        <w:t xml:space="preserve">milestones could contribute to the successful operationalization of the strategy. Such a roadmap 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will </w:t>
      </w:r>
      <w:r w:rsidRPr="007143F3">
        <w:rPr>
          <w:rFonts w:eastAsiaTheme="minorEastAsia"/>
          <w:color w:val="000000" w:themeColor="text1"/>
          <w:szCs w:val="24"/>
          <w:lang w:val="en-US"/>
        </w:rPr>
        <w:t xml:space="preserve">support more consistent implementation across the </w:t>
      </w:r>
      <w:r>
        <w:rPr>
          <w:rFonts w:eastAsiaTheme="minorEastAsia"/>
          <w:color w:val="000000" w:themeColor="text1"/>
          <w:szCs w:val="24"/>
          <w:lang w:val="en-US"/>
        </w:rPr>
        <w:t>ITU</w:t>
      </w:r>
      <w:r w:rsidRPr="007143F3">
        <w:rPr>
          <w:rFonts w:eastAsiaTheme="minorEastAsia"/>
          <w:color w:val="000000" w:themeColor="text1"/>
          <w:szCs w:val="24"/>
          <w:lang w:val="en-US"/>
        </w:rPr>
        <w:t>.</w:t>
      </w:r>
    </w:p>
    <w:p w14:paraId="2FDB3FD7" w14:textId="0454131F" w:rsidR="00DF050E" w:rsidRDefault="00DF050E" w:rsidP="00293309">
      <w:pPr>
        <w:pStyle w:val="Headingb"/>
      </w:pPr>
      <w:r w:rsidRPr="006B3E74">
        <w:t>Proposal</w:t>
      </w:r>
    </w:p>
    <w:p w14:paraId="5CF109A9" w14:textId="73466FF2" w:rsidR="002C30E5" w:rsidRPr="001F5770" w:rsidRDefault="000A0F28" w:rsidP="001F5770">
      <w:pPr>
        <w:jc w:val="both"/>
        <w:rPr>
          <w:rFonts w:eastAsiaTheme="minorEastAsia"/>
          <w:color w:val="000000" w:themeColor="text1"/>
          <w:szCs w:val="24"/>
          <w:lang w:val="en-US"/>
        </w:rPr>
      </w:pPr>
      <w:proofErr w:type="gramStart"/>
      <w:r w:rsidRPr="000A0F28">
        <w:rPr>
          <w:rFonts w:eastAsiaTheme="minorEastAsia"/>
          <w:color w:val="000000" w:themeColor="text1"/>
          <w:szCs w:val="24"/>
          <w:lang w:val="en-US"/>
        </w:rPr>
        <w:t>In light of</w:t>
      </w:r>
      <w:proofErr w:type="gramEnd"/>
      <w:r w:rsidRPr="000A0F28">
        <w:rPr>
          <w:rFonts w:eastAsiaTheme="minorEastAsia"/>
          <w:color w:val="000000" w:themeColor="text1"/>
          <w:szCs w:val="24"/>
          <w:lang w:val="en-US"/>
        </w:rPr>
        <w:t xml:space="preserve"> the above discussion, and acknowledging the valuable work carried out by the ITU </w:t>
      </w:r>
      <w:r w:rsidR="00127816">
        <w:rPr>
          <w:rFonts w:eastAsiaTheme="minorEastAsia"/>
          <w:color w:val="000000" w:themeColor="text1"/>
          <w:szCs w:val="24"/>
          <w:lang w:val="en-US"/>
        </w:rPr>
        <w:t>s</w:t>
      </w:r>
      <w:r w:rsidRPr="000A0F28">
        <w:rPr>
          <w:rFonts w:eastAsiaTheme="minorEastAsia"/>
          <w:color w:val="000000" w:themeColor="text1"/>
          <w:szCs w:val="24"/>
          <w:lang w:val="en-US"/>
        </w:rPr>
        <w:t xml:space="preserve">ecretariat, we 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suggest </w:t>
      </w:r>
      <w:r w:rsidR="006E14BB">
        <w:rPr>
          <w:rFonts w:eastAsiaTheme="minorEastAsia"/>
          <w:color w:val="000000" w:themeColor="text1"/>
          <w:szCs w:val="24"/>
          <w:lang w:val="en-US"/>
        </w:rPr>
        <w:t xml:space="preserve">the </w:t>
      </w:r>
      <w:r w:rsidRPr="000A0F28">
        <w:rPr>
          <w:rFonts w:eastAsiaTheme="minorEastAsia"/>
          <w:color w:val="000000" w:themeColor="text1"/>
          <w:szCs w:val="24"/>
          <w:lang w:val="en-US"/>
        </w:rPr>
        <w:t>development of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 </w:t>
      </w:r>
      <w:r w:rsidR="006E14BB">
        <w:rPr>
          <w:rFonts w:eastAsiaTheme="minorEastAsia"/>
          <w:color w:val="000000" w:themeColor="text1"/>
          <w:szCs w:val="24"/>
          <w:lang w:val="en-US"/>
        </w:rPr>
        <w:t xml:space="preserve">a </w:t>
      </w:r>
      <w:r w:rsidR="00101F6B" w:rsidRPr="007143F3">
        <w:rPr>
          <w:rFonts w:eastAsiaTheme="minorEastAsia"/>
          <w:color w:val="000000" w:themeColor="text1"/>
          <w:szCs w:val="24"/>
          <w:lang w:val="en-US"/>
        </w:rPr>
        <w:t>phased roadmap with d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efined timelines and </w:t>
      </w:r>
      <w:r w:rsidR="00101F6B" w:rsidRPr="007143F3">
        <w:rPr>
          <w:rFonts w:eastAsiaTheme="minorEastAsia"/>
          <w:color w:val="000000" w:themeColor="text1"/>
          <w:szCs w:val="24"/>
          <w:lang w:val="en-US"/>
        </w:rPr>
        <w:t>milestones</w:t>
      </w:r>
      <w:r w:rsidR="00101F6B">
        <w:rPr>
          <w:rFonts w:eastAsiaTheme="minorEastAsia"/>
          <w:color w:val="000000" w:themeColor="text1"/>
          <w:szCs w:val="24"/>
          <w:lang w:val="en-US"/>
        </w:rPr>
        <w:t xml:space="preserve"> </w:t>
      </w:r>
      <w:r w:rsidR="00101F6B" w:rsidRPr="000A0F28">
        <w:rPr>
          <w:rFonts w:eastAsiaTheme="minorEastAsia"/>
          <w:color w:val="000000" w:themeColor="text1"/>
          <w:szCs w:val="24"/>
          <w:lang w:val="en-US"/>
        </w:rPr>
        <w:t>to</w:t>
      </w:r>
      <w:r w:rsidRPr="000A0F28">
        <w:rPr>
          <w:rFonts w:eastAsiaTheme="minorEastAsia"/>
          <w:color w:val="000000" w:themeColor="text1"/>
          <w:szCs w:val="24"/>
          <w:lang w:val="en-US"/>
        </w:rPr>
        <w:t xml:space="preserve"> guide the implementation of the resource mobilization strategy and </w:t>
      </w:r>
      <w:r w:rsidR="002C30E5">
        <w:rPr>
          <w:rFonts w:eastAsiaTheme="minorEastAsia"/>
          <w:color w:val="000000" w:themeColor="text1"/>
          <w:szCs w:val="24"/>
          <w:lang w:val="en-US"/>
        </w:rPr>
        <w:t>support its effective execution</w:t>
      </w:r>
      <w:r w:rsidR="00293309">
        <w:rPr>
          <w:rFonts w:eastAsiaTheme="minorEastAsia"/>
          <w:color w:val="000000" w:themeColor="text1"/>
          <w:szCs w:val="24"/>
          <w:lang w:val="en-US"/>
        </w:rPr>
        <w:t>,</w:t>
      </w:r>
      <w:r w:rsidR="002C30E5">
        <w:rPr>
          <w:rFonts w:eastAsiaTheme="minorEastAsia"/>
          <w:color w:val="000000" w:themeColor="text1"/>
          <w:szCs w:val="24"/>
          <w:lang w:val="en-US"/>
        </w:rPr>
        <w:t xml:space="preserve"> aiming at </w:t>
      </w:r>
      <w:r w:rsidR="002C30E5" w:rsidRPr="002C30E5">
        <w:rPr>
          <w:rFonts w:eastAsiaTheme="minorEastAsia"/>
          <w:color w:val="000000" w:themeColor="text1"/>
          <w:szCs w:val="24"/>
          <w:lang w:val="en-US"/>
        </w:rPr>
        <w:t>enhanci</w:t>
      </w:r>
      <w:r w:rsidR="002C30E5">
        <w:rPr>
          <w:rFonts w:eastAsiaTheme="minorEastAsia"/>
          <w:color w:val="000000" w:themeColor="text1"/>
          <w:szCs w:val="24"/>
          <w:lang w:val="en-US"/>
        </w:rPr>
        <w:t>ng</w:t>
      </w:r>
      <w:r w:rsidR="002C30E5" w:rsidRPr="001F5770">
        <w:rPr>
          <w:rFonts w:eastAsiaTheme="minorEastAsia"/>
          <w:color w:val="000000" w:themeColor="text1"/>
          <w:szCs w:val="24"/>
          <w:lang w:val="en-US"/>
        </w:rPr>
        <w:t xml:space="preserve"> the financial sustainability of the Union.</w:t>
      </w:r>
    </w:p>
    <w:p w14:paraId="1EA7C0C9" w14:textId="25769FD3" w:rsidR="000A0F28" w:rsidRPr="002C30E5" w:rsidRDefault="000A0F28">
      <w:pPr>
        <w:jc w:val="both"/>
        <w:rPr>
          <w:rFonts w:eastAsiaTheme="minorEastAsia"/>
          <w:color w:val="000000" w:themeColor="text1"/>
          <w:szCs w:val="24"/>
          <w:lang w:val="en-US"/>
        </w:rPr>
      </w:pPr>
    </w:p>
    <w:p w14:paraId="35C6D0A5" w14:textId="31ABD101" w:rsidR="007A3FCD" w:rsidRPr="00293309" w:rsidRDefault="00293309" w:rsidP="00293309">
      <w:pPr>
        <w:jc w:val="center"/>
      </w:pPr>
      <w:r>
        <w:t>______________</w:t>
      </w:r>
    </w:p>
    <w:sectPr w:rsidR="007A3FCD" w:rsidRPr="00293309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E0AB" w14:textId="77777777" w:rsidR="000A17C0" w:rsidRDefault="000A17C0">
      <w:r>
        <w:separator/>
      </w:r>
    </w:p>
  </w:endnote>
  <w:endnote w:type="continuationSeparator" w:id="0">
    <w:p w14:paraId="5B056C21" w14:textId="77777777" w:rsidR="000A17C0" w:rsidRDefault="000A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5B25AB45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F81D3A">
            <w:rPr>
              <w:bCs/>
            </w:rPr>
            <w:t>90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B561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56A55555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F81D3A">
            <w:rPr>
              <w:bCs/>
            </w:rPr>
            <w:t>90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B561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1925" w14:textId="77777777" w:rsidR="000A17C0" w:rsidRDefault="000A17C0">
      <w:r>
        <w:t>____________________</w:t>
      </w:r>
    </w:p>
  </w:footnote>
  <w:footnote w:type="continuationSeparator" w:id="0">
    <w:p w14:paraId="2FA9185C" w14:textId="77777777" w:rsidR="000A17C0" w:rsidRDefault="000A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en-US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DDE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76447"/>
    <w:multiLevelType w:val="multilevel"/>
    <w:tmpl w:val="A4BC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E2E77"/>
    <w:multiLevelType w:val="hybridMultilevel"/>
    <w:tmpl w:val="7F9E5382"/>
    <w:lvl w:ilvl="0" w:tplc="F972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0FA0"/>
    <w:multiLevelType w:val="hybridMultilevel"/>
    <w:tmpl w:val="37F4FC08"/>
    <w:lvl w:ilvl="0" w:tplc="AE0C8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3572C"/>
    <w:multiLevelType w:val="hybridMultilevel"/>
    <w:tmpl w:val="016499A8"/>
    <w:lvl w:ilvl="0" w:tplc="F8CE8354">
      <w:start w:val="1"/>
      <w:numFmt w:val="bullet"/>
      <w:lvlText w:val="‾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CC7"/>
    <w:multiLevelType w:val="multilevel"/>
    <w:tmpl w:val="650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9640C"/>
    <w:multiLevelType w:val="hybridMultilevel"/>
    <w:tmpl w:val="6B2264BE"/>
    <w:lvl w:ilvl="0" w:tplc="F972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758270">
    <w:abstractNumId w:val="0"/>
  </w:num>
  <w:num w:numId="2" w16cid:durableId="1045567710">
    <w:abstractNumId w:val="1"/>
  </w:num>
  <w:num w:numId="3" w16cid:durableId="273287224">
    <w:abstractNumId w:val="5"/>
  </w:num>
  <w:num w:numId="4" w16cid:durableId="175310269">
    <w:abstractNumId w:val="6"/>
  </w:num>
  <w:num w:numId="5" w16cid:durableId="2140688806">
    <w:abstractNumId w:val="3"/>
  </w:num>
  <w:num w:numId="6" w16cid:durableId="643586378">
    <w:abstractNumId w:val="2"/>
  </w:num>
  <w:num w:numId="7" w16cid:durableId="171588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F8"/>
    <w:rsid w:val="000210D4"/>
    <w:rsid w:val="0006007D"/>
    <w:rsid w:val="00063016"/>
    <w:rsid w:val="00066795"/>
    <w:rsid w:val="000745AB"/>
    <w:rsid w:val="00076AF6"/>
    <w:rsid w:val="00085CF2"/>
    <w:rsid w:val="000867C3"/>
    <w:rsid w:val="000A0F28"/>
    <w:rsid w:val="000A17C0"/>
    <w:rsid w:val="000B1705"/>
    <w:rsid w:val="000B5353"/>
    <w:rsid w:val="000D75B2"/>
    <w:rsid w:val="000F5DDB"/>
    <w:rsid w:val="000F7289"/>
    <w:rsid w:val="00101F6B"/>
    <w:rsid w:val="001121F5"/>
    <w:rsid w:val="00127816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E0F7B"/>
    <w:rsid w:val="001E1378"/>
    <w:rsid w:val="001F0DF5"/>
    <w:rsid w:val="001F5569"/>
    <w:rsid w:val="001F5770"/>
    <w:rsid w:val="002119FD"/>
    <w:rsid w:val="002130E0"/>
    <w:rsid w:val="00221F46"/>
    <w:rsid w:val="0023102F"/>
    <w:rsid w:val="00240B32"/>
    <w:rsid w:val="00264425"/>
    <w:rsid w:val="00265875"/>
    <w:rsid w:val="0027303B"/>
    <w:rsid w:val="0028109B"/>
    <w:rsid w:val="00293309"/>
    <w:rsid w:val="002A2188"/>
    <w:rsid w:val="002B1F58"/>
    <w:rsid w:val="002B5616"/>
    <w:rsid w:val="002C1C7A"/>
    <w:rsid w:val="002C30E5"/>
    <w:rsid w:val="002C54E2"/>
    <w:rsid w:val="002E0444"/>
    <w:rsid w:val="0030160F"/>
    <w:rsid w:val="00320223"/>
    <w:rsid w:val="00322D0D"/>
    <w:rsid w:val="00337339"/>
    <w:rsid w:val="00361465"/>
    <w:rsid w:val="00377413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4108E"/>
    <w:rsid w:val="00564FBC"/>
    <w:rsid w:val="005800BC"/>
    <w:rsid w:val="00582442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6E14BB"/>
    <w:rsid w:val="00702DEF"/>
    <w:rsid w:val="00706861"/>
    <w:rsid w:val="007143F3"/>
    <w:rsid w:val="00722551"/>
    <w:rsid w:val="007249F0"/>
    <w:rsid w:val="00744872"/>
    <w:rsid w:val="0075051B"/>
    <w:rsid w:val="0077110E"/>
    <w:rsid w:val="00793188"/>
    <w:rsid w:val="00794D34"/>
    <w:rsid w:val="007A3FCD"/>
    <w:rsid w:val="007B19CF"/>
    <w:rsid w:val="007D01AF"/>
    <w:rsid w:val="007F02A5"/>
    <w:rsid w:val="00813E5E"/>
    <w:rsid w:val="0081477E"/>
    <w:rsid w:val="0083581B"/>
    <w:rsid w:val="00863874"/>
    <w:rsid w:val="00864AFF"/>
    <w:rsid w:val="00865925"/>
    <w:rsid w:val="008B4A6A"/>
    <w:rsid w:val="008C7E27"/>
    <w:rsid w:val="008D1365"/>
    <w:rsid w:val="008D50F1"/>
    <w:rsid w:val="008F7448"/>
    <w:rsid w:val="0090147A"/>
    <w:rsid w:val="009173EF"/>
    <w:rsid w:val="00932906"/>
    <w:rsid w:val="00945CC6"/>
    <w:rsid w:val="00961B0B"/>
    <w:rsid w:val="00962D33"/>
    <w:rsid w:val="0098469E"/>
    <w:rsid w:val="009B38C3"/>
    <w:rsid w:val="009B7ED4"/>
    <w:rsid w:val="009E17BD"/>
    <w:rsid w:val="009E485A"/>
    <w:rsid w:val="00A04CEC"/>
    <w:rsid w:val="00A0511D"/>
    <w:rsid w:val="00A175B8"/>
    <w:rsid w:val="00A27F92"/>
    <w:rsid w:val="00A3180E"/>
    <w:rsid w:val="00A32257"/>
    <w:rsid w:val="00A36D20"/>
    <w:rsid w:val="00A514A4"/>
    <w:rsid w:val="00A55622"/>
    <w:rsid w:val="00A83502"/>
    <w:rsid w:val="00A94BAB"/>
    <w:rsid w:val="00AC3E2F"/>
    <w:rsid w:val="00AD15B3"/>
    <w:rsid w:val="00AD3606"/>
    <w:rsid w:val="00AD4A3D"/>
    <w:rsid w:val="00AD677D"/>
    <w:rsid w:val="00AE0359"/>
    <w:rsid w:val="00AF6E49"/>
    <w:rsid w:val="00B04A67"/>
    <w:rsid w:val="00B0583C"/>
    <w:rsid w:val="00B40A81"/>
    <w:rsid w:val="00B44910"/>
    <w:rsid w:val="00B518E3"/>
    <w:rsid w:val="00B56E2F"/>
    <w:rsid w:val="00B72267"/>
    <w:rsid w:val="00B76EB6"/>
    <w:rsid w:val="00B7737B"/>
    <w:rsid w:val="00B824C8"/>
    <w:rsid w:val="00B8450E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B3A44"/>
    <w:rsid w:val="00CD0C08"/>
    <w:rsid w:val="00CE03FB"/>
    <w:rsid w:val="00CE433C"/>
    <w:rsid w:val="00CF0161"/>
    <w:rsid w:val="00CF33F3"/>
    <w:rsid w:val="00CF4A2B"/>
    <w:rsid w:val="00D024CA"/>
    <w:rsid w:val="00D02DA9"/>
    <w:rsid w:val="00D06183"/>
    <w:rsid w:val="00D22C42"/>
    <w:rsid w:val="00D65041"/>
    <w:rsid w:val="00DB1936"/>
    <w:rsid w:val="00DB384B"/>
    <w:rsid w:val="00DD11ED"/>
    <w:rsid w:val="00DF0189"/>
    <w:rsid w:val="00DF050E"/>
    <w:rsid w:val="00DF26C9"/>
    <w:rsid w:val="00E06FD5"/>
    <w:rsid w:val="00E10E80"/>
    <w:rsid w:val="00E124F0"/>
    <w:rsid w:val="00E16B1E"/>
    <w:rsid w:val="00E227F3"/>
    <w:rsid w:val="00E3303C"/>
    <w:rsid w:val="00E545C6"/>
    <w:rsid w:val="00E5686E"/>
    <w:rsid w:val="00E60F04"/>
    <w:rsid w:val="00E65B24"/>
    <w:rsid w:val="00E854E4"/>
    <w:rsid w:val="00E86DBF"/>
    <w:rsid w:val="00E969AF"/>
    <w:rsid w:val="00E97EC3"/>
    <w:rsid w:val="00EA1992"/>
    <w:rsid w:val="00EB0D6F"/>
    <w:rsid w:val="00EB2232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81D3A"/>
    <w:rsid w:val="00F94A63"/>
    <w:rsid w:val="00FA1C28"/>
    <w:rsid w:val="00FB1279"/>
    <w:rsid w:val="00FB6B76"/>
    <w:rsid w:val="00FB7596"/>
    <w:rsid w:val="00FE4077"/>
    <w:rsid w:val="00FE500D"/>
    <w:rsid w:val="00FE77D2"/>
    <w:rsid w:val="00FF39B1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Strong">
    <w:name w:val="Strong"/>
    <w:basedOn w:val="DefaultParagraphFont"/>
    <w:uiPriority w:val="22"/>
    <w:qFormat/>
    <w:rsid w:val="00337339"/>
    <w:rPr>
      <w:b/>
      <w:bCs/>
    </w:rPr>
  </w:style>
  <w:style w:type="paragraph" w:styleId="NormalWeb">
    <w:name w:val="Normal (Web)"/>
    <w:basedOn w:val="Normal"/>
    <w:uiPriority w:val="99"/>
    <w:unhideWhenUsed/>
    <w:rsid w:val="0033733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3733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3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3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33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7339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B7ED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7ED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B7E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3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4-CL-C-0070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4-CWGFHR17-INF-0009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4-CL-C-0070/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tu.int/md/S24-CWGFHR17-INF-0009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itus xmlns="http://schemas.titus.com/TitusProperties/">
  <TitusGUID xmlns="">25d76c8b-880e-4538-9004-f54f332215e4</TitusGUID>
  <TitusMetadata xmlns="">eyJucyI6Imh0dHA6XC9cL3d3dy50aXR1cy5jb21cL25zXC9tZWxpc3NhIiwicHJvcHMiOlt7Im4iOiJDTEFTU0lGSUNBVElPTiIsInZhbHMiOlt7InZhbHVlIjoiVElUVVNfSU5URVJOQUwifV19XX0=</TitusMetadata>
</titus>
</file>

<file path=customXml/itemProps1.xml><?xml version="1.0" encoding="utf-8"?>
<ds:datastoreItem xmlns:ds="http://schemas.openxmlformats.org/officeDocument/2006/customXml" ds:itemID="{92870DCD-E676-4508-90D2-4499E67F9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68F72-EEA8-495A-AB12-D90349EA259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Reflections on the ITU resource mobilization strategy</vt:lpstr>
    </vt:vector>
  </TitlesOfParts>
  <Manager>General Secretariat</Manager>
  <Company>International Telecommunication Union (ITU)</Company>
  <LinksUpToDate>false</LinksUpToDate>
  <CharactersWithSpaces>3796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Reflections on the ITU resource mobilization strategy</dc:title>
  <dc:subject>ITU Council 2025</dc:subject>
  <dc:creator>LRT</dc:creator>
  <cp:keywords>C25; C2025; Council 2025; ITU160</cp:keywords>
  <dc:description/>
  <cp:lastModifiedBy>GBS</cp:lastModifiedBy>
  <cp:revision>9</cp:revision>
  <cp:lastPrinted>2000-07-18T13:30:00Z</cp:lastPrinted>
  <dcterms:created xsi:type="dcterms:W3CDTF">2025-06-04T06:44:00Z</dcterms:created>
  <dcterms:modified xsi:type="dcterms:W3CDTF">2025-06-04T14:46:00Z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TitusGUID">
    <vt:lpwstr>25d76c8b-880e-4538-9004-f54f332215e4</vt:lpwstr>
  </property>
  <property fmtid="{D5CDD505-2E9C-101B-9397-08002B2CF9AE}" pid="10" name="CLASSIFICATION">
    <vt:lpwstr>TITUS_INTERNAL</vt:lpwstr>
  </property>
  <property fmtid="{D5CDD505-2E9C-101B-9397-08002B2CF9AE}" pid="11" name="OriginatingUser">
    <vt:lpwstr>raanazi</vt:lpwstr>
  </property>
</Properties>
</file>