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C46DA9" w14:paraId="0964F58E" w14:textId="77777777" w:rsidTr="00C538FC">
        <w:trPr>
          <w:cantSplit/>
          <w:trHeight w:val="23"/>
        </w:trPr>
        <w:tc>
          <w:tcPr>
            <w:tcW w:w="3969" w:type="dxa"/>
            <w:vMerge w:val="restart"/>
            <w:tcMar>
              <w:left w:w="0" w:type="dxa"/>
            </w:tcMar>
          </w:tcPr>
          <w:p w14:paraId="196E345D" w14:textId="36E9F5B8" w:rsidR="00FE57F6" w:rsidRPr="00C46DA9" w:rsidRDefault="00295C4D" w:rsidP="00295C4D">
            <w:pPr>
              <w:tabs>
                <w:tab w:val="left" w:pos="851"/>
              </w:tabs>
              <w:spacing w:before="0" w:line="240" w:lineRule="atLeast"/>
              <w:rPr>
                <w:b/>
              </w:rPr>
            </w:pPr>
            <w:bookmarkStart w:id="0" w:name="_Hlk133421839"/>
            <w:r w:rsidRPr="00C46DA9">
              <w:rPr>
                <w:b/>
              </w:rPr>
              <w:t>Punto del orden del día:</w:t>
            </w:r>
            <w:r w:rsidR="00727441">
              <w:rPr>
                <w:b/>
              </w:rPr>
              <w:t xml:space="preserve"> ADM 1</w:t>
            </w:r>
          </w:p>
        </w:tc>
        <w:tc>
          <w:tcPr>
            <w:tcW w:w="5245" w:type="dxa"/>
          </w:tcPr>
          <w:p w14:paraId="33DB9161" w14:textId="0125B014" w:rsidR="00FE57F6" w:rsidRPr="00C46DA9" w:rsidRDefault="00FE57F6" w:rsidP="00C538FC">
            <w:pPr>
              <w:tabs>
                <w:tab w:val="left" w:pos="851"/>
              </w:tabs>
              <w:spacing w:before="0" w:line="240" w:lineRule="atLeast"/>
              <w:jc w:val="right"/>
              <w:rPr>
                <w:b/>
              </w:rPr>
            </w:pPr>
            <w:r w:rsidRPr="00C46DA9">
              <w:rPr>
                <w:b/>
              </w:rPr>
              <w:t>Document</w:t>
            </w:r>
            <w:r w:rsidR="00F24B71" w:rsidRPr="00C46DA9">
              <w:rPr>
                <w:b/>
              </w:rPr>
              <w:t>o</w:t>
            </w:r>
            <w:r w:rsidRPr="00C46DA9">
              <w:rPr>
                <w:b/>
              </w:rPr>
              <w:t xml:space="preserve"> C2</w:t>
            </w:r>
            <w:r w:rsidR="00BB6FD8" w:rsidRPr="00C46DA9">
              <w:rPr>
                <w:b/>
              </w:rPr>
              <w:t>5</w:t>
            </w:r>
            <w:r w:rsidRPr="00C46DA9">
              <w:rPr>
                <w:b/>
              </w:rPr>
              <w:t>/</w:t>
            </w:r>
            <w:r w:rsidR="00295C4D" w:rsidRPr="00C46DA9">
              <w:rPr>
                <w:b/>
              </w:rPr>
              <w:t>88</w:t>
            </w:r>
            <w:r w:rsidRPr="00C46DA9">
              <w:rPr>
                <w:b/>
              </w:rPr>
              <w:t>-</w:t>
            </w:r>
            <w:r w:rsidR="00F24B71" w:rsidRPr="00C46DA9">
              <w:rPr>
                <w:b/>
              </w:rPr>
              <w:t>S</w:t>
            </w:r>
          </w:p>
        </w:tc>
      </w:tr>
      <w:tr w:rsidR="00FE57F6" w:rsidRPr="00C46DA9" w14:paraId="1AAB4437" w14:textId="77777777" w:rsidTr="00C538FC">
        <w:trPr>
          <w:cantSplit/>
        </w:trPr>
        <w:tc>
          <w:tcPr>
            <w:tcW w:w="3969" w:type="dxa"/>
            <w:vMerge/>
          </w:tcPr>
          <w:p w14:paraId="012D0EB9" w14:textId="77777777" w:rsidR="00FE57F6" w:rsidRPr="00C46DA9" w:rsidRDefault="00FE57F6" w:rsidP="00C538FC">
            <w:pPr>
              <w:tabs>
                <w:tab w:val="left" w:pos="851"/>
              </w:tabs>
              <w:spacing w:line="240" w:lineRule="atLeast"/>
              <w:rPr>
                <w:b/>
              </w:rPr>
            </w:pPr>
          </w:p>
        </w:tc>
        <w:tc>
          <w:tcPr>
            <w:tcW w:w="5245" w:type="dxa"/>
          </w:tcPr>
          <w:p w14:paraId="389A8348" w14:textId="678868C9" w:rsidR="00FE57F6" w:rsidRPr="00C46DA9" w:rsidRDefault="00295C4D" w:rsidP="00C538FC">
            <w:pPr>
              <w:tabs>
                <w:tab w:val="left" w:pos="851"/>
              </w:tabs>
              <w:spacing w:before="0"/>
              <w:jc w:val="right"/>
              <w:rPr>
                <w:b/>
              </w:rPr>
            </w:pPr>
            <w:r w:rsidRPr="00C46DA9">
              <w:rPr>
                <w:b/>
              </w:rPr>
              <w:t>3 de junio de 2025</w:t>
            </w:r>
          </w:p>
        </w:tc>
      </w:tr>
      <w:tr w:rsidR="00FE57F6" w:rsidRPr="00C46DA9" w14:paraId="33896CCB" w14:textId="77777777" w:rsidTr="00C538FC">
        <w:trPr>
          <w:cantSplit/>
          <w:trHeight w:val="23"/>
        </w:trPr>
        <w:tc>
          <w:tcPr>
            <w:tcW w:w="3969" w:type="dxa"/>
            <w:vMerge/>
          </w:tcPr>
          <w:p w14:paraId="3764B5DE" w14:textId="77777777" w:rsidR="00FE57F6" w:rsidRPr="00C46DA9" w:rsidRDefault="00FE57F6" w:rsidP="00C538FC">
            <w:pPr>
              <w:tabs>
                <w:tab w:val="left" w:pos="851"/>
              </w:tabs>
              <w:spacing w:line="240" w:lineRule="atLeast"/>
              <w:rPr>
                <w:b/>
              </w:rPr>
            </w:pPr>
          </w:p>
        </w:tc>
        <w:tc>
          <w:tcPr>
            <w:tcW w:w="5245" w:type="dxa"/>
          </w:tcPr>
          <w:p w14:paraId="2DA1CEDB" w14:textId="435A079D" w:rsidR="00FE57F6" w:rsidRPr="00C46DA9" w:rsidRDefault="00F24B71" w:rsidP="00C538FC">
            <w:pPr>
              <w:tabs>
                <w:tab w:val="left" w:pos="851"/>
              </w:tabs>
              <w:spacing w:before="0" w:line="240" w:lineRule="atLeast"/>
              <w:jc w:val="right"/>
              <w:rPr>
                <w:b/>
                <w:bCs/>
              </w:rPr>
            </w:pPr>
            <w:r w:rsidRPr="00C46DA9">
              <w:rPr>
                <w:rFonts w:cstheme="minorHAnsi"/>
                <w:b/>
                <w:bCs/>
              </w:rPr>
              <w:t xml:space="preserve">Original: </w:t>
            </w:r>
            <w:r w:rsidR="00295C4D" w:rsidRPr="00C46DA9">
              <w:rPr>
                <w:rFonts w:cstheme="minorHAnsi"/>
                <w:b/>
                <w:bCs/>
              </w:rPr>
              <w:t>chino</w:t>
            </w:r>
          </w:p>
        </w:tc>
      </w:tr>
      <w:tr w:rsidR="00FE57F6" w:rsidRPr="00C46DA9" w14:paraId="290C4AD5" w14:textId="77777777" w:rsidTr="00C538FC">
        <w:trPr>
          <w:cantSplit/>
          <w:trHeight w:val="23"/>
        </w:trPr>
        <w:tc>
          <w:tcPr>
            <w:tcW w:w="3969" w:type="dxa"/>
          </w:tcPr>
          <w:p w14:paraId="3A1F7B4B" w14:textId="77777777" w:rsidR="00FE57F6" w:rsidRPr="00C46DA9" w:rsidRDefault="00FE57F6" w:rsidP="00C538FC">
            <w:pPr>
              <w:tabs>
                <w:tab w:val="left" w:pos="851"/>
              </w:tabs>
              <w:spacing w:line="240" w:lineRule="atLeast"/>
              <w:rPr>
                <w:b/>
              </w:rPr>
            </w:pPr>
          </w:p>
        </w:tc>
        <w:tc>
          <w:tcPr>
            <w:tcW w:w="5245" w:type="dxa"/>
          </w:tcPr>
          <w:p w14:paraId="64C9B407" w14:textId="77777777" w:rsidR="00FE57F6" w:rsidRPr="00C46DA9" w:rsidRDefault="00FE57F6" w:rsidP="00C538FC">
            <w:pPr>
              <w:tabs>
                <w:tab w:val="left" w:pos="851"/>
              </w:tabs>
              <w:spacing w:before="0" w:line="240" w:lineRule="atLeast"/>
              <w:jc w:val="right"/>
              <w:rPr>
                <w:b/>
              </w:rPr>
            </w:pPr>
          </w:p>
        </w:tc>
      </w:tr>
      <w:tr w:rsidR="00FE57F6" w:rsidRPr="00C46DA9" w14:paraId="2229C92A" w14:textId="77777777" w:rsidTr="00C538FC">
        <w:trPr>
          <w:cantSplit/>
        </w:trPr>
        <w:tc>
          <w:tcPr>
            <w:tcW w:w="9214" w:type="dxa"/>
            <w:gridSpan w:val="2"/>
            <w:tcMar>
              <w:left w:w="0" w:type="dxa"/>
            </w:tcMar>
          </w:tcPr>
          <w:p w14:paraId="579FA27F" w14:textId="3E8AED64" w:rsidR="00FE57F6" w:rsidRPr="00C46DA9" w:rsidRDefault="00295C4D" w:rsidP="00295C4D">
            <w:pPr>
              <w:pStyle w:val="Source"/>
              <w:jc w:val="left"/>
              <w:rPr>
                <w:sz w:val="34"/>
                <w:szCs w:val="34"/>
              </w:rPr>
            </w:pPr>
            <w:r w:rsidRPr="00C46DA9">
              <w:rPr>
                <w:rFonts w:cstheme="minorHAnsi"/>
                <w:sz w:val="34"/>
                <w:szCs w:val="34"/>
              </w:rPr>
              <w:t>Contribución de China (República Popular de)</w:t>
            </w:r>
            <w:r w:rsidR="00727441">
              <w:rPr>
                <w:rFonts w:cstheme="minorHAnsi"/>
                <w:sz w:val="34"/>
                <w:szCs w:val="34"/>
              </w:rPr>
              <w:t>, y Cuba</w:t>
            </w:r>
          </w:p>
        </w:tc>
      </w:tr>
      <w:tr w:rsidR="00FE57F6" w:rsidRPr="00C46DA9" w14:paraId="6A4F82EB" w14:textId="77777777" w:rsidTr="00C538FC">
        <w:trPr>
          <w:cantSplit/>
        </w:trPr>
        <w:tc>
          <w:tcPr>
            <w:tcW w:w="9214" w:type="dxa"/>
            <w:gridSpan w:val="2"/>
            <w:tcMar>
              <w:left w:w="0" w:type="dxa"/>
            </w:tcMar>
          </w:tcPr>
          <w:p w14:paraId="381720BB" w14:textId="6C665E25" w:rsidR="00FE57F6" w:rsidRPr="00C46DA9" w:rsidRDefault="00295C4D" w:rsidP="00295C4D">
            <w:pPr>
              <w:pStyle w:val="Subtitle"/>
              <w:framePr w:hSpace="0" w:wrap="auto" w:vAnchor="margin" w:hAnchor="text" w:xAlign="left" w:yAlign="inline"/>
            </w:pPr>
            <w:r w:rsidRPr="00C46DA9">
              <w:t>RECOMENDACIONES SOBRE CÓMO EXAMINAR MEJOR LA PRESENCIA REGIONAL DE LA UIT</w:t>
            </w:r>
          </w:p>
        </w:tc>
      </w:tr>
      <w:tr w:rsidR="00FE57F6" w:rsidRPr="00C46DA9" w14:paraId="33668FF0" w14:textId="77777777" w:rsidTr="00C538FC">
        <w:trPr>
          <w:cantSplit/>
        </w:trPr>
        <w:tc>
          <w:tcPr>
            <w:tcW w:w="9214" w:type="dxa"/>
            <w:gridSpan w:val="2"/>
            <w:tcBorders>
              <w:top w:val="single" w:sz="4" w:space="0" w:color="auto"/>
              <w:bottom w:val="single" w:sz="4" w:space="0" w:color="auto"/>
            </w:tcBorders>
            <w:tcMar>
              <w:left w:w="0" w:type="dxa"/>
            </w:tcMar>
          </w:tcPr>
          <w:p w14:paraId="075E5B2C" w14:textId="77777777" w:rsidR="00FE57F6" w:rsidRPr="00C46DA9" w:rsidRDefault="00F24B71" w:rsidP="00C538FC">
            <w:pPr>
              <w:spacing w:before="160"/>
              <w:rPr>
                <w:b/>
                <w:bCs/>
                <w:sz w:val="26"/>
                <w:szCs w:val="26"/>
              </w:rPr>
            </w:pPr>
            <w:r w:rsidRPr="00C46DA9">
              <w:rPr>
                <w:b/>
                <w:bCs/>
                <w:sz w:val="26"/>
                <w:szCs w:val="26"/>
              </w:rPr>
              <w:t>Finalidad</w:t>
            </w:r>
          </w:p>
          <w:p w14:paraId="49DC6CBE" w14:textId="5F7B2FD9" w:rsidR="00FE57F6" w:rsidRPr="00C46DA9" w:rsidRDefault="00295C4D" w:rsidP="00295C4D">
            <w:r w:rsidRPr="00C46DA9">
              <w:t xml:space="preserve">El objetivo de la presente contribución es reforzar la eficacia del examen de la presencia regional de la UIT, partiendo del informe inicial (véase el Documento </w:t>
            </w:r>
            <w:hyperlink r:id="rId6" w:history="1">
              <w:r w:rsidRPr="00C46DA9">
                <w:rPr>
                  <w:rStyle w:val="Hyperlink"/>
                </w:rPr>
                <w:t>C25/69</w:t>
              </w:r>
            </w:hyperlink>
            <w:r w:rsidRPr="00C46DA9">
              <w:t>) presentado por la Secretaría.</w:t>
            </w:r>
          </w:p>
          <w:p w14:paraId="284492FC" w14:textId="77777777" w:rsidR="00FE57F6" w:rsidRPr="00C46DA9" w:rsidRDefault="00F24B71" w:rsidP="00C538FC">
            <w:pPr>
              <w:spacing w:before="160"/>
              <w:rPr>
                <w:b/>
                <w:bCs/>
                <w:sz w:val="26"/>
                <w:szCs w:val="26"/>
              </w:rPr>
            </w:pPr>
            <w:r w:rsidRPr="00C46DA9">
              <w:rPr>
                <w:b/>
                <w:bCs/>
                <w:sz w:val="26"/>
                <w:szCs w:val="26"/>
              </w:rPr>
              <w:t xml:space="preserve">Acción solicitada </w:t>
            </w:r>
            <w:r w:rsidR="00677A97" w:rsidRPr="00C46DA9">
              <w:rPr>
                <w:b/>
                <w:bCs/>
                <w:sz w:val="26"/>
                <w:szCs w:val="26"/>
              </w:rPr>
              <w:t>al</w:t>
            </w:r>
            <w:r w:rsidRPr="00C46DA9">
              <w:rPr>
                <w:b/>
                <w:bCs/>
                <w:sz w:val="26"/>
                <w:szCs w:val="26"/>
              </w:rPr>
              <w:t xml:space="preserve"> Consejo</w:t>
            </w:r>
          </w:p>
          <w:p w14:paraId="69C79ED8" w14:textId="47C64881" w:rsidR="00F92BED" w:rsidRPr="00C46DA9" w:rsidRDefault="00295C4D" w:rsidP="00295C4D">
            <w:pPr>
              <w:spacing w:before="160"/>
              <w:rPr>
                <w:szCs w:val="24"/>
              </w:rPr>
            </w:pPr>
            <w:r w:rsidRPr="00C46DA9">
              <w:rPr>
                <w:szCs w:val="24"/>
              </w:rPr>
              <w:t>Se invita al Consejo de la UIT a examinar las propuestas incluidas en el presente documento y a elaborar un proyecto de mandato para el Grupo Asesor de los Estados Miembros sobre la presencia regional, que se someterá a la aprobación del Consejo en su reunión de 2025.</w:t>
            </w:r>
          </w:p>
          <w:p w14:paraId="14DEDFD3" w14:textId="77777777" w:rsidR="00FE57F6" w:rsidRPr="00C46DA9" w:rsidRDefault="00FE57F6" w:rsidP="00C538FC">
            <w:pPr>
              <w:spacing w:before="160"/>
              <w:rPr>
                <w:caps/>
                <w:sz w:val="22"/>
              </w:rPr>
            </w:pPr>
            <w:r w:rsidRPr="00C46DA9">
              <w:rPr>
                <w:sz w:val="22"/>
              </w:rPr>
              <w:t>__________________</w:t>
            </w:r>
          </w:p>
          <w:p w14:paraId="453D4D7C" w14:textId="4FB14063" w:rsidR="00FE57F6" w:rsidRPr="00C46DA9" w:rsidRDefault="00F24B71" w:rsidP="00C538FC">
            <w:pPr>
              <w:spacing w:before="160"/>
              <w:rPr>
                <w:b/>
                <w:bCs/>
                <w:sz w:val="26"/>
                <w:szCs w:val="26"/>
              </w:rPr>
            </w:pPr>
            <w:r w:rsidRPr="00C46DA9">
              <w:rPr>
                <w:b/>
                <w:bCs/>
                <w:sz w:val="26"/>
                <w:szCs w:val="26"/>
              </w:rPr>
              <w:t>Referencia</w:t>
            </w:r>
            <w:r w:rsidR="00F92BED" w:rsidRPr="00C46DA9">
              <w:rPr>
                <w:b/>
                <w:bCs/>
                <w:sz w:val="26"/>
                <w:szCs w:val="26"/>
              </w:rPr>
              <w:t>s</w:t>
            </w:r>
          </w:p>
          <w:p w14:paraId="3FE50663" w14:textId="43B9BEDF" w:rsidR="00295C4D" w:rsidRPr="00295C4D" w:rsidRDefault="00295C4D" w:rsidP="00295C4D">
            <w:pPr>
              <w:spacing w:after="160"/>
              <w:rPr>
                <w:b/>
                <w:bCs/>
                <w:i/>
                <w:iCs/>
                <w:szCs w:val="24"/>
              </w:rPr>
            </w:pPr>
            <w:hyperlink r:id="rId7" w:history="1">
              <w:r w:rsidRPr="00295C4D">
                <w:rPr>
                  <w:rStyle w:val="Hyperlink"/>
                  <w:i/>
                  <w:iCs/>
                  <w:szCs w:val="24"/>
                </w:rPr>
                <w:t>Resolución 25 (Rev. Bucarest, 2022)</w:t>
              </w:r>
              <w:r w:rsidRPr="00295C4D">
                <w:rPr>
                  <w:rStyle w:val="Hyperlink"/>
                  <w:i/>
                  <w:iCs/>
                  <w:color w:val="auto"/>
                  <w:szCs w:val="24"/>
                  <w:u w:val="none"/>
                </w:rPr>
                <w:t xml:space="preserve"> </w:t>
              </w:r>
            </w:hyperlink>
            <w:r w:rsidRPr="00295C4D">
              <w:rPr>
                <w:i/>
                <w:iCs/>
                <w:szCs w:val="24"/>
              </w:rPr>
              <w:t>de la Conferencia de Plenipotenciarios, sobre el fortalecimiento de la presencia regional de la UIT</w:t>
            </w:r>
            <w:r w:rsidR="00B63853" w:rsidRPr="00C46DA9">
              <w:rPr>
                <w:i/>
                <w:iCs/>
                <w:szCs w:val="24"/>
              </w:rPr>
              <w:t>.</w:t>
            </w:r>
          </w:p>
          <w:p w14:paraId="5032D004" w14:textId="47DC502C" w:rsidR="00295C4D" w:rsidRPr="00295C4D" w:rsidRDefault="00295C4D" w:rsidP="00295C4D">
            <w:pPr>
              <w:spacing w:after="160"/>
              <w:rPr>
                <w:i/>
                <w:iCs/>
                <w:szCs w:val="24"/>
              </w:rPr>
            </w:pPr>
            <w:r w:rsidRPr="00295C4D">
              <w:rPr>
                <w:i/>
                <w:iCs/>
                <w:szCs w:val="24"/>
              </w:rPr>
              <w:t>Finalización del examen de la presencia regional (</w:t>
            </w:r>
            <w:hyperlink r:id="rId8" w:history="1">
              <w:r w:rsidRPr="00295C4D">
                <w:rPr>
                  <w:rStyle w:val="Hyperlink"/>
                  <w:i/>
                  <w:iCs/>
                  <w:szCs w:val="24"/>
                </w:rPr>
                <w:t>CWG-FHR-19/14</w:t>
              </w:r>
            </w:hyperlink>
            <w:r w:rsidRPr="00295C4D">
              <w:rPr>
                <w:i/>
                <w:iCs/>
                <w:szCs w:val="24"/>
              </w:rPr>
              <w:t>)</w:t>
            </w:r>
            <w:r w:rsidR="00B63853" w:rsidRPr="00C46DA9">
              <w:rPr>
                <w:i/>
                <w:iCs/>
                <w:szCs w:val="24"/>
              </w:rPr>
              <w:t>.</w:t>
            </w:r>
          </w:p>
          <w:p w14:paraId="4863114E" w14:textId="69FC75AF" w:rsidR="00295C4D" w:rsidRPr="00295C4D" w:rsidRDefault="00295C4D" w:rsidP="00295C4D">
            <w:pPr>
              <w:spacing w:after="160"/>
              <w:rPr>
                <w:i/>
                <w:iCs/>
                <w:szCs w:val="24"/>
              </w:rPr>
            </w:pPr>
            <w:r w:rsidRPr="00295C4D">
              <w:rPr>
                <w:i/>
                <w:iCs/>
                <w:szCs w:val="24"/>
              </w:rPr>
              <w:t xml:space="preserve">Informe inicial sobre el examen de la presencia regional de la UIT (Documento </w:t>
            </w:r>
            <w:hyperlink r:id="rId9" w:history="1">
              <w:r w:rsidRPr="00295C4D">
                <w:rPr>
                  <w:rStyle w:val="Hyperlink"/>
                  <w:i/>
                  <w:iCs/>
                  <w:szCs w:val="24"/>
                </w:rPr>
                <w:t>C25/69</w:t>
              </w:r>
            </w:hyperlink>
            <w:r w:rsidRPr="00295C4D">
              <w:rPr>
                <w:i/>
                <w:iCs/>
                <w:szCs w:val="24"/>
              </w:rPr>
              <w:t>)</w:t>
            </w:r>
            <w:r w:rsidR="00B63853" w:rsidRPr="00C46DA9">
              <w:rPr>
                <w:i/>
                <w:iCs/>
                <w:szCs w:val="24"/>
              </w:rPr>
              <w:t>.</w:t>
            </w:r>
          </w:p>
          <w:p w14:paraId="5BD271DA" w14:textId="153BA247" w:rsidR="00FE57F6" w:rsidRPr="00C46DA9" w:rsidRDefault="00295C4D" w:rsidP="00295C4D">
            <w:pPr>
              <w:spacing w:after="160"/>
              <w:rPr>
                <w:i/>
                <w:iCs/>
                <w:szCs w:val="24"/>
              </w:rPr>
            </w:pPr>
            <w:r w:rsidRPr="00C46DA9">
              <w:rPr>
                <w:i/>
                <w:iCs/>
                <w:szCs w:val="24"/>
              </w:rPr>
              <w:t xml:space="preserve">Informe sobre los resultados de las reuniones 19ª y 20ª del Grupo de Trabajo del Consejo sobre Recursos Humanos y Financieros (Documento </w:t>
            </w:r>
            <w:hyperlink r:id="rId10" w:history="1">
              <w:r w:rsidRPr="00C46DA9">
                <w:rPr>
                  <w:rStyle w:val="Hyperlink"/>
                  <w:i/>
                  <w:iCs/>
                  <w:szCs w:val="24"/>
                </w:rPr>
                <w:t>C25/50</w:t>
              </w:r>
            </w:hyperlink>
            <w:r w:rsidRPr="00C46DA9">
              <w:rPr>
                <w:i/>
                <w:iCs/>
                <w:szCs w:val="24"/>
              </w:rPr>
              <w:t>)</w:t>
            </w:r>
            <w:r w:rsidR="00B63853" w:rsidRPr="00C46DA9">
              <w:rPr>
                <w:i/>
                <w:iCs/>
                <w:szCs w:val="24"/>
              </w:rPr>
              <w:t>.</w:t>
            </w:r>
          </w:p>
        </w:tc>
      </w:tr>
      <w:bookmarkEnd w:id="0"/>
    </w:tbl>
    <w:p w14:paraId="00ACB891" w14:textId="77777777" w:rsidR="00093EEB" w:rsidRPr="00C46DA9" w:rsidRDefault="00093EEB"/>
    <w:p w14:paraId="7D314600" w14:textId="77777777" w:rsidR="001559F5" w:rsidRPr="00C46DA9" w:rsidRDefault="001559F5">
      <w:pPr>
        <w:tabs>
          <w:tab w:val="clear" w:pos="567"/>
          <w:tab w:val="clear" w:pos="1134"/>
          <w:tab w:val="clear" w:pos="1701"/>
          <w:tab w:val="clear" w:pos="2268"/>
          <w:tab w:val="clear" w:pos="2835"/>
        </w:tabs>
        <w:overflowPunct/>
        <w:autoSpaceDE/>
        <w:autoSpaceDN/>
        <w:adjustRightInd/>
        <w:spacing w:before="0"/>
        <w:textAlignment w:val="auto"/>
      </w:pPr>
      <w:r w:rsidRPr="00C46DA9">
        <w:br w:type="page"/>
      </w:r>
    </w:p>
    <w:p w14:paraId="293DB508" w14:textId="77777777" w:rsidR="00295C4D" w:rsidRPr="00C46DA9" w:rsidRDefault="00295C4D" w:rsidP="00295C4D">
      <w:pPr>
        <w:pStyle w:val="Heading1"/>
      </w:pPr>
      <w:r w:rsidRPr="00C46DA9">
        <w:lastRenderedPageBreak/>
        <w:t>1</w:t>
      </w:r>
      <w:r w:rsidRPr="00C46DA9">
        <w:tab/>
        <w:t>Antecedentes</w:t>
      </w:r>
    </w:p>
    <w:p w14:paraId="3F56CD12" w14:textId="4E4C13A5" w:rsidR="00295C4D" w:rsidRPr="00295C4D" w:rsidRDefault="00295C4D" w:rsidP="00295C4D">
      <w:r w:rsidRPr="00295C4D">
        <w:t xml:space="preserve">En la </w:t>
      </w:r>
      <w:hyperlink r:id="rId11" w:history="1">
        <w:r w:rsidRPr="00295C4D">
          <w:rPr>
            <w:rStyle w:val="Hyperlink"/>
          </w:rPr>
          <w:t>Resolución 25 (Rev. Bucarest, 2022)</w:t>
        </w:r>
        <w:r w:rsidRPr="00295C4D">
          <w:rPr>
            <w:rStyle w:val="Hyperlink"/>
            <w:color w:val="auto"/>
            <w:u w:val="none"/>
          </w:rPr>
          <w:t xml:space="preserve"> </w:t>
        </w:r>
      </w:hyperlink>
      <w:r w:rsidRPr="00295C4D">
        <w:t xml:space="preserve">de la Conferencia de Plenipotenciarios, relativa al fortalecimiento de la presencia regional de la UIT, se </w:t>
      </w:r>
      <w:r w:rsidRPr="00295C4D">
        <w:rPr>
          <w:i/>
          <w:iCs/>
        </w:rPr>
        <w:t xml:space="preserve">resuelve además </w:t>
      </w:r>
      <w:r w:rsidR="00D51870" w:rsidRPr="00C46DA9">
        <w:t>"</w:t>
      </w:r>
      <w:r w:rsidRPr="00295C4D">
        <w:t>que se proceda al examen de la presencia regional de la UIT cuando lo solicite el Consejo, pero al menos una vez en el intervalo entre dos Conferencias de Plenipotenciarios</w:t>
      </w:r>
      <w:r w:rsidR="00D51870" w:rsidRPr="00C46DA9">
        <w:t>"</w:t>
      </w:r>
      <w:r w:rsidRPr="00295C4D">
        <w:t>.</w:t>
      </w:r>
    </w:p>
    <w:p w14:paraId="00060B3A" w14:textId="77777777" w:rsidR="00295C4D" w:rsidRPr="00295C4D" w:rsidRDefault="00295C4D" w:rsidP="00295C4D">
      <w:r w:rsidRPr="00295C4D">
        <w:t>En 2024, numerosos Estados Miembros presentaron contribuciones a la 19ª reunión del Grupo de Trabajo del Consejo sobre Recursos Humanos y Financieros, a través de las cuales solicitaron que se llevase a cabo un examen de la presencia regional de la UIT y se creara una hoja de ruta en la que se perfilaran medidas específicas y un calendario para el examen. Conforme al debate entablado y a las decisiones tomadas en dicha reunión, se creó un Grupo por Correspondencia en Línea encargado de examinar y determinar el mandato relativo al examen. Dicho Grupo por Correspondencia en Línea, en el que participan delegados de Estados Miembros interesados en el tema, desempeñará un papel decisivo en la facilitación de futuros exámenes de la presencia regional de la UIT, a tenor del mandato establecido.</w:t>
      </w:r>
    </w:p>
    <w:p w14:paraId="02E961D4" w14:textId="0B4C8F1E" w:rsidR="00295C4D" w:rsidRPr="00295C4D" w:rsidRDefault="00295C4D" w:rsidP="00295C4D">
      <w:r w:rsidRPr="00295C4D">
        <w:t xml:space="preserve">Tomamos nota de que, en el Documento </w:t>
      </w:r>
      <w:hyperlink r:id="rId12" w:history="1">
        <w:r w:rsidRPr="00295C4D">
          <w:rPr>
            <w:rStyle w:val="Hyperlink"/>
          </w:rPr>
          <w:t>C25/69</w:t>
        </w:r>
      </w:hyperlink>
      <w:r w:rsidRPr="00295C4D">
        <w:t>, la Secretaría propone crear un Grupo Asesor de los Estados Miembros sobre la presencia regional, con el objetivo de reforzar la legitimidad del examen y lograr que los Estados Miembros se identifiquen con el proceso. Este grupo se encargaría de proporcionar orientación y supervisión estratégicas a lo largo del proceso de examen, formular comentarios sobre los hallazgos preliminares y examinar y validar las recomendaciones pertinentes.</w:t>
      </w:r>
    </w:p>
    <w:p w14:paraId="4E5AA682" w14:textId="77777777" w:rsidR="00295C4D" w:rsidRPr="00C46DA9" w:rsidRDefault="00295C4D" w:rsidP="00295C4D">
      <w:pPr>
        <w:pStyle w:val="Heading1"/>
      </w:pPr>
      <w:r w:rsidRPr="00C46DA9">
        <w:t>2</w:t>
      </w:r>
      <w:r w:rsidRPr="00C46DA9">
        <w:tab/>
        <w:t>Debate</w:t>
      </w:r>
    </w:p>
    <w:p w14:paraId="06B29BF8" w14:textId="12333EC6" w:rsidR="00295C4D" w:rsidRPr="00295C4D" w:rsidRDefault="00295C4D" w:rsidP="00295C4D">
      <w:r w:rsidRPr="00295C4D">
        <w:t xml:space="preserve">En el Documento </w:t>
      </w:r>
      <w:hyperlink r:id="rId13" w:history="1">
        <w:r w:rsidRPr="00295C4D">
          <w:rPr>
            <w:rStyle w:val="Hyperlink"/>
          </w:rPr>
          <w:t>C25/69</w:t>
        </w:r>
      </w:hyperlink>
      <w:r w:rsidRPr="00295C4D">
        <w:t>, facilitado por la Secretaría, se proponen un marco y un enfoque para llevar a cabo el examen y se definen las fases, los objetivos intermedios, los resultados, las consultas a las partes interesadas, los procesos de toma de decisiones y los recursos necesarios, lo que consideramos constituye una base sólida para futuros exámenes. No obstante, también consideramos que los siguientes puntos merecen ulteriores aclaraciones:</w:t>
      </w:r>
    </w:p>
    <w:p w14:paraId="0D163916" w14:textId="77777777" w:rsidR="00295C4D" w:rsidRPr="00C46DA9" w:rsidRDefault="00295C4D" w:rsidP="00D51870">
      <w:pPr>
        <w:pStyle w:val="enumlev1"/>
      </w:pPr>
      <w:r w:rsidRPr="00C46DA9">
        <w:t>1)</w:t>
      </w:r>
      <w:r w:rsidRPr="00C46DA9">
        <w:tab/>
        <w:t>Mecanismo de consulta: Los procesos de toma de decisiones vinculados al examen no están claros. Convendría aclarar la relación entre el Grupo de Tareas Intersectorial sobre la presencia regional y el vigente marco de gobernanza de la UIT (en concreto, su interacción con la Unidad de Supervisión y el Comité de Coordinación).</w:t>
      </w:r>
    </w:p>
    <w:p w14:paraId="2898B91E" w14:textId="77777777" w:rsidR="00295C4D" w:rsidRPr="00C46DA9" w:rsidRDefault="00295C4D" w:rsidP="00D51870">
      <w:pPr>
        <w:pStyle w:val="enumlev1"/>
      </w:pPr>
      <w:r w:rsidRPr="00C46DA9">
        <w:t>2)</w:t>
      </w:r>
      <w:r w:rsidRPr="00C46DA9">
        <w:tab/>
        <w:t xml:space="preserve">Creación de un Grupo Asesor de los Estados Miembros sobre la presencia regional: En el documento no se hace mención </w:t>
      </w:r>
      <w:proofErr w:type="gramStart"/>
      <w:r w:rsidRPr="00C46DA9">
        <w:t>al</w:t>
      </w:r>
      <w:proofErr w:type="gramEnd"/>
      <w:r w:rsidRPr="00C46DA9">
        <w:t xml:space="preserve"> mandato de este Grupo. Cabe señalar que, en el marco del proyecto de sede de la UIT, se creó un Grupo Asesor de los Estados Miembros al que se atribuyó un mandato detallado. Con arreglo a dicho mandato, el Grupo Asesor ejerció una función de supervisión en el marco del proyecto de sede de la UIT y veló por que tanto el diseño como la ejecución respondiesen a las necesidades de los Estados Miembros y a los objetivos del proyecto. Este es un ejemplo de buenas prácticas.</w:t>
      </w:r>
    </w:p>
    <w:p w14:paraId="06026940" w14:textId="08F38BF4" w:rsidR="00295C4D" w:rsidRPr="00C46DA9" w:rsidRDefault="00295C4D" w:rsidP="00D51870">
      <w:pPr>
        <w:pStyle w:val="enumlev1"/>
      </w:pPr>
      <w:r w:rsidRPr="00C46DA9">
        <w:t>3)</w:t>
      </w:r>
      <w:r w:rsidRPr="00C46DA9">
        <w:tab/>
        <w:t xml:space="preserve">Consultas a las partes interesadas: En el Documento </w:t>
      </w:r>
      <w:hyperlink r:id="rId14" w:history="1">
        <w:r w:rsidRPr="00C46DA9">
          <w:rPr>
            <w:rStyle w:val="Hyperlink"/>
          </w:rPr>
          <w:t>C25/69</w:t>
        </w:r>
        <w:r w:rsidRPr="00C46DA9">
          <w:rPr>
            <w:rStyle w:val="Hyperlink"/>
            <w:color w:val="auto"/>
            <w:u w:val="none"/>
          </w:rPr>
          <w:t xml:space="preserve"> </w:t>
        </w:r>
      </w:hyperlink>
      <w:r w:rsidRPr="00C46DA9">
        <w:t xml:space="preserve">se menciona que los principales destinatarios de las consultas son la Secretaría de la UIT, los miembros y las organizaciones regionales de telecomunicaciones. Sin embargo, observamos que, en el Anexo A al Documento </w:t>
      </w:r>
      <w:hyperlink r:id="rId15" w:history="1">
        <w:r w:rsidRPr="00C46DA9">
          <w:rPr>
            <w:rStyle w:val="Hyperlink"/>
          </w:rPr>
          <w:t>C25/50</w:t>
        </w:r>
      </w:hyperlink>
      <w:r w:rsidRPr="00C46DA9">
        <w:t xml:space="preserve">, que contiene el mandato relativo al examen de la </w:t>
      </w:r>
      <w:r w:rsidRPr="00C46DA9">
        <w:lastRenderedPageBreak/>
        <w:t>presencia regional de la UIT, se identifica a los Grupos Asesores pertinentes de la UIT como partes interesadas que deben ser consultadas, dándose prioridad a la evaluación del nivel de satisfacción general de los Estados Miembros con las oficinas regionales.</w:t>
      </w:r>
    </w:p>
    <w:p w14:paraId="258C7C51" w14:textId="36A72353" w:rsidR="00295C4D" w:rsidRPr="00C46DA9" w:rsidRDefault="00295C4D" w:rsidP="00D51870">
      <w:pPr>
        <w:pStyle w:val="enumlev1"/>
      </w:pPr>
      <w:r w:rsidRPr="00C46DA9">
        <w:t>4)</w:t>
      </w:r>
      <w:r w:rsidRPr="00C46DA9">
        <w:tab/>
        <w:t xml:space="preserve">Repercusiones financieras del examen de la presencia regional de la UIT: En el Documento </w:t>
      </w:r>
      <w:hyperlink r:id="rId16" w:history="1">
        <w:r w:rsidRPr="00C46DA9">
          <w:rPr>
            <w:rStyle w:val="Hyperlink"/>
          </w:rPr>
          <w:t>C25/69</w:t>
        </w:r>
        <w:r w:rsidRPr="00C46DA9">
          <w:rPr>
            <w:rStyle w:val="Hyperlink"/>
            <w:color w:val="auto"/>
            <w:u w:val="none"/>
          </w:rPr>
          <w:t xml:space="preserve"> </w:t>
        </w:r>
      </w:hyperlink>
      <w:r w:rsidRPr="00C46DA9">
        <w:t>se destaca la necesidad de contratar asesores a corto plazo para ayudar al Grupo de Tareas Intersectorial sobre la presencia regional con la realización de investigaciones, la administración de encuestas, la síntesis de datos y la facilitación de las consultas con las partes interesadas, todo lo cual exige recursos financieros. En debates anteriores, la mayoría de los Estados Miembros manifestó inquietudes en cuanto a las repercusiones financieras del examen. Además, la UIT ha contratado a empresas consultoras externas y ha invertido una cantidad importante de recursos en el examen de la presencia regional, si bien no se han aplicado todas las recomendaciones correspondientes.</w:t>
      </w:r>
    </w:p>
    <w:p w14:paraId="1989EE85" w14:textId="77777777" w:rsidR="00295C4D" w:rsidRPr="00C46DA9" w:rsidRDefault="00295C4D" w:rsidP="00295C4D">
      <w:pPr>
        <w:pStyle w:val="Heading1"/>
      </w:pPr>
      <w:r w:rsidRPr="00C46DA9">
        <w:t>3</w:t>
      </w:r>
      <w:r w:rsidRPr="00C46DA9">
        <w:tab/>
        <w:t>Propuestas</w:t>
      </w:r>
    </w:p>
    <w:p w14:paraId="5B90158B" w14:textId="77777777" w:rsidR="00295C4D" w:rsidRPr="00295C4D" w:rsidRDefault="00295C4D" w:rsidP="00295C4D">
      <w:r w:rsidRPr="00295C4D">
        <w:t>1</w:t>
      </w:r>
      <w:r w:rsidRPr="00295C4D">
        <w:tab/>
        <w:t>En el informe inicial sobre el examen de la presencia regional de la UIT, convendría facilitar información más detallada sobre el mecanismo de toma de decisiones vinculado al proceso de examen, además de indicar que las recomendaciones conexas y el informe final del examen deberían someterse a la aprobación del Consejo, sin perder de vista las posturas de los Directores de las Oficinas Regionales sobre las recomendaciones dimanantes del examen.</w:t>
      </w:r>
    </w:p>
    <w:p w14:paraId="41975C4C" w14:textId="77777777" w:rsidR="00295C4D" w:rsidRPr="00295C4D" w:rsidRDefault="00295C4D" w:rsidP="00295C4D">
      <w:r w:rsidRPr="00295C4D">
        <w:t>2</w:t>
      </w:r>
      <w:r w:rsidRPr="00295C4D">
        <w:tab/>
        <w:t>Antes de crear un Grupo Asesor de los Estados Miembros sobre la presencia regional, convendría definir claramente su mandato, en particular lo siguiente:</w:t>
      </w:r>
    </w:p>
    <w:p w14:paraId="66BCB18A" w14:textId="5405287C" w:rsidR="00295C4D" w:rsidRPr="00C46DA9" w:rsidRDefault="00295C4D" w:rsidP="00295C4D">
      <w:pPr>
        <w:pStyle w:val="enumlev1"/>
      </w:pPr>
      <w:r w:rsidRPr="00C46DA9">
        <w:t>–</w:t>
      </w:r>
      <w:r w:rsidRPr="00C46DA9">
        <w:tab/>
        <w:t>Objetivos: Proporcionar orientación y supervisión estratégicas a lo largo del proceso de examen, formular comentarios sobre los hallazgos preliminares y examinar y validar las recomendaciones pertinentes, ejerciendo al mismo tiempo de nexo entre la Secretaría de la UIT y los Estados Miembros, de tal manera que sus intereses queden debidamente representados.</w:t>
      </w:r>
    </w:p>
    <w:p w14:paraId="6FF3E47B" w14:textId="3F6AE13C" w:rsidR="00295C4D" w:rsidRPr="00C46DA9" w:rsidRDefault="00295C4D" w:rsidP="00295C4D">
      <w:pPr>
        <w:pStyle w:val="enumlev1"/>
      </w:pPr>
      <w:r w:rsidRPr="00C46DA9">
        <w:t>–</w:t>
      </w:r>
      <w:r w:rsidRPr="00C46DA9">
        <w:tab/>
        <w:t>Composición: Se recomienda que el Grupo Asesor esté abierto a todos los Estados Miembros y vele por una representación regional equilibrada. Cada región coordinará la selección de su representante o representantes en el Grupo. Convendría definir claramente los procedimientos de nombramiento y confirmación de los representantes de los Estados Miembros, así como la duración de sus mandatos.</w:t>
      </w:r>
    </w:p>
    <w:p w14:paraId="7A912B5B" w14:textId="40AD1268" w:rsidR="00295C4D" w:rsidRPr="00C46DA9" w:rsidRDefault="00295C4D" w:rsidP="00295C4D">
      <w:pPr>
        <w:pStyle w:val="enumlev1"/>
      </w:pPr>
      <w:r w:rsidRPr="00C46DA9">
        <w:t>–</w:t>
      </w:r>
      <w:r w:rsidRPr="00C46DA9">
        <w:tab/>
        <w:t>Métodos de trabajo: Entre las recomendaciones deberían figurar el procedimiento de selección del Presidente, la participación de representantes no miembros dentro de las regiones, los mecanismos y procesos de toma de decisiones, los planes de trabajo y la organización de las reuniones.</w:t>
      </w:r>
    </w:p>
    <w:p w14:paraId="2E3938D2" w14:textId="4E59F5B3" w:rsidR="00295C4D" w:rsidRPr="00295C4D" w:rsidRDefault="00295C4D" w:rsidP="00295C4D">
      <w:r w:rsidRPr="00295C4D">
        <w:t>3</w:t>
      </w:r>
      <w:r w:rsidRPr="00295C4D">
        <w:tab/>
        <w:t>Se recomienda que el alcance de las consultas a las partes interesadas se ajuste al mandato relativo al examen de la presencia regional de la UIT, prestando especial atención a las partes interesadas a nivel interno, es decir, la Secretaría y los Grupos Asesores de los tres</w:t>
      </w:r>
      <w:r w:rsidR="00892AA7" w:rsidRPr="00C46DA9">
        <w:t> </w:t>
      </w:r>
      <w:r w:rsidRPr="00295C4D">
        <w:t>Sectores de la UIT. Podrían realizarse encuestas de satisfacción mediante cuestionarios a los miembros de la UIT y a las organizaciones regionales de telecomunicaciones, otorgando prioridad a la evaluación del nivel de satisfacción general de los Estados Miembros.</w:t>
      </w:r>
    </w:p>
    <w:p w14:paraId="3FDBA441" w14:textId="6445A661" w:rsidR="00F92BED" w:rsidRPr="00C46DA9" w:rsidRDefault="00295C4D" w:rsidP="00295C4D">
      <w:r w:rsidRPr="00C46DA9">
        <w:lastRenderedPageBreak/>
        <w:t>4</w:t>
      </w:r>
      <w:r w:rsidRPr="00C46DA9">
        <w:tab/>
        <w:t>De conformidad con las responsabilidades que incumben a la dirección en relación con la presencia regional a tenor de la Resolución 25 (Rev. Bucarest, 2022) de la Conferencia de Plenipotenciarios, relativa al fortalecimiento de la presencia regional de la UIT, el examen debería ser realizado en primera instancia por expertos internos de la Secretaría, bajo la dirección del Director de la Oficina de Desarrollo de las Telecomunicaciones, en estrecha colaboración con la Secretaria General, el Director de la Oficina de Radiocomunicaciones y el Director de la Oficina de Normalización de las Telecomunicaciones. Dada la situación financiera de la UIT, se recomienda no contratar a empresas de consultoría o asesores externos a tal efecto.</w:t>
      </w:r>
    </w:p>
    <w:p w14:paraId="68391E0A" w14:textId="77777777" w:rsidR="00F92BED" w:rsidRPr="00C46DA9" w:rsidRDefault="00F92BED" w:rsidP="0032202E">
      <w:pPr>
        <w:pStyle w:val="Reasons"/>
      </w:pPr>
    </w:p>
    <w:p w14:paraId="724249F6" w14:textId="77777777" w:rsidR="00F92BED" w:rsidRPr="00F92BED" w:rsidRDefault="00F92BED" w:rsidP="00F92BED">
      <w:pPr>
        <w:jc w:val="center"/>
      </w:pPr>
      <w:r w:rsidRPr="00C46DA9">
        <w:t>______________</w:t>
      </w:r>
    </w:p>
    <w:sectPr w:rsidR="00F92BED" w:rsidRPr="00F92BED" w:rsidSect="00C538FC">
      <w:headerReference w:type="first" r:id="rId17"/>
      <w:footerReference w:type="first" r:id="rId1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1518" w14:textId="77777777" w:rsidR="00295C4D" w:rsidRDefault="00295C4D">
      <w:r>
        <w:separator/>
      </w:r>
    </w:p>
  </w:endnote>
  <w:endnote w:type="continuationSeparator" w:id="0">
    <w:p w14:paraId="6FC1F7F3" w14:textId="77777777" w:rsidR="00295C4D" w:rsidRDefault="0029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Segoe Print"/>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AEEE0F0" w14:textId="77777777" w:rsidTr="00E31DCE">
      <w:trPr>
        <w:jc w:val="center"/>
      </w:trPr>
      <w:tc>
        <w:tcPr>
          <w:tcW w:w="1803" w:type="dxa"/>
          <w:vAlign w:val="center"/>
        </w:tcPr>
        <w:p w14:paraId="7EF452FB"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7E205F24" w14:textId="416CB935"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295C4D">
            <w:rPr>
              <w:bCs/>
            </w:rPr>
            <w:t>88</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79383093"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4485" w14:textId="77777777" w:rsidR="00295C4D" w:rsidRDefault="00295C4D">
      <w:r>
        <w:t>____________________</w:t>
      </w:r>
    </w:p>
  </w:footnote>
  <w:footnote w:type="continuationSeparator" w:id="0">
    <w:p w14:paraId="1D8B9D2B" w14:textId="77777777" w:rsidR="00295C4D" w:rsidRDefault="00295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1BC4C676" w14:textId="77777777" w:rsidTr="00666D09">
      <w:trPr>
        <w:trHeight w:val="1104"/>
        <w:jc w:val="center"/>
      </w:trPr>
      <w:tc>
        <w:tcPr>
          <w:tcW w:w="5998" w:type="dxa"/>
          <w:vAlign w:val="center"/>
        </w:tcPr>
        <w:p w14:paraId="4F89332B"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438EC798" wp14:editId="578BFA11">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5D7CE75D" w14:textId="77777777" w:rsidR="00666D09" w:rsidRDefault="00666D09" w:rsidP="001559F5">
          <w:pPr>
            <w:pStyle w:val="Header"/>
            <w:jc w:val="right"/>
            <w:rPr>
              <w:rFonts w:ascii="Arial" w:hAnsi="Arial" w:cs="Arial"/>
              <w:b/>
              <w:bCs/>
              <w:color w:val="009CD6"/>
              <w:szCs w:val="18"/>
            </w:rPr>
          </w:pPr>
        </w:p>
      </w:tc>
    </w:tr>
  </w:tbl>
  <w:p w14:paraId="66FE5104"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300554F0" wp14:editId="57985134">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5F4E2"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4D"/>
    <w:rsid w:val="000007D1"/>
    <w:rsid w:val="0006007D"/>
    <w:rsid w:val="00093EEB"/>
    <w:rsid w:val="000B0D00"/>
    <w:rsid w:val="000B7C15"/>
    <w:rsid w:val="000D1D0F"/>
    <w:rsid w:val="000E3F07"/>
    <w:rsid w:val="000F5290"/>
    <w:rsid w:val="0010165C"/>
    <w:rsid w:val="00146BFB"/>
    <w:rsid w:val="001559F5"/>
    <w:rsid w:val="00157AC4"/>
    <w:rsid w:val="0016169C"/>
    <w:rsid w:val="001B6E2B"/>
    <w:rsid w:val="001F14A2"/>
    <w:rsid w:val="002801AA"/>
    <w:rsid w:val="002946E2"/>
    <w:rsid w:val="00295C4D"/>
    <w:rsid w:val="002C3F32"/>
    <w:rsid w:val="002C4676"/>
    <w:rsid w:val="002C70B0"/>
    <w:rsid w:val="002F3CC4"/>
    <w:rsid w:val="003032E2"/>
    <w:rsid w:val="0031300A"/>
    <w:rsid w:val="003273A4"/>
    <w:rsid w:val="0034796E"/>
    <w:rsid w:val="00363DA1"/>
    <w:rsid w:val="00473962"/>
    <w:rsid w:val="004B5D49"/>
    <w:rsid w:val="004D3A3C"/>
    <w:rsid w:val="00513630"/>
    <w:rsid w:val="00560125"/>
    <w:rsid w:val="00585553"/>
    <w:rsid w:val="005B34D9"/>
    <w:rsid w:val="005D0CCF"/>
    <w:rsid w:val="005F3BCB"/>
    <w:rsid w:val="005F410F"/>
    <w:rsid w:val="0060149A"/>
    <w:rsid w:val="00601924"/>
    <w:rsid w:val="00642038"/>
    <w:rsid w:val="006447EA"/>
    <w:rsid w:val="0064481D"/>
    <w:rsid w:val="0064731F"/>
    <w:rsid w:val="00664572"/>
    <w:rsid w:val="00666D09"/>
    <w:rsid w:val="006710F6"/>
    <w:rsid w:val="00677A97"/>
    <w:rsid w:val="006C1B56"/>
    <w:rsid w:val="006D4761"/>
    <w:rsid w:val="00726872"/>
    <w:rsid w:val="00727441"/>
    <w:rsid w:val="00760F1C"/>
    <w:rsid w:val="007657F0"/>
    <w:rsid w:val="0077110E"/>
    <w:rsid w:val="0077252D"/>
    <w:rsid w:val="007955DA"/>
    <w:rsid w:val="007E5DD3"/>
    <w:rsid w:val="007F350B"/>
    <w:rsid w:val="00820BE4"/>
    <w:rsid w:val="008451E8"/>
    <w:rsid w:val="00892AA7"/>
    <w:rsid w:val="008F6ABC"/>
    <w:rsid w:val="00913B9C"/>
    <w:rsid w:val="00927F93"/>
    <w:rsid w:val="00956E77"/>
    <w:rsid w:val="009A338E"/>
    <w:rsid w:val="009F4811"/>
    <w:rsid w:val="00A827D0"/>
    <w:rsid w:val="00A94438"/>
    <w:rsid w:val="00AA390C"/>
    <w:rsid w:val="00B0200A"/>
    <w:rsid w:val="00B060DF"/>
    <w:rsid w:val="00B574DB"/>
    <w:rsid w:val="00B63853"/>
    <w:rsid w:val="00B826C2"/>
    <w:rsid w:val="00B8298E"/>
    <w:rsid w:val="00BB6FD8"/>
    <w:rsid w:val="00BD0723"/>
    <w:rsid w:val="00BD2518"/>
    <w:rsid w:val="00BF1D1C"/>
    <w:rsid w:val="00C20C59"/>
    <w:rsid w:val="00C2727F"/>
    <w:rsid w:val="00C46DA9"/>
    <w:rsid w:val="00C538FC"/>
    <w:rsid w:val="00C55B1F"/>
    <w:rsid w:val="00CF1A67"/>
    <w:rsid w:val="00D2750E"/>
    <w:rsid w:val="00D375E0"/>
    <w:rsid w:val="00D50A36"/>
    <w:rsid w:val="00D51870"/>
    <w:rsid w:val="00D62446"/>
    <w:rsid w:val="00DA4EA2"/>
    <w:rsid w:val="00DC3D3E"/>
    <w:rsid w:val="00DE2C90"/>
    <w:rsid w:val="00DE3B24"/>
    <w:rsid w:val="00E06947"/>
    <w:rsid w:val="00E11319"/>
    <w:rsid w:val="00E21444"/>
    <w:rsid w:val="00E34072"/>
    <w:rsid w:val="00E3592D"/>
    <w:rsid w:val="00E50D76"/>
    <w:rsid w:val="00E8018B"/>
    <w:rsid w:val="00E92DE8"/>
    <w:rsid w:val="00E94888"/>
    <w:rsid w:val="00EB1212"/>
    <w:rsid w:val="00ED65AB"/>
    <w:rsid w:val="00F12850"/>
    <w:rsid w:val="00F24B71"/>
    <w:rsid w:val="00F33BF4"/>
    <w:rsid w:val="00F7105E"/>
    <w:rsid w:val="00F75F57"/>
    <w:rsid w:val="00F82FEE"/>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6761F3"/>
  <w15:docId w15:val="{4F92981B-7E20-464C-950A-E95E8B66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WGFHR19-C-0014/es" TargetMode="External"/><Relationship Id="rId13" Type="http://schemas.openxmlformats.org/officeDocument/2006/relationships/hyperlink" Target="https://www.itu.int/md/S25-CL-C-0069/es"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tu.int/en/council/Documents/basic-texts-2023/RES-025-S.pdf" TargetMode="External"/><Relationship Id="rId12" Type="http://schemas.openxmlformats.org/officeDocument/2006/relationships/hyperlink" Target="https://www.itu.int/md/S25-CL-C-0069/es"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itu.int/md/S25-CL-C-0069/e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md/S25-CL-C-0069/es" TargetMode="External"/><Relationship Id="rId11" Type="http://schemas.openxmlformats.org/officeDocument/2006/relationships/hyperlink" Target="https://www.itu.int/en/council/Documents/basic-texts-2023/RES-025-S.pdf" TargetMode="External"/><Relationship Id="rId5" Type="http://schemas.openxmlformats.org/officeDocument/2006/relationships/endnotes" Target="endnotes.xml"/><Relationship Id="rId15" Type="http://schemas.openxmlformats.org/officeDocument/2006/relationships/hyperlink" Target="https://www.itu.int/md/S25-CL-C-0050/es" TargetMode="External"/><Relationship Id="rId10" Type="http://schemas.openxmlformats.org/officeDocument/2006/relationships/hyperlink" Target="https://www.itu.int/md/S25-CL-C-0050/e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tu.int/md/S25-CL-C-0069/es" TargetMode="External"/><Relationship Id="rId14" Type="http://schemas.openxmlformats.org/officeDocument/2006/relationships/hyperlink" Target="https://www.itu.int/md/S25-CL-C-0069/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PS_Council25.dotx</Template>
  <TotalTime>0</TotalTime>
  <Pages>4</Pages>
  <Words>1340</Words>
  <Characters>7901</Characters>
  <Application>Microsoft Office Word</Application>
  <DocSecurity>0</DocSecurity>
  <Lines>65</Lines>
  <Paragraphs>18</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9223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Contribución multipaís - Recomendaciones sobre cómo examinar mejor la presencia regional de la UIT</dc:title>
  <dc:subject>ITU Council 2025</dc:subject>
  <dc:creator>TSB (RC)</dc:creator>
  <cp:keywords>Council-25, Council-25, C25</cp:keywords>
  <dc:description/>
  <cp:lastModifiedBy>GBS</cp:lastModifiedBy>
  <cp:revision>2</cp:revision>
  <cp:lastPrinted>2006-03-24T09:51:00Z</cp:lastPrinted>
  <dcterms:created xsi:type="dcterms:W3CDTF">2025-06-13T18:42:00Z</dcterms:created>
  <dcterms:modified xsi:type="dcterms:W3CDTF">2025-06-13T18:42:00Z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