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841333" w14:paraId="0643D843" w14:textId="77777777" w:rsidTr="00D72F49">
        <w:trPr>
          <w:cantSplit/>
          <w:trHeight w:val="23"/>
        </w:trPr>
        <w:tc>
          <w:tcPr>
            <w:tcW w:w="3969" w:type="dxa"/>
            <w:vMerge w:val="restart"/>
            <w:tcMar>
              <w:left w:w="0" w:type="dxa"/>
            </w:tcMar>
          </w:tcPr>
          <w:p w14:paraId="65B7DF4B" w14:textId="6981F64C" w:rsidR="00D72F49" w:rsidRPr="00841333" w:rsidRDefault="00D72F49" w:rsidP="00D72F49">
            <w:pPr>
              <w:tabs>
                <w:tab w:val="left" w:pos="851"/>
              </w:tabs>
              <w:spacing w:before="0" w:line="240" w:lineRule="atLeast"/>
              <w:rPr>
                <w:b/>
              </w:rPr>
            </w:pPr>
            <w:r w:rsidRPr="00841333">
              <w:rPr>
                <w:b/>
              </w:rPr>
              <w:t>Point de l'ordre du jour:</w:t>
            </w:r>
            <w:r w:rsidR="009B4A10">
              <w:rPr>
                <w:b/>
              </w:rPr>
              <w:t xml:space="preserve"> ADM 1</w:t>
            </w:r>
          </w:p>
        </w:tc>
        <w:tc>
          <w:tcPr>
            <w:tcW w:w="5245" w:type="dxa"/>
          </w:tcPr>
          <w:p w14:paraId="59FE27A5" w14:textId="07D875F2" w:rsidR="00D72F49" w:rsidRPr="00841333" w:rsidRDefault="00D72F49" w:rsidP="00D72F49">
            <w:pPr>
              <w:tabs>
                <w:tab w:val="left" w:pos="851"/>
              </w:tabs>
              <w:spacing w:before="0" w:line="240" w:lineRule="atLeast"/>
              <w:jc w:val="right"/>
              <w:rPr>
                <w:b/>
              </w:rPr>
            </w:pPr>
            <w:r w:rsidRPr="00841333">
              <w:rPr>
                <w:b/>
              </w:rPr>
              <w:t>Document C2</w:t>
            </w:r>
            <w:r w:rsidR="00FC6D7D" w:rsidRPr="00841333">
              <w:rPr>
                <w:b/>
              </w:rPr>
              <w:t>5</w:t>
            </w:r>
            <w:r w:rsidRPr="00841333">
              <w:rPr>
                <w:b/>
              </w:rPr>
              <w:t>/</w:t>
            </w:r>
            <w:r w:rsidR="00A12D7B" w:rsidRPr="00841333">
              <w:rPr>
                <w:b/>
              </w:rPr>
              <w:t>88</w:t>
            </w:r>
            <w:r w:rsidRPr="00841333">
              <w:rPr>
                <w:b/>
              </w:rPr>
              <w:t>-F</w:t>
            </w:r>
          </w:p>
        </w:tc>
      </w:tr>
      <w:tr w:rsidR="00D72F49" w:rsidRPr="00841333" w14:paraId="62BEBA85" w14:textId="77777777" w:rsidTr="00D72F49">
        <w:trPr>
          <w:cantSplit/>
        </w:trPr>
        <w:tc>
          <w:tcPr>
            <w:tcW w:w="3969" w:type="dxa"/>
            <w:vMerge/>
          </w:tcPr>
          <w:p w14:paraId="73CC245B" w14:textId="77777777" w:rsidR="00D72F49" w:rsidRPr="00841333" w:rsidRDefault="00D72F49" w:rsidP="00D72F49">
            <w:pPr>
              <w:tabs>
                <w:tab w:val="left" w:pos="851"/>
              </w:tabs>
              <w:spacing w:line="240" w:lineRule="atLeast"/>
              <w:rPr>
                <w:b/>
              </w:rPr>
            </w:pPr>
          </w:p>
        </w:tc>
        <w:tc>
          <w:tcPr>
            <w:tcW w:w="5245" w:type="dxa"/>
          </w:tcPr>
          <w:p w14:paraId="799BA2BA" w14:textId="23FB12DF" w:rsidR="00D72F49" w:rsidRPr="00841333" w:rsidRDefault="00A12D7B" w:rsidP="00D72F49">
            <w:pPr>
              <w:tabs>
                <w:tab w:val="left" w:pos="851"/>
              </w:tabs>
              <w:spacing w:before="0"/>
              <w:jc w:val="right"/>
              <w:rPr>
                <w:b/>
              </w:rPr>
            </w:pPr>
            <w:r w:rsidRPr="00841333">
              <w:rPr>
                <w:b/>
              </w:rPr>
              <w:t>3 juin 2025</w:t>
            </w:r>
          </w:p>
        </w:tc>
      </w:tr>
      <w:tr w:rsidR="00D72F49" w:rsidRPr="00841333" w14:paraId="3A7D1863" w14:textId="77777777" w:rsidTr="00D72F49">
        <w:trPr>
          <w:cantSplit/>
          <w:trHeight w:val="23"/>
        </w:trPr>
        <w:tc>
          <w:tcPr>
            <w:tcW w:w="3969" w:type="dxa"/>
            <w:vMerge/>
          </w:tcPr>
          <w:p w14:paraId="4A067162" w14:textId="77777777" w:rsidR="00D72F49" w:rsidRPr="00841333" w:rsidRDefault="00D72F49" w:rsidP="00D72F49">
            <w:pPr>
              <w:tabs>
                <w:tab w:val="left" w:pos="851"/>
              </w:tabs>
              <w:spacing w:line="240" w:lineRule="atLeast"/>
              <w:rPr>
                <w:b/>
              </w:rPr>
            </w:pPr>
          </w:p>
        </w:tc>
        <w:tc>
          <w:tcPr>
            <w:tcW w:w="5245" w:type="dxa"/>
          </w:tcPr>
          <w:p w14:paraId="74389A1C" w14:textId="6A588623" w:rsidR="00D72F49" w:rsidRPr="00841333" w:rsidRDefault="00D72F49" w:rsidP="00D72F49">
            <w:pPr>
              <w:tabs>
                <w:tab w:val="left" w:pos="851"/>
              </w:tabs>
              <w:spacing w:before="0" w:line="240" w:lineRule="atLeast"/>
              <w:jc w:val="right"/>
              <w:rPr>
                <w:b/>
              </w:rPr>
            </w:pPr>
            <w:r w:rsidRPr="00841333">
              <w:rPr>
                <w:b/>
              </w:rPr>
              <w:t xml:space="preserve">Original: </w:t>
            </w:r>
            <w:r w:rsidR="00A12D7B" w:rsidRPr="00841333">
              <w:rPr>
                <w:b/>
              </w:rPr>
              <w:t>chinois</w:t>
            </w:r>
          </w:p>
        </w:tc>
      </w:tr>
      <w:tr w:rsidR="00D72F49" w:rsidRPr="00841333" w14:paraId="18BE3B13" w14:textId="77777777" w:rsidTr="00D72F49">
        <w:trPr>
          <w:cantSplit/>
          <w:trHeight w:val="23"/>
        </w:trPr>
        <w:tc>
          <w:tcPr>
            <w:tcW w:w="3969" w:type="dxa"/>
          </w:tcPr>
          <w:p w14:paraId="6C1D5D50" w14:textId="77777777" w:rsidR="00D72F49" w:rsidRPr="00841333" w:rsidRDefault="00D72F49" w:rsidP="00D72F49">
            <w:pPr>
              <w:tabs>
                <w:tab w:val="left" w:pos="851"/>
              </w:tabs>
              <w:spacing w:line="240" w:lineRule="atLeast"/>
              <w:rPr>
                <w:b/>
              </w:rPr>
            </w:pPr>
          </w:p>
        </w:tc>
        <w:tc>
          <w:tcPr>
            <w:tcW w:w="5245" w:type="dxa"/>
          </w:tcPr>
          <w:p w14:paraId="3D91AD9D" w14:textId="77777777" w:rsidR="00D72F49" w:rsidRPr="00841333" w:rsidRDefault="00D72F49" w:rsidP="00D72F49">
            <w:pPr>
              <w:tabs>
                <w:tab w:val="left" w:pos="851"/>
              </w:tabs>
              <w:spacing w:before="0" w:line="240" w:lineRule="atLeast"/>
              <w:jc w:val="right"/>
              <w:rPr>
                <w:b/>
              </w:rPr>
            </w:pPr>
          </w:p>
        </w:tc>
      </w:tr>
      <w:tr w:rsidR="00D72F49" w:rsidRPr="00841333" w14:paraId="2670FC00" w14:textId="77777777" w:rsidTr="00D72F49">
        <w:trPr>
          <w:cantSplit/>
        </w:trPr>
        <w:tc>
          <w:tcPr>
            <w:tcW w:w="9214" w:type="dxa"/>
            <w:gridSpan w:val="2"/>
            <w:tcMar>
              <w:left w:w="0" w:type="dxa"/>
            </w:tcMar>
          </w:tcPr>
          <w:p w14:paraId="54ED15FA" w14:textId="5A0770BC" w:rsidR="00D72F49" w:rsidRPr="00841333" w:rsidRDefault="00A12D7B" w:rsidP="00D72F49">
            <w:pPr>
              <w:pStyle w:val="Source"/>
              <w:jc w:val="left"/>
              <w:rPr>
                <w:sz w:val="34"/>
                <w:szCs w:val="34"/>
              </w:rPr>
            </w:pPr>
            <w:r w:rsidRPr="00841333">
              <w:rPr>
                <w:rFonts w:cstheme="minorHAnsi"/>
                <w:color w:val="000000"/>
                <w:sz w:val="34"/>
                <w:szCs w:val="34"/>
              </w:rPr>
              <w:t>Contribution de la Chine (République populaire de)</w:t>
            </w:r>
          </w:p>
        </w:tc>
      </w:tr>
      <w:tr w:rsidR="00D72F49" w:rsidRPr="00841333" w14:paraId="72F82479" w14:textId="77777777" w:rsidTr="00D72F49">
        <w:trPr>
          <w:cantSplit/>
        </w:trPr>
        <w:tc>
          <w:tcPr>
            <w:tcW w:w="9214" w:type="dxa"/>
            <w:gridSpan w:val="2"/>
            <w:tcMar>
              <w:left w:w="0" w:type="dxa"/>
            </w:tcMar>
          </w:tcPr>
          <w:p w14:paraId="57806038" w14:textId="31D32D9F" w:rsidR="00D72F49" w:rsidRPr="00841333" w:rsidRDefault="00641FBA" w:rsidP="00D72F49">
            <w:pPr>
              <w:pStyle w:val="Subtitle"/>
              <w:framePr w:hSpace="0" w:wrap="auto" w:hAnchor="text" w:xAlign="left" w:yAlign="inline"/>
              <w:rPr>
                <w:sz w:val="32"/>
                <w:szCs w:val="32"/>
                <w:lang w:val="fr-FR"/>
              </w:rPr>
            </w:pPr>
            <w:r w:rsidRPr="00841333">
              <w:rPr>
                <w:rFonts w:cstheme="minorHAnsi"/>
                <w:sz w:val="32"/>
                <w:szCs w:val="32"/>
                <w:lang w:val="fr-FR"/>
              </w:rPr>
              <w:t>RECOMMANDATIONS VISANT À AMÉLIORER LA MISE EN ŒUVRE DE L</w:t>
            </w:r>
            <w:r>
              <w:rPr>
                <w:rFonts w:cstheme="minorHAnsi"/>
                <w:sz w:val="32"/>
                <w:szCs w:val="32"/>
                <w:lang w:val="fr-FR"/>
              </w:rPr>
              <w:t>'</w:t>
            </w:r>
            <w:r w:rsidRPr="00841333">
              <w:rPr>
                <w:rFonts w:cstheme="minorHAnsi"/>
                <w:sz w:val="32"/>
                <w:szCs w:val="32"/>
                <w:lang w:val="fr-FR"/>
              </w:rPr>
              <w:t>EXAMEN DE LA PRÉSENCE RÉGIONALE DE L</w:t>
            </w:r>
            <w:r>
              <w:rPr>
                <w:rFonts w:cstheme="minorHAnsi"/>
                <w:sz w:val="32"/>
                <w:szCs w:val="32"/>
                <w:lang w:val="fr-FR"/>
              </w:rPr>
              <w:t>'</w:t>
            </w:r>
            <w:r w:rsidRPr="00841333">
              <w:rPr>
                <w:rFonts w:cstheme="minorHAnsi"/>
                <w:sz w:val="32"/>
                <w:szCs w:val="32"/>
                <w:lang w:val="fr-FR"/>
              </w:rPr>
              <w:t>UIT</w:t>
            </w:r>
          </w:p>
        </w:tc>
      </w:tr>
      <w:tr w:rsidR="00D72F49" w:rsidRPr="00841333" w14:paraId="1381E297" w14:textId="77777777" w:rsidTr="00D72F49">
        <w:trPr>
          <w:cantSplit/>
        </w:trPr>
        <w:tc>
          <w:tcPr>
            <w:tcW w:w="9214" w:type="dxa"/>
            <w:gridSpan w:val="2"/>
            <w:tcBorders>
              <w:top w:val="single" w:sz="4" w:space="0" w:color="auto"/>
              <w:bottom w:val="single" w:sz="4" w:space="0" w:color="auto"/>
            </w:tcBorders>
            <w:tcMar>
              <w:left w:w="0" w:type="dxa"/>
            </w:tcMar>
          </w:tcPr>
          <w:p w14:paraId="349C37E2" w14:textId="77777777" w:rsidR="00D72F49" w:rsidRPr="00841333" w:rsidRDefault="00F37FE5" w:rsidP="00D72F49">
            <w:pPr>
              <w:spacing w:before="160"/>
              <w:rPr>
                <w:b/>
                <w:bCs/>
                <w:sz w:val="26"/>
                <w:szCs w:val="26"/>
              </w:rPr>
            </w:pPr>
            <w:r w:rsidRPr="00841333">
              <w:rPr>
                <w:b/>
                <w:bCs/>
                <w:sz w:val="26"/>
                <w:szCs w:val="26"/>
              </w:rPr>
              <w:t>Objet</w:t>
            </w:r>
          </w:p>
          <w:p w14:paraId="6818B1BD" w14:textId="27DD2965" w:rsidR="00D72F49" w:rsidRPr="00841333" w:rsidRDefault="00A12D7B" w:rsidP="00D72F49">
            <w:r w:rsidRPr="00841333">
              <w:t>La présente contribution vise à appuyer une mise en œuvre plus efficace de l</w:t>
            </w:r>
            <w:r w:rsidR="00B5110A">
              <w:t>'</w:t>
            </w:r>
            <w:r w:rsidRPr="00841333">
              <w:t>examen de la présence régionale de l</w:t>
            </w:r>
            <w:r w:rsidR="00B5110A">
              <w:t>'</w:t>
            </w:r>
            <w:r w:rsidRPr="00841333">
              <w:t>UIT, sur la base du rapport préliminaire (</w:t>
            </w:r>
            <w:hyperlink r:id="rId6" w:history="1">
              <w:r w:rsidRPr="00841333">
                <w:rPr>
                  <w:rStyle w:val="Hyperlink"/>
                  <w:rFonts w:eastAsia="Times New Roman" w:cs="Times New Roman"/>
                  <w:szCs w:val="20"/>
                </w:rPr>
                <w:t>Document C25/69</w:t>
              </w:r>
            </w:hyperlink>
            <w:r w:rsidRPr="00841333">
              <w:t>) fourni par le secrétariat.</w:t>
            </w:r>
          </w:p>
          <w:p w14:paraId="16679B4B" w14:textId="77777777" w:rsidR="00D72F49" w:rsidRPr="00841333" w:rsidRDefault="00D72F49" w:rsidP="00D72F49">
            <w:pPr>
              <w:spacing w:before="160"/>
              <w:rPr>
                <w:b/>
                <w:bCs/>
                <w:sz w:val="26"/>
                <w:szCs w:val="26"/>
              </w:rPr>
            </w:pPr>
            <w:r w:rsidRPr="00841333">
              <w:rPr>
                <w:b/>
                <w:bCs/>
                <w:sz w:val="26"/>
                <w:szCs w:val="26"/>
              </w:rPr>
              <w:t>Suite à donner par le Conseil</w:t>
            </w:r>
          </w:p>
          <w:p w14:paraId="1FBD5AD9" w14:textId="42E39B04" w:rsidR="00D72F49" w:rsidRPr="00841333" w:rsidRDefault="00A12D7B" w:rsidP="00D72F49">
            <w:r w:rsidRPr="00841333">
              <w:t>Le Conseil de l</w:t>
            </w:r>
            <w:r w:rsidR="00B5110A">
              <w:t>'</w:t>
            </w:r>
            <w:r w:rsidRPr="00841333">
              <w:t>UIT est invité à examiner les propositions ci-après et à rédiger le mandat du Groupe consultatif d'États Membres sur la présence régionale, qui sera soumis pour approbation à la session de 2025 du Conseil.</w:t>
            </w:r>
          </w:p>
          <w:p w14:paraId="63B46B67" w14:textId="77777777" w:rsidR="00D72F49" w:rsidRPr="00841333" w:rsidRDefault="00D72F49" w:rsidP="00D72F49">
            <w:pPr>
              <w:spacing w:before="160"/>
              <w:rPr>
                <w:caps/>
                <w:sz w:val="22"/>
              </w:rPr>
            </w:pPr>
            <w:r w:rsidRPr="00841333">
              <w:rPr>
                <w:sz w:val="22"/>
              </w:rPr>
              <w:t>__________________</w:t>
            </w:r>
          </w:p>
          <w:p w14:paraId="1B89493A" w14:textId="77777777" w:rsidR="00D72F49" w:rsidRPr="00841333" w:rsidRDefault="00D72F49" w:rsidP="00D72F49">
            <w:pPr>
              <w:spacing w:before="160"/>
              <w:rPr>
                <w:b/>
                <w:bCs/>
                <w:sz w:val="26"/>
                <w:szCs w:val="26"/>
              </w:rPr>
            </w:pPr>
            <w:r w:rsidRPr="00841333">
              <w:rPr>
                <w:b/>
                <w:bCs/>
                <w:sz w:val="26"/>
                <w:szCs w:val="26"/>
              </w:rPr>
              <w:t>Références</w:t>
            </w:r>
          </w:p>
          <w:p w14:paraId="060CBB26" w14:textId="2DE59775" w:rsidR="00A12D7B" w:rsidRPr="00841333" w:rsidRDefault="00A12D7B" w:rsidP="00A12D7B">
            <w:pPr>
              <w:spacing w:after="160"/>
              <w:rPr>
                <w:i/>
                <w:iCs/>
                <w:szCs w:val="24"/>
              </w:rPr>
            </w:pPr>
            <w:hyperlink r:id="rId7" w:history="1">
              <w:r w:rsidRPr="00641FBA">
                <w:rPr>
                  <w:rStyle w:val="Hyperlink"/>
                  <w:rFonts w:eastAsia="Times New Roman" w:cs="Times New Roman"/>
                  <w:i/>
                  <w:iCs/>
                  <w:szCs w:val="24"/>
                </w:rPr>
                <w:t>Résolution 25</w:t>
              </w:r>
            </w:hyperlink>
            <w:r w:rsidRPr="00841333">
              <w:rPr>
                <w:i/>
                <w:iCs/>
                <w:szCs w:val="24"/>
              </w:rPr>
              <w:t xml:space="preserve"> (Rév. Bucarest, 2022) de la Conférence de plénipotentiaires, sur le </w:t>
            </w:r>
            <w:r w:rsidRPr="00641FBA">
              <w:rPr>
                <w:i/>
                <w:iCs/>
                <w:szCs w:val="24"/>
              </w:rPr>
              <w:t>renforcement de la présence régionale de l'UIT</w:t>
            </w:r>
            <w:r w:rsidRPr="00841333">
              <w:rPr>
                <w:i/>
                <w:iCs/>
                <w:szCs w:val="24"/>
              </w:rPr>
              <w:t>;</w:t>
            </w:r>
          </w:p>
          <w:p w14:paraId="3174417A" w14:textId="1F30DFF1" w:rsidR="00A12D7B" w:rsidRPr="00841333" w:rsidRDefault="00A12D7B" w:rsidP="00A12D7B">
            <w:pPr>
              <w:spacing w:after="160"/>
              <w:rPr>
                <w:i/>
                <w:iCs/>
                <w:szCs w:val="24"/>
              </w:rPr>
            </w:pPr>
            <w:r w:rsidRPr="00841333">
              <w:rPr>
                <w:i/>
                <w:iCs/>
                <w:szCs w:val="24"/>
              </w:rPr>
              <w:t>Achèvement de l</w:t>
            </w:r>
            <w:r w:rsidR="00B5110A">
              <w:rPr>
                <w:i/>
                <w:iCs/>
                <w:szCs w:val="24"/>
              </w:rPr>
              <w:t>'</w:t>
            </w:r>
            <w:r w:rsidRPr="00841333">
              <w:rPr>
                <w:i/>
                <w:iCs/>
                <w:szCs w:val="24"/>
              </w:rPr>
              <w:t>examen de la présence régionale (</w:t>
            </w:r>
            <w:hyperlink r:id="rId8" w:history="1">
              <w:r w:rsidRPr="00841333">
                <w:rPr>
                  <w:rStyle w:val="Hyperlink"/>
                  <w:rFonts w:eastAsia="Times New Roman" w:cs="Times New Roman"/>
                  <w:i/>
                  <w:iCs/>
                  <w:szCs w:val="24"/>
                </w:rPr>
                <w:t>CWG-FHR-19/14</w:t>
              </w:r>
            </w:hyperlink>
            <w:r w:rsidRPr="00841333">
              <w:rPr>
                <w:i/>
                <w:iCs/>
                <w:szCs w:val="24"/>
              </w:rPr>
              <w:t>);</w:t>
            </w:r>
          </w:p>
          <w:p w14:paraId="5400A04A" w14:textId="57846317" w:rsidR="00A12D7B" w:rsidRPr="00841333" w:rsidRDefault="00A12D7B" w:rsidP="00A12D7B">
            <w:pPr>
              <w:spacing w:after="160"/>
              <w:rPr>
                <w:i/>
                <w:iCs/>
                <w:szCs w:val="24"/>
              </w:rPr>
            </w:pPr>
            <w:r w:rsidRPr="00841333">
              <w:rPr>
                <w:i/>
                <w:iCs/>
                <w:szCs w:val="24"/>
              </w:rPr>
              <w:t>Rapport préliminaire sur l</w:t>
            </w:r>
            <w:r w:rsidR="00B5110A">
              <w:rPr>
                <w:i/>
                <w:iCs/>
                <w:szCs w:val="24"/>
              </w:rPr>
              <w:t>'</w:t>
            </w:r>
            <w:r w:rsidRPr="00841333">
              <w:rPr>
                <w:i/>
                <w:iCs/>
                <w:szCs w:val="24"/>
              </w:rPr>
              <w:t>examen de la présence régionale de l</w:t>
            </w:r>
            <w:r w:rsidR="00B5110A">
              <w:rPr>
                <w:i/>
                <w:iCs/>
                <w:szCs w:val="24"/>
              </w:rPr>
              <w:t>'</w:t>
            </w:r>
            <w:r w:rsidRPr="00841333">
              <w:rPr>
                <w:i/>
                <w:iCs/>
                <w:szCs w:val="24"/>
              </w:rPr>
              <w:t>UIT (</w:t>
            </w:r>
            <w:hyperlink r:id="rId9" w:history="1">
              <w:r w:rsidRPr="00841333">
                <w:rPr>
                  <w:rStyle w:val="Hyperlink"/>
                  <w:rFonts w:eastAsia="Times New Roman" w:cs="Times New Roman"/>
                  <w:i/>
                  <w:iCs/>
                  <w:szCs w:val="24"/>
                </w:rPr>
                <w:t>Document C25/69</w:t>
              </w:r>
            </w:hyperlink>
            <w:r w:rsidRPr="00841333">
              <w:rPr>
                <w:i/>
                <w:iCs/>
                <w:szCs w:val="24"/>
              </w:rPr>
              <w:t>);</w:t>
            </w:r>
          </w:p>
          <w:p w14:paraId="7CCB04BE" w14:textId="342F8729" w:rsidR="00D72F49" w:rsidRPr="00841333" w:rsidRDefault="00A12D7B" w:rsidP="00A12D7B">
            <w:pPr>
              <w:spacing w:after="160"/>
              <w:rPr>
                <w:i/>
                <w:iCs/>
                <w:sz w:val="22"/>
                <w:szCs w:val="22"/>
              </w:rPr>
            </w:pPr>
            <w:r w:rsidRPr="00841333">
              <w:rPr>
                <w:i/>
                <w:iCs/>
                <w:szCs w:val="24"/>
              </w:rPr>
              <w:t>Rapport sur les résultats des 19ème et 20ème réunions du Groupe de travail du Conseil sur les ressources financières et les ressources humaines (</w:t>
            </w:r>
            <w:hyperlink r:id="rId10" w:history="1">
              <w:r w:rsidRPr="00841333">
                <w:rPr>
                  <w:rStyle w:val="Hyperlink"/>
                  <w:rFonts w:eastAsia="Times New Roman" w:cs="Times New Roman"/>
                  <w:i/>
                  <w:iCs/>
                  <w:szCs w:val="24"/>
                </w:rPr>
                <w:t>Document C25/50</w:t>
              </w:r>
            </w:hyperlink>
            <w:r w:rsidRPr="00841333">
              <w:rPr>
                <w:i/>
                <w:iCs/>
                <w:szCs w:val="24"/>
              </w:rPr>
              <w:t>).</w:t>
            </w:r>
          </w:p>
        </w:tc>
      </w:tr>
    </w:tbl>
    <w:p w14:paraId="0835C4D0" w14:textId="77777777" w:rsidR="00A51849" w:rsidRPr="00841333" w:rsidRDefault="00A51849">
      <w:pPr>
        <w:tabs>
          <w:tab w:val="clear" w:pos="567"/>
          <w:tab w:val="clear" w:pos="1134"/>
          <w:tab w:val="clear" w:pos="1701"/>
          <w:tab w:val="clear" w:pos="2268"/>
          <w:tab w:val="clear" w:pos="2835"/>
        </w:tabs>
        <w:overflowPunct/>
        <w:autoSpaceDE/>
        <w:autoSpaceDN/>
        <w:adjustRightInd/>
        <w:spacing w:before="0"/>
        <w:textAlignment w:val="auto"/>
      </w:pPr>
      <w:r w:rsidRPr="00841333">
        <w:br w:type="page"/>
      </w:r>
    </w:p>
    <w:p w14:paraId="712CE699" w14:textId="1FE7633B" w:rsidR="00A12D7B" w:rsidRPr="00841333" w:rsidRDefault="009631CF" w:rsidP="009631CF">
      <w:pPr>
        <w:pStyle w:val="Heading1"/>
      </w:pPr>
      <w:r>
        <w:lastRenderedPageBreak/>
        <w:t>1</w:t>
      </w:r>
      <w:r>
        <w:tab/>
      </w:r>
      <w:r w:rsidR="00A12D7B" w:rsidRPr="00841333">
        <w:t>Considérations générales</w:t>
      </w:r>
    </w:p>
    <w:p w14:paraId="6297695A" w14:textId="644068DD" w:rsidR="00A12D7B" w:rsidRPr="00841333" w:rsidRDefault="00A12D7B" w:rsidP="00A12D7B">
      <w:r w:rsidRPr="00841333">
        <w:t xml:space="preserve">Dans sa </w:t>
      </w:r>
      <w:hyperlink r:id="rId11" w:history="1">
        <w:r w:rsidRPr="009631CF">
          <w:rPr>
            <w:rStyle w:val="Hyperlink"/>
            <w:rFonts w:eastAsia="Times New Roman" w:cs="Times New Roman"/>
            <w:szCs w:val="20"/>
          </w:rPr>
          <w:t>Résolution 25</w:t>
        </w:r>
      </w:hyperlink>
      <w:r w:rsidRPr="00841333">
        <w:t xml:space="preserve"> (Rév. Bucarest, 2022) sur le </w:t>
      </w:r>
      <w:r w:rsidRPr="009631CF">
        <w:t>renforcement de la présence régionale de l'UIT</w:t>
      </w:r>
      <w:r w:rsidRPr="00841333">
        <w:t xml:space="preserve">, la Conférence de plénipotentiaires </w:t>
      </w:r>
      <w:r w:rsidRPr="00841333">
        <w:rPr>
          <w:i/>
          <w:iCs/>
        </w:rPr>
        <w:t>décide en outre</w:t>
      </w:r>
      <w:r w:rsidRPr="00841333">
        <w:t xml:space="preserve"> "d'examiner la présence régionale de l'UIT, chaque fois que le Conseil de l'UIT lui en fera la demande, mais au moins une fois dans l</w:t>
      </w:r>
      <w:r w:rsidR="00B5110A">
        <w:t>'</w:t>
      </w:r>
      <w:r w:rsidRPr="00841333">
        <w:t>intervalle entre deux Conférences de plénipotentiaires".</w:t>
      </w:r>
    </w:p>
    <w:p w14:paraId="65B17F94" w14:textId="247ECB09" w:rsidR="00A12D7B" w:rsidRPr="00841333" w:rsidRDefault="00A12D7B" w:rsidP="00A12D7B">
      <w:r w:rsidRPr="00841333">
        <w:t>En 2024, de nombreux États Membres ont soumis des contributions à la 19ème réunion du Groupe de travail du Conseil sur les ressources financières et les ressources humaines, dans lesquels ils appellent à la mise en œuvre de l</w:t>
      </w:r>
      <w:r w:rsidR="00B5110A">
        <w:t>'</w:t>
      </w:r>
      <w:r w:rsidRPr="00841333">
        <w:t>examen de la présence régionale de l</w:t>
      </w:r>
      <w:r w:rsidR="00B5110A">
        <w:t>'</w:t>
      </w:r>
      <w:r w:rsidRPr="00841333">
        <w:t>UIT, ainsi</w:t>
      </w:r>
      <w:r w:rsidR="009631CF">
        <w:t> </w:t>
      </w:r>
      <w:r w:rsidRPr="00841333">
        <w:t>qu'à l'établissement d</w:t>
      </w:r>
      <w:r w:rsidR="00B5110A">
        <w:t>'</w:t>
      </w:r>
      <w:r w:rsidRPr="00841333">
        <w:t>une feuille de route présentant des mesures concrètes assortie d'un échéancier pour cet examen. Sur la base des discussions tenues et des décisions prises lors de cette réunion, un groupe de travail par correspondance en ligne a été mis sur pied afin</w:t>
      </w:r>
      <w:r w:rsidR="009631CF">
        <w:t xml:space="preserve"> </w:t>
      </w:r>
      <w:r w:rsidRPr="00841333">
        <w:t>d</w:t>
      </w:r>
      <w:r w:rsidR="00B5110A">
        <w:t>'</w:t>
      </w:r>
      <w:r w:rsidRPr="00841333">
        <w:t>examiner et de définir le mandat pour cet examen. Le groupe de travail par correspondance en ligne, qui pourra compter sur la participation de délégués d'États</w:t>
      </w:r>
      <w:r w:rsidR="009631CF">
        <w:t> </w:t>
      </w:r>
      <w:r w:rsidRPr="00841333">
        <w:t>Membres intéressés par ce sujet, jouera un rôle essentiel dans l'appui des futurs examens de la présence régionale de l</w:t>
      </w:r>
      <w:r w:rsidR="00B5110A">
        <w:t>'</w:t>
      </w:r>
      <w:r w:rsidRPr="00841333">
        <w:t>UIT, conformément à son mandat établi.</w:t>
      </w:r>
    </w:p>
    <w:p w14:paraId="65784175" w14:textId="0026735E" w:rsidR="00A12D7B" w:rsidRPr="00841333" w:rsidRDefault="00A12D7B" w:rsidP="00A12D7B">
      <w:r w:rsidRPr="00841333">
        <w:t xml:space="preserve">Nous notons que, dans le </w:t>
      </w:r>
      <w:hyperlink r:id="rId12" w:history="1">
        <w:r w:rsidRPr="00841333">
          <w:rPr>
            <w:rStyle w:val="Hyperlink"/>
            <w:rFonts w:eastAsia="Times New Roman" w:cs="Times New Roman"/>
            <w:szCs w:val="20"/>
          </w:rPr>
          <w:t>Document C25/69</w:t>
        </w:r>
      </w:hyperlink>
      <w:r w:rsidRPr="00841333">
        <w:t xml:space="preserve">, le secrétariat propose qu'un Groupe consultatif d'États Membres sur la présence régionale soit créé afin de renforcer la légitimité de l'examen et de s'assurer que les États Membres s'approprient le processus. Le </w:t>
      </w:r>
      <w:r w:rsidR="00B5110A">
        <w:t>g</w:t>
      </w:r>
      <w:r w:rsidRPr="00841333">
        <w:t>roupe aurait pour objectif d'assurer une supervision et de donner des orientations sur le plan stratégique tout au long de l</w:t>
      </w:r>
      <w:r w:rsidR="00B5110A">
        <w:t>'</w:t>
      </w:r>
      <w:r w:rsidRPr="00841333">
        <w:t>examen, de formuler un avis sur les conclusions préliminaires, et d'examiner et de valider les recommandations pertinentes.</w:t>
      </w:r>
    </w:p>
    <w:p w14:paraId="51740689" w14:textId="419160DB" w:rsidR="00A12D7B" w:rsidRPr="00841333" w:rsidRDefault="009631CF" w:rsidP="009631CF">
      <w:pPr>
        <w:pStyle w:val="Heading1"/>
      </w:pPr>
      <w:r>
        <w:t>2</w:t>
      </w:r>
      <w:r>
        <w:tab/>
      </w:r>
      <w:r w:rsidR="00A12D7B" w:rsidRPr="00841333">
        <w:t>Discussion</w:t>
      </w:r>
    </w:p>
    <w:p w14:paraId="6B2B9839" w14:textId="2FD4C857" w:rsidR="00A12D7B" w:rsidRPr="00841333" w:rsidRDefault="00A12D7B" w:rsidP="00A12D7B">
      <w:r w:rsidRPr="00841333">
        <w:t xml:space="preserve">On trouvera dans le </w:t>
      </w:r>
      <w:hyperlink r:id="rId13" w:history="1">
        <w:r w:rsidRPr="00841333">
          <w:rPr>
            <w:rStyle w:val="Hyperlink"/>
            <w:rFonts w:eastAsia="Times New Roman" w:cs="Times New Roman"/>
            <w:szCs w:val="20"/>
          </w:rPr>
          <w:t>Document C25/69</w:t>
        </w:r>
      </w:hyperlink>
      <w:r w:rsidRPr="00841333">
        <w:t xml:space="preserve"> fourni par le secrétariat une proposition de cadre et d'approche à utiliser pour mener l</w:t>
      </w:r>
      <w:r w:rsidR="00B5110A">
        <w:t>'</w:t>
      </w:r>
      <w:r w:rsidRPr="00841333">
        <w:t>examen, ainsi qu'une description des phases, des étapes, des produits, des consultations avec les parties prenantes, des processus décisionnels et des ressources nécessaires. Nous pensons que ce document constitue une bonne base pour les futurs examens. Toutefois, nous estimons que les points suivants méritent des explications supplémentaires:</w:t>
      </w:r>
    </w:p>
    <w:p w14:paraId="027BB67A" w14:textId="38DBFDAF" w:rsidR="00A12D7B" w:rsidRPr="00841333" w:rsidRDefault="00A12D7B" w:rsidP="008A0139">
      <w:pPr>
        <w:pStyle w:val="enumlev1"/>
      </w:pPr>
      <w:r w:rsidRPr="00841333">
        <w:t>1)</w:t>
      </w:r>
      <w:r w:rsidR="008A0139" w:rsidRPr="00841333">
        <w:tab/>
      </w:r>
      <w:r w:rsidRPr="00841333">
        <w:t>Mécanisme de consultation: les processus décisionnels de l</w:t>
      </w:r>
      <w:r w:rsidR="00B5110A">
        <w:t>'</w:t>
      </w:r>
      <w:r w:rsidRPr="00841333">
        <w:t>examen ne sont pas clairs. La relation entre le Groupe d</w:t>
      </w:r>
      <w:r w:rsidR="00B5110A">
        <w:t>'</w:t>
      </w:r>
      <w:r w:rsidRPr="00841333">
        <w:t>action intersectoriel sur la présence régionale et le cadre de gouvernance existant de l</w:t>
      </w:r>
      <w:r w:rsidR="00B5110A">
        <w:t>'</w:t>
      </w:r>
      <w:r w:rsidRPr="00841333">
        <w:t xml:space="preserve">UIT, et en particulier les interactions entre ledit </w:t>
      </w:r>
      <w:r w:rsidR="00B5110A">
        <w:t>g</w:t>
      </w:r>
      <w:r w:rsidRPr="00841333">
        <w:t>roupe et l</w:t>
      </w:r>
      <w:r w:rsidR="00B5110A">
        <w:t>'</w:t>
      </w:r>
      <w:r w:rsidRPr="00841333">
        <w:t>Unité du contrôle interne et le Comité de coordination, doivent faire l'objet de précisions supplémentaires.</w:t>
      </w:r>
    </w:p>
    <w:p w14:paraId="5F140BDC" w14:textId="13CEE0C6" w:rsidR="00A12D7B" w:rsidRPr="00841333" w:rsidRDefault="00A12D7B" w:rsidP="008A0139">
      <w:pPr>
        <w:pStyle w:val="enumlev1"/>
      </w:pPr>
      <w:r w:rsidRPr="00841333">
        <w:t>2)</w:t>
      </w:r>
      <w:r w:rsidR="008A0139" w:rsidRPr="00841333">
        <w:tab/>
      </w:r>
      <w:r w:rsidRPr="00841333">
        <w:t>Création d</w:t>
      </w:r>
      <w:r w:rsidR="00B5110A">
        <w:t>'</w:t>
      </w:r>
      <w:r w:rsidRPr="00841333">
        <w:t>un Groupe consultatif d'États Membres sur la présence régionale: il n'est pas fait mention du mandat de ce groupe dans le document. Il convient de noter que, lors de la mise en œuvre du projet de locaux du siège de l</w:t>
      </w:r>
      <w:r w:rsidR="00B5110A">
        <w:t>'</w:t>
      </w:r>
      <w:r w:rsidRPr="00841333">
        <w:t xml:space="preserve">UIT, un Groupe consultatif d'États Membres a été créé et un mandat détaillé a été élaboré pour celui-ci. Guidé par son mandat, le </w:t>
      </w:r>
      <w:r w:rsidR="00B5110A">
        <w:t>g</w:t>
      </w:r>
      <w:r w:rsidRPr="00841333">
        <w:t>roupe consultatif a supervisé ce projet, en veillant à ce que la conception et la mise en œuvre soient conformes aux besoins des États Membres et aux objectifs du projet. Il s'agit d'un exemple de bonne pratique.</w:t>
      </w:r>
    </w:p>
    <w:p w14:paraId="1F17D0D7" w14:textId="3AD30DD3" w:rsidR="00A12D7B" w:rsidRPr="00841333" w:rsidRDefault="00A12D7B" w:rsidP="00F35ED7">
      <w:pPr>
        <w:pStyle w:val="enumlev1"/>
        <w:keepLines/>
      </w:pPr>
      <w:r w:rsidRPr="00841333">
        <w:lastRenderedPageBreak/>
        <w:t>3)</w:t>
      </w:r>
      <w:r w:rsidR="008A0139" w:rsidRPr="00841333">
        <w:tab/>
      </w:r>
      <w:r w:rsidRPr="00841333">
        <w:t xml:space="preserve">Consultations avec les parties prenantes: dans le </w:t>
      </w:r>
      <w:hyperlink r:id="rId14" w:history="1">
        <w:r w:rsidRPr="00841333">
          <w:rPr>
            <w:rStyle w:val="Hyperlink"/>
            <w:rFonts w:eastAsia="Times New Roman" w:cs="Times New Roman"/>
            <w:szCs w:val="20"/>
          </w:rPr>
          <w:t>Document C25/69</w:t>
        </w:r>
      </w:hyperlink>
      <w:r w:rsidRPr="00841333">
        <w:t xml:space="preserve">, il est indiqué que les principales cibles des consultations sont le </w:t>
      </w:r>
      <w:r w:rsidR="00DB39E6">
        <w:t>S</w:t>
      </w:r>
      <w:r w:rsidRPr="00841333">
        <w:t>ecrétariat de l</w:t>
      </w:r>
      <w:r w:rsidR="00B5110A">
        <w:t>'</w:t>
      </w:r>
      <w:r w:rsidRPr="00841333">
        <w:t>UIT, des membres divers et les organisations régionales de télécommunication. Toutefois, nous notons que, dans l</w:t>
      </w:r>
      <w:r w:rsidR="00B5110A">
        <w:t>'</w:t>
      </w:r>
      <w:r w:rsidRPr="00841333">
        <w:t xml:space="preserve">Annexe A du </w:t>
      </w:r>
      <w:hyperlink r:id="rId15" w:history="1">
        <w:r w:rsidRPr="00841333">
          <w:rPr>
            <w:rStyle w:val="Hyperlink"/>
            <w:rFonts w:eastAsia="Times New Roman" w:cs="Times New Roman"/>
            <w:szCs w:val="20"/>
          </w:rPr>
          <w:t>Document C25/50</w:t>
        </w:r>
      </w:hyperlink>
      <w:r w:rsidRPr="00841333">
        <w:t xml:space="preserve"> relative au mandat pour l</w:t>
      </w:r>
      <w:r w:rsidR="00B5110A">
        <w:t>'</w:t>
      </w:r>
      <w:r w:rsidRPr="00841333">
        <w:t>examen de la présence régionale de l</w:t>
      </w:r>
      <w:r w:rsidR="00B5110A">
        <w:t>'</w:t>
      </w:r>
      <w:r w:rsidRPr="00841333">
        <w:t>UIT, les groupes consultatifs de l</w:t>
      </w:r>
      <w:r w:rsidR="00B5110A">
        <w:t>'</w:t>
      </w:r>
      <w:r w:rsidRPr="00841333">
        <w:t>UIT concernés sont considérés comme des parties prenantes devant être consultées, la priorité étant donnée à l</w:t>
      </w:r>
      <w:r w:rsidR="00B5110A">
        <w:t>'</w:t>
      </w:r>
      <w:r w:rsidRPr="00841333">
        <w:t>évaluation du niveau de satisfaction globale des États Membres vis-à-vis des activités des bureaux régionaux.</w:t>
      </w:r>
    </w:p>
    <w:p w14:paraId="6FB39162" w14:textId="5C678AE5" w:rsidR="00A12D7B" w:rsidRPr="00841333" w:rsidRDefault="00A12D7B" w:rsidP="008A0139">
      <w:pPr>
        <w:pStyle w:val="enumlev1"/>
      </w:pPr>
      <w:r w:rsidRPr="00841333">
        <w:t>4)</w:t>
      </w:r>
      <w:r w:rsidR="008A0139" w:rsidRPr="00841333">
        <w:tab/>
      </w:r>
      <w:r w:rsidRPr="00841333">
        <w:t>Incidences financières de l</w:t>
      </w:r>
      <w:r w:rsidR="00B5110A">
        <w:t>'</w:t>
      </w:r>
      <w:r w:rsidRPr="00841333">
        <w:t>examen de la présence régionale de l</w:t>
      </w:r>
      <w:r w:rsidR="00B5110A">
        <w:t>'</w:t>
      </w:r>
      <w:r w:rsidRPr="00841333">
        <w:t xml:space="preserve">UIT: le </w:t>
      </w:r>
      <w:hyperlink r:id="rId16" w:history="1">
        <w:r w:rsidRPr="00841333">
          <w:rPr>
            <w:rStyle w:val="Hyperlink"/>
            <w:rFonts w:eastAsia="Times New Roman" w:cs="Times New Roman"/>
            <w:szCs w:val="20"/>
          </w:rPr>
          <w:t>Document</w:t>
        </w:r>
        <w:r w:rsidR="00686442" w:rsidRPr="00841333">
          <w:rPr>
            <w:rStyle w:val="Hyperlink"/>
            <w:rFonts w:eastAsia="Times New Roman" w:cs="Times New Roman"/>
            <w:szCs w:val="20"/>
          </w:rPr>
          <w:t> </w:t>
        </w:r>
        <w:r w:rsidRPr="00841333">
          <w:rPr>
            <w:rStyle w:val="Hyperlink"/>
            <w:rFonts w:eastAsia="Times New Roman" w:cs="Times New Roman"/>
            <w:szCs w:val="20"/>
          </w:rPr>
          <w:t>C25/69</w:t>
        </w:r>
      </w:hyperlink>
      <w:r w:rsidRPr="00841333">
        <w:t xml:space="preserve"> souligne la nécessité d'engager des consultants pour une période de courte durée afin d'aider le Groupe d</w:t>
      </w:r>
      <w:r w:rsidR="00B5110A">
        <w:t>'</w:t>
      </w:r>
      <w:r w:rsidRPr="00841333">
        <w:t>action intersectoriel sur la présence régionale à effectuer des recherches, à mener des enquêtes, à synthétiser des données et à faciliter les consultations avec les parties prenantes, autant de choses qui nécessitent des ressources financières. Lors de discussions précédentes, la plupart des États Membres ont exprimé des inquiétudes quant aux incidences financières de l</w:t>
      </w:r>
      <w:r w:rsidR="00B5110A">
        <w:t>'</w:t>
      </w:r>
      <w:r w:rsidRPr="00841333">
        <w:t>examen. En outre, l</w:t>
      </w:r>
      <w:r w:rsidR="00B5110A">
        <w:t>'</w:t>
      </w:r>
      <w:r w:rsidRPr="00841333">
        <w:t>UIT a engagé les services de cabinets de conseil extérieurs et investi d'importantes ressources pour l</w:t>
      </w:r>
      <w:r w:rsidR="00B5110A">
        <w:t>'</w:t>
      </w:r>
      <w:r w:rsidRPr="00841333">
        <w:t>examen de la présence régionale; pourtant, toutes les recommandations connexes n</w:t>
      </w:r>
      <w:r w:rsidR="00B5110A">
        <w:t>'</w:t>
      </w:r>
      <w:r w:rsidRPr="00841333">
        <w:t>ont pas été appliquées.</w:t>
      </w:r>
    </w:p>
    <w:p w14:paraId="56DD4F2A" w14:textId="567AF84F" w:rsidR="00A12D7B" w:rsidRPr="00841333" w:rsidRDefault="009631CF" w:rsidP="009631CF">
      <w:pPr>
        <w:pStyle w:val="Heading1"/>
      </w:pPr>
      <w:r>
        <w:t>3</w:t>
      </w:r>
      <w:r>
        <w:tab/>
      </w:r>
      <w:r w:rsidR="00A12D7B" w:rsidRPr="00841333">
        <w:t>Propositions</w:t>
      </w:r>
    </w:p>
    <w:p w14:paraId="0332F420" w14:textId="362E18E3" w:rsidR="00A12D7B" w:rsidRPr="00841333" w:rsidRDefault="00A12D7B" w:rsidP="00A12D7B">
      <w:r w:rsidRPr="00841333">
        <w:t>1</w:t>
      </w:r>
      <w:r w:rsidRPr="00841333">
        <w:tab/>
        <w:t>Le rapport préliminaire sur l</w:t>
      </w:r>
      <w:r w:rsidR="00B5110A">
        <w:t>'</w:t>
      </w:r>
      <w:r w:rsidRPr="00841333">
        <w:t>examen de la présence régionale de l</w:t>
      </w:r>
      <w:r w:rsidR="00B5110A">
        <w:t>'</w:t>
      </w:r>
      <w:r w:rsidRPr="00841333">
        <w:t>UIT devrait donner plus de précisions sur le mécanisme décisionnel applicable au processus d</w:t>
      </w:r>
      <w:r w:rsidR="00B5110A">
        <w:t>'</w:t>
      </w:r>
      <w:r w:rsidRPr="00841333">
        <w:t>examen, en indiquant que les recommandations connexes et le rapport d</w:t>
      </w:r>
      <w:r w:rsidR="00B5110A">
        <w:t>'</w:t>
      </w:r>
      <w:r w:rsidRPr="00841333">
        <w:t>examen final devraient être approuvés par le Conseil, tout en veillant à ce que les points de vue des directeurs des bureaux régionaux sur les recommandations de l</w:t>
      </w:r>
      <w:r w:rsidR="00B5110A">
        <w:t>'</w:t>
      </w:r>
      <w:r w:rsidRPr="00841333">
        <w:t>examen soient pleinement pris en compte.</w:t>
      </w:r>
    </w:p>
    <w:p w14:paraId="54CC1863" w14:textId="69AFDCAC" w:rsidR="00A12D7B" w:rsidRPr="00841333" w:rsidRDefault="00A12D7B" w:rsidP="00A12D7B">
      <w:r w:rsidRPr="00841333">
        <w:t>2</w:t>
      </w:r>
      <w:r w:rsidRPr="00841333">
        <w:tab/>
        <w:t>Avant sa création, un Groupe consultatif d'États Membres sur la présence régionale devrait disposer d'un mandat dans lequel les éléments suivants, sans toutefois s'y limiter, devraient être clairement définis:</w:t>
      </w:r>
    </w:p>
    <w:p w14:paraId="34D0609D" w14:textId="45041BDD" w:rsidR="00A12D7B" w:rsidRPr="00841333" w:rsidRDefault="00686442" w:rsidP="00686442">
      <w:pPr>
        <w:pStyle w:val="enumlev1"/>
      </w:pPr>
      <w:r w:rsidRPr="00841333">
        <w:t>–</w:t>
      </w:r>
      <w:r w:rsidR="00A12D7B" w:rsidRPr="00841333">
        <w:tab/>
        <w:t>Objectifs: assurer une supervision et donner des orientations sur le plan stratégique tout au long du processus d</w:t>
      </w:r>
      <w:r w:rsidR="00B5110A">
        <w:t>'</w:t>
      </w:r>
      <w:r w:rsidR="00A12D7B" w:rsidRPr="00841333">
        <w:t xml:space="preserve">examen, formuler un avis sur les conclusions, et examiner et valider les recommandations pertinentes, tout en assurant la liaison entre le </w:t>
      </w:r>
      <w:r w:rsidR="00DB39E6">
        <w:t>S</w:t>
      </w:r>
      <w:r w:rsidR="00A12D7B" w:rsidRPr="00841333">
        <w:t>ecrétariat de l</w:t>
      </w:r>
      <w:r w:rsidR="00B5110A">
        <w:t>'</w:t>
      </w:r>
      <w:r w:rsidR="00A12D7B" w:rsidRPr="00841333">
        <w:t>UIT et les États Membres pour veiller à ce que leurs intérêts soient dûment représentés.</w:t>
      </w:r>
    </w:p>
    <w:p w14:paraId="39173EED" w14:textId="25AFD55F" w:rsidR="00A12D7B" w:rsidRPr="00841333" w:rsidRDefault="00686442" w:rsidP="00686442">
      <w:pPr>
        <w:pStyle w:val="enumlev1"/>
      </w:pPr>
      <w:r w:rsidRPr="00841333">
        <w:t>–</w:t>
      </w:r>
      <w:r w:rsidR="00A12D7B" w:rsidRPr="00841333">
        <w:tab/>
        <w:t xml:space="preserve">Composition: il est recommandé que le </w:t>
      </w:r>
      <w:r w:rsidR="00B5110A">
        <w:t>g</w:t>
      </w:r>
      <w:r w:rsidR="00A12D7B" w:rsidRPr="00841333">
        <w:t>roupe consultatif soit ouvert à tous les États</w:t>
      </w:r>
      <w:r w:rsidR="003171ED">
        <w:t> </w:t>
      </w:r>
      <w:r w:rsidR="00A12D7B" w:rsidRPr="00841333">
        <w:t xml:space="preserve">Membres et que les différentes régions y soient représentées de manière équilibrée. Chaque région coordonnera le choix de son/ses représentant(s) au sein du </w:t>
      </w:r>
      <w:r w:rsidR="00B5110A">
        <w:t>g</w:t>
      </w:r>
      <w:r w:rsidR="00A12D7B" w:rsidRPr="00841333">
        <w:t>roupe. Les procédures de nomination et de confirmation des représentants des États</w:t>
      </w:r>
      <w:r w:rsidR="003171ED">
        <w:t> </w:t>
      </w:r>
      <w:r w:rsidR="00A12D7B" w:rsidRPr="00841333">
        <w:t>Membres, ainsi que la durée de leur mandat, devraient être clairement définies.</w:t>
      </w:r>
    </w:p>
    <w:p w14:paraId="4BD5E669" w14:textId="19130E22" w:rsidR="00A12D7B" w:rsidRPr="00841333" w:rsidRDefault="00686442" w:rsidP="00686442">
      <w:pPr>
        <w:pStyle w:val="enumlev1"/>
      </w:pPr>
      <w:r w:rsidRPr="00841333">
        <w:t>–</w:t>
      </w:r>
      <w:r w:rsidR="00A12D7B" w:rsidRPr="00841333">
        <w:tab/>
        <w:t>Méthodes de travail: les recommandations devraient porter sur la procédure de sélection du président, la participation de représentants non membres au sein des régions, les mécanismes et processus décisionnels, les programmes de travail et les dispositions prises pour les réunions.</w:t>
      </w:r>
    </w:p>
    <w:p w14:paraId="67F51B97" w14:textId="7AE42857" w:rsidR="00A12D7B" w:rsidRPr="00841333" w:rsidRDefault="00A12D7B" w:rsidP="009631CF">
      <w:pPr>
        <w:keepNext/>
        <w:keepLines/>
      </w:pPr>
      <w:r w:rsidRPr="00841333">
        <w:lastRenderedPageBreak/>
        <w:t>3</w:t>
      </w:r>
      <w:r w:rsidRPr="00841333">
        <w:tab/>
        <w:t>Il est recommandé que la portée des consultations avec les parties prenantes soit alignée sur le mandat pour l'examen de la présence régionale de l</w:t>
      </w:r>
      <w:r w:rsidR="00B5110A">
        <w:t>'</w:t>
      </w:r>
      <w:r w:rsidRPr="00841333">
        <w:t>UIT et se concentre principalement sur les parties prenantes internes, à savoir le secrétariat et les groupes consultatifs des trois Secteurs de l</w:t>
      </w:r>
      <w:r w:rsidR="00B5110A">
        <w:t>'</w:t>
      </w:r>
      <w:r w:rsidRPr="00841333">
        <w:t>UIT. Les enquêtes de satisfaction peuvent être menées au moyen de questionnaires distribués aux membres de l</w:t>
      </w:r>
      <w:r w:rsidR="00B5110A">
        <w:t>'</w:t>
      </w:r>
      <w:r w:rsidRPr="00841333">
        <w:t>UIT et aux organisations régionales de télécommunication, la priorité étant donnée à l</w:t>
      </w:r>
      <w:r w:rsidR="00B5110A">
        <w:t>'</w:t>
      </w:r>
      <w:r w:rsidRPr="00841333">
        <w:t>évaluation du niveau de satisfaction globale des États Membres.</w:t>
      </w:r>
    </w:p>
    <w:p w14:paraId="5E2E2ADA" w14:textId="1E9546D0" w:rsidR="006A11AE" w:rsidRPr="00841333" w:rsidRDefault="00A12D7B" w:rsidP="00A12D7B">
      <w:r w:rsidRPr="00841333">
        <w:t>4</w:t>
      </w:r>
      <w:r w:rsidRPr="00841333">
        <w:tab/>
        <w:t>Conformément aux responsabilités en matière de gestion relatives à la présence régionale définies dans la Résolution 25 (Rév. Bucarest, 2022) de la Conférence de plénipotentiaires, qui porte sur le renforcement de la présence régionale de l</w:t>
      </w:r>
      <w:r w:rsidR="00B5110A">
        <w:t>'</w:t>
      </w:r>
      <w:r w:rsidRPr="00841333">
        <w:t>UIT, l</w:t>
      </w:r>
      <w:r w:rsidR="00B5110A">
        <w:t>'</w:t>
      </w:r>
      <w:r w:rsidRPr="00841333">
        <w:t>examen devrait être mené principalement par des experts internes du secrétariat, sous la direction du Directeur du Bureau de développement des télécommunications, en étroite collaboration avec le Secrétaire général, le Directeur du Bureau des radiocommunications et le Directeur</w:t>
      </w:r>
      <w:r w:rsidR="00B03377">
        <w:t xml:space="preserve"> </w:t>
      </w:r>
      <w:r w:rsidRPr="00841333">
        <w:t>du Bureau de la normalisation des télécommunications. Compte tenu de la situation financière actuelle de l</w:t>
      </w:r>
      <w:r w:rsidR="00B5110A">
        <w:t>'</w:t>
      </w:r>
      <w:r w:rsidRPr="00841333">
        <w:t>UIT, il est recommandé de ne pas faire appel à des consultants ou à des cabinets de conseil tiers dans le cadre de cette tâche.</w:t>
      </w:r>
    </w:p>
    <w:p w14:paraId="2C2EE65B" w14:textId="77777777" w:rsidR="00897553" w:rsidRPr="00841333" w:rsidRDefault="006A11AE" w:rsidP="006A11AE">
      <w:pPr>
        <w:jc w:val="center"/>
      </w:pPr>
      <w:r w:rsidRPr="00841333">
        <w:t>______________</w:t>
      </w:r>
    </w:p>
    <w:sectPr w:rsidR="00897553" w:rsidRPr="00841333" w:rsidSect="00D72F49">
      <w:headerReference w:type="even" r:id="rId17"/>
      <w:footerReference w:type="even" r:id="rId18"/>
      <w:footerReference w:type="default" r:id="rId19"/>
      <w:headerReference w:type="first" r:id="rId20"/>
      <w:footerReference w:type="first" r:id="rId2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88B1" w14:textId="77777777" w:rsidR="002A7A63" w:rsidRDefault="002A7A63">
      <w:r>
        <w:separator/>
      </w:r>
    </w:p>
  </w:endnote>
  <w:endnote w:type="continuationSeparator" w:id="0">
    <w:p w14:paraId="4035C094" w14:textId="77777777" w:rsidR="002A7A63" w:rsidRDefault="002A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Segoe Print"/>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A80D" w14:textId="49D9DDE6" w:rsidR="00732045" w:rsidRDefault="003171ED">
    <w:pPr>
      <w:pStyle w:val="Footer"/>
    </w:pPr>
    <w:fldSimple w:instr=" FILENAME \p \* MERGEFORMAT ">
      <w:r w:rsidR="002A7A63">
        <w:t>Document1</w:t>
      </w:r>
    </w:fldSimple>
    <w:r w:rsidR="00732045">
      <w:tab/>
    </w:r>
    <w:r w:rsidR="002F1B76">
      <w:fldChar w:fldCharType="begin"/>
    </w:r>
    <w:r w:rsidR="00732045">
      <w:instrText xml:space="preserve"> savedate \@ dd.MM.yy </w:instrText>
    </w:r>
    <w:r w:rsidR="002F1B76">
      <w:fldChar w:fldCharType="separate"/>
    </w:r>
    <w:r w:rsidR="009B4A10">
      <w:t>12.06.25</w:t>
    </w:r>
    <w:r w:rsidR="002F1B76">
      <w:fldChar w:fldCharType="end"/>
    </w:r>
    <w:r w:rsidR="00732045">
      <w:tab/>
    </w:r>
    <w:r w:rsidR="002F1B76">
      <w:fldChar w:fldCharType="begin"/>
    </w:r>
    <w:r w:rsidR="00732045">
      <w:instrText xml:space="preserve"> printdate \@ dd.MM.yy </w:instrText>
    </w:r>
    <w:r w:rsidR="002F1B76">
      <w:fldChar w:fldCharType="separate"/>
    </w:r>
    <w:r w:rsidR="002A7A6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AB00A19" w14:textId="77777777" w:rsidTr="00E31DCE">
      <w:trPr>
        <w:jc w:val="center"/>
      </w:trPr>
      <w:tc>
        <w:tcPr>
          <w:tcW w:w="1803" w:type="dxa"/>
          <w:vAlign w:val="center"/>
        </w:tcPr>
        <w:p w14:paraId="35308F4A" w14:textId="634D77B0" w:rsidR="00A51849" w:rsidRDefault="00A12D7B" w:rsidP="00A51849">
          <w:pPr>
            <w:pStyle w:val="Header"/>
            <w:jc w:val="left"/>
            <w:rPr>
              <w:noProof/>
            </w:rPr>
          </w:pPr>
          <w:r>
            <w:rPr>
              <w:noProof/>
            </w:rPr>
            <w:t>2501362</w:t>
          </w:r>
        </w:p>
      </w:tc>
      <w:tc>
        <w:tcPr>
          <w:tcW w:w="8261" w:type="dxa"/>
        </w:tcPr>
        <w:p w14:paraId="22F5CC6C" w14:textId="4805A70D"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A12D7B">
            <w:rPr>
              <w:bCs/>
            </w:rPr>
            <w:t>88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E804A2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A265E92" w14:textId="77777777" w:rsidTr="00E31DCE">
      <w:trPr>
        <w:jc w:val="center"/>
      </w:trPr>
      <w:tc>
        <w:tcPr>
          <w:tcW w:w="1803" w:type="dxa"/>
          <w:vAlign w:val="center"/>
        </w:tcPr>
        <w:p w14:paraId="7411F627"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701D2BCE" w14:textId="59B9045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A12D7B">
            <w:rPr>
              <w:bCs/>
            </w:rPr>
            <w:t>88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D06CDB3"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5E3D" w14:textId="77777777" w:rsidR="002A7A63" w:rsidRDefault="002A7A63">
      <w:r>
        <w:t>____________________</w:t>
      </w:r>
    </w:p>
  </w:footnote>
  <w:footnote w:type="continuationSeparator" w:id="0">
    <w:p w14:paraId="14D9144A" w14:textId="77777777" w:rsidR="002A7A63" w:rsidRDefault="002A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ACF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8E26328"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13C42547" w14:textId="77777777" w:rsidTr="00D37B53">
      <w:trPr>
        <w:trHeight w:val="1104"/>
        <w:jc w:val="center"/>
      </w:trPr>
      <w:tc>
        <w:tcPr>
          <w:tcW w:w="5317" w:type="dxa"/>
          <w:vAlign w:val="center"/>
        </w:tcPr>
        <w:p w14:paraId="37ED03FA"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0223416" wp14:editId="1B350EEE">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1ABE5B60" w14:textId="77777777" w:rsidR="00524E8D" w:rsidRDefault="00524E8D" w:rsidP="00A51849">
          <w:pPr>
            <w:pStyle w:val="Header"/>
            <w:jc w:val="right"/>
            <w:rPr>
              <w:rFonts w:ascii="Arial" w:hAnsi="Arial" w:cs="Arial"/>
              <w:b/>
              <w:bCs/>
              <w:color w:val="009CD6"/>
              <w:szCs w:val="18"/>
            </w:rPr>
          </w:pPr>
        </w:p>
      </w:tc>
    </w:tr>
  </w:tbl>
  <w:p w14:paraId="66D6DF7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D8A7941" wp14:editId="245AA6AE">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1AB9D"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63"/>
    <w:rsid w:val="00076A2C"/>
    <w:rsid w:val="000D0D0A"/>
    <w:rsid w:val="00103163"/>
    <w:rsid w:val="00106B19"/>
    <w:rsid w:val="001133EF"/>
    <w:rsid w:val="00115D93"/>
    <w:rsid w:val="001247A8"/>
    <w:rsid w:val="001370B2"/>
    <w:rsid w:val="001378C0"/>
    <w:rsid w:val="0018694A"/>
    <w:rsid w:val="001A3287"/>
    <w:rsid w:val="001A6508"/>
    <w:rsid w:val="001D4C31"/>
    <w:rsid w:val="001E4D21"/>
    <w:rsid w:val="00207CD1"/>
    <w:rsid w:val="00226657"/>
    <w:rsid w:val="002477A2"/>
    <w:rsid w:val="00263A51"/>
    <w:rsid w:val="00267E02"/>
    <w:rsid w:val="002A5D44"/>
    <w:rsid w:val="002A7A63"/>
    <w:rsid w:val="002C3F32"/>
    <w:rsid w:val="002C4E3D"/>
    <w:rsid w:val="002E0BC4"/>
    <w:rsid w:val="002F1B76"/>
    <w:rsid w:val="003171ED"/>
    <w:rsid w:val="0033568E"/>
    <w:rsid w:val="00355FF5"/>
    <w:rsid w:val="00361350"/>
    <w:rsid w:val="003C3FAE"/>
    <w:rsid w:val="004038CB"/>
    <w:rsid w:val="0040546F"/>
    <w:rsid w:val="004177BD"/>
    <w:rsid w:val="0042404A"/>
    <w:rsid w:val="0044618F"/>
    <w:rsid w:val="0046769A"/>
    <w:rsid w:val="00475FB3"/>
    <w:rsid w:val="004C37A9"/>
    <w:rsid w:val="004D1D50"/>
    <w:rsid w:val="004F259E"/>
    <w:rsid w:val="004F4E34"/>
    <w:rsid w:val="00511F1D"/>
    <w:rsid w:val="00520F36"/>
    <w:rsid w:val="00524E8D"/>
    <w:rsid w:val="00534E13"/>
    <w:rsid w:val="00540615"/>
    <w:rsid w:val="00540A6D"/>
    <w:rsid w:val="00566679"/>
    <w:rsid w:val="00571EEA"/>
    <w:rsid w:val="00575417"/>
    <w:rsid w:val="005768E1"/>
    <w:rsid w:val="005B1938"/>
    <w:rsid w:val="005C3890"/>
    <w:rsid w:val="005F7BFE"/>
    <w:rsid w:val="00600017"/>
    <w:rsid w:val="006235CA"/>
    <w:rsid w:val="0062366E"/>
    <w:rsid w:val="00641FBA"/>
    <w:rsid w:val="006643AB"/>
    <w:rsid w:val="00667BBF"/>
    <w:rsid w:val="00686442"/>
    <w:rsid w:val="006A11AE"/>
    <w:rsid w:val="006F0A53"/>
    <w:rsid w:val="007210CD"/>
    <w:rsid w:val="00732045"/>
    <w:rsid w:val="0073275D"/>
    <w:rsid w:val="007369DB"/>
    <w:rsid w:val="0077110E"/>
    <w:rsid w:val="007956C2"/>
    <w:rsid w:val="007A187E"/>
    <w:rsid w:val="007C72C2"/>
    <w:rsid w:val="007D4436"/>
    <w:rsid w:val="007F257A"/>
    <w:rsid w:val="007F3665"/>
    <w:rsid w:val="00800037"/>
    <w:rsid w:val="0082299A"/>
    <w:rsid w:val="0083391C"/>
    <w:rsid w:val="00841333"/>
    <w:rsid w:val="00861D73"/>
    <w:rsid w:val="00882919"/>
    <w:rsid w:val="00897553"/>
    <w:rsid w:val="008A0139"/>
    <w:rsid w:val="008A4E87"/>
    <w:rsid w:val="008D76E6"/>
    <w:rsid w:val="0092392D"/>
    <w:rsid w:val="0093234A"/>
    <w:rsid w:val="00956A78"/>
    <w:rsid w:val="009631CF"/>
    <w:rsid w:val="0097363B"/>
    <w:rsid w:val="00973F53"/>
    <w:rsid w:val="009A6BAA"/>
    <w:rsid w:val="009B4A10"/>
    <w:rsid w:val="009C307F"/>
    <w:rsid w:val="009C353C"/>
    <w:rsid w:val="009F0FB8"/>
    <w:rsid w:val="00A12D7B"/>
    <w:rsid w:val="00A2113E"/>
    <w:rsid w:val="00A23A51"/>
    <w:rsid w:val="00A24607"/>
    <w:rsid w:val="00A25CD3"/>
    <w:rsid w:val="00A51849"/>
    <w:rsid w:val="00A709FE"/>
    <w:rsid w:val="00A73C60"/>
    <w:rsid w:val="00A82767"/>
    <w:rsid w:val="00AA332F"/>
    <w:rsid w:val="00AA7BBB"/>
    <w:rsid w:val="00AB64A8"/>
    <w:rsid w:val="00AC0266"/>
    <w:rsid w:val="00AD24EC"/>
    <w:rsid w:val="00B03377"/>
    <w:rsid w:val="00B27B00"/>
    <w:rsid w:val="00B309F9"/>
    <w:rsid w:val="00B32B60"/>
    <w:rsid w:val="00B51005"/>
    <w:rsid w:val="00B5110A"/>
    <w:rsid w:val="00B61619"/>
    <w:rsid w:val="00BB4545"/>
    <w:rsid w:val="00BD5873"/>
    <w:rsid w:val="00BF4B60"/>
    <w:rsid w:val="00C049D7"/>
    <w:rsid w:val="00C04BE3"/>
    <w:rsid w:val="00C25D29"/>
    <w:rsid w:val="00C27A7C"/>
    <w:rsid w:val="00C3693A"/>
    <w:rsid w:val="00C42437"/>
    <w:rsid w:val="00CA08ED"/>
    <w:rsid w:val="00CC6EAA"/>
    <w:rsid w:val="00CF183B"/>
    <w:rsid w:val="00D375CD"/>
    <w:rsid w:val="00D37B53"/>
    <w:rsid w:val="00D553A2"/>
    <w:rsid w:val="00D72F49"/>
    <w:rsid w:val="00D774D3"/>
    <w:rsid w:val="00D904E8"/>
    <w:rsid w:val="00DA08C3"/>
    <w:rsid w:val="00DB39E6"/>
    <w:rsid w:val="00DB5A3E"/>
    <w:rsid w:val="00DC22AA"/>
    <w:rsid w:val="00DD1A99"/>
    <w:rsid w:val="00DF74DD"/>
    <w:rsid w:val="00E25AD0"/>
    <w:rsid w:val="00E4428F"/>
    <w:rsid w:val="00E47427"/>
    <w:rsid w:val="00E93668"/>
    <w:rsid w:val="00E94888"/>
    <w:rsid w:val="00E95647"/>
    <w:rsid w:val="00EB6350"/>
    <w:rsid w:val="00F15B57"/>
    <w:rsid w:val="00F35ED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F3DB0"/>
  <w15:docId w15:val="{5EEDEA69-3898-4859-BC53-6657056D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WGFHR19-C-0014/fr" TargetMode="External"/><Relationship Id="rId13" Type="http://schemas.openxmlformats.org/officeDocument/2006/relationships/hyperlink" Target="https://www.itu.int/md/S25-CL-C-0069/fr"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itu.int/en/council/Documents/basic-texts-2023/RES-025-F.pdf" TargetMode="External"/><Relationship Id="rId12" Type="http://schemas.openxmlformats.org/officeDocument/2006/relationships/hyperlink" Target="https://www.itu.int/md/S25-CL-C-0069/fr"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md/S25-CL-C-0069/fr"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itu.int/md/S25-CL-C-0069/fr" TargetMode="External"/><Relationship Id="rId11" Type="http://schemas.openxmlformats.org/officeDocument/2006/relationships/hyperlink" Target="https://www.itu.int/en/council/Documents/basic-texts-2023/RES-025-F.pdf" TargetMode="External"/><Relationship Id="rId5" Type="http://schemas.openxmlformats.org/officeDocument/2006/relationships/endnotes" Target="endnotes.xml"/><Relationship Id="rId15" Type="http://schemas.openxmlformats.org/officeDocument/2006/relationships/hyperlink" Target="https://www.itu.int/md/S25-CL-C-0050/fr" TargetMode="External"/><Relationship Id="rId23" Type="http://schemas.openxmlformats.org/officeDocument/2006/relationships/theme" Target="theme/theme1.xml"/><Relationship Id="rId10" Type="http://schemas.openxmlformats.org/officeDocument/2006/relationships/hyperlink" Target="https://www.itu.int/md/S25-CL-C-0050/fr"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itu.int/md/S25-CL-C-0069/fr" TargetMode="External"/><Relationship Id="rId14" Type="http://schemas.openxmlformats.org/officeDocument/2006/relationships/hyperlink" Target="https://www.itu.int/md/S25-CL-C-0069/fr"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0</TotalTime>
  <Pages>4</Pages>
  <Words>1338</Words>
  <Characters>8164</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9484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multipays - Recommandations visant à améliorer la mise en oeuvre de l'examen de la présence régionale de l'UIT</dc:title>
  <dc:subject>ITU Council 2025</dc:subject>
  <dc:creator>French</dc:creator>
  <cp:keywords>Council-25, Council-25, C25</cp:keywords>
  <dc:description/>
  <cp:lastModifiedBy>GBS</cp:lastModifiedBy>
  <cp:revision>2</cp:revision>
  <cp:lastPrinted>2000-07-18T08:55:00Z</cp:lastPrinted>
  <dcterms:created xsi:type="dcterms:W3CDTF">2025-06-13T18:40:00Z</dcterms:created>
  <dcterms:modified xsi:type="dcterms:W3CDTF">2025-06-13T18:40:00Z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