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4A0" w:firstRow="1" w:lastRow="0" w:firstColumn="1" w:lastColumn="0" w:noHBand="0" w:noVBand="1"/>
      </w:tblPr>
      <w:tblGrid>
        <w:gridCol w:w="3969"/>
        <w:gridCol w:w="5245"/>
      </w:tblGrid>
      <w:tr w:rsidR="000736BD" w14:paraId="19EA3DBC" w14:textId="77777777">
        <w:trPr>
          <w:cantSplit/>
          <w:trHeight w:val="23"/>
        </w:trPr>
        <w:tc>
          <w:tcPr>
            <w:tcW w:w="3969" w:type="dxa"/>
            <w:vMerge w:val="restart"/>
            <w:tcMar>
              <w:left w:w="0" w:type="dxa"/>
            </w:tcMar>
          </w:tcPr>
          <w:p w14:paraId="3D1F6F4E" w14:textId="77777777" w:rsidR="000736BD" w:rsidRDefault="00E01870">
            <w:pPr>
              <w:tabs>
                <w:tab w:val="left" w:pos="851"/>
              </w:tabs>
              <w:spacing w:before="0" w:line="240" w:lineRule="atLeast"/>
              <w:rPr>
                <w:b/>
                <w:bCs/>
              </w:rPr>
            </w:pPr>
            <w:bookmarkStart w:id="0" w:name="dmeeting" w:colFirst="0" w:colLast="0"/>
            <w:bookmarkStart w:id="1" w:name="dnum" w:colFirst="1" w:colLast="1"/>
            <w:bookmarkStart w:id="2" w:name="_Hlk133421839"/>
            <w:r>
              <w:rPr>
                <w:rFonts w:cstheme="minorHAnsi" w:hint="eastAsia"/>
                <w:b/>
                <w:bCs/>
                <w:lang w:val="ru-RU"/>
              </w:rPr>
              <w:t>议项：</w:t>
            </w:r>
          </w:p>
        </w:tc>
        <w:tc>
          <w:tcPr>
            <w:tcW w:w="5245" w:type="dxa"/>
          </w:tcPr>
          <w:p w14:paraId="79FDD53B" w14:textId="02F1B607" w:rsidR="000736BD" w:rsidRDefault="00E01870">
            <w:pPr>
              <w:tabs>
                <w:tab w:val="left" w:pos="851"/>
              </w:tabs>
              <w:spacing w:before="0" w:line="240" w:lineRule="atLeast"/>
              <w:jc w:val="right"/>
              <w:rPr>
                <w:b/>
                <w:lang w:val="fr-CH"/>
              </w:rPr>
            </w:pPr>
            <w:r>
              <w:rPr>
                <w:rFonts w:cstheme="minorHAnsi"/>
                <w:b/>
                <w:bCs/>
                <w:lang w:val="ru-RU"/>
              </w:rPr>
              <w:t>文件</w:t>
            </w:r>
            <w:r>
              <w:rPr>
                <w:rFonts w:cstheme="minorHAnsi" w:hint="eastAsia"/>
                <w:b/>
                <w:bCs/>
                <w:lang w:val="ru-RU"/>
              </w:rPr>
              <w:t xml:space="preserve"> </w:t>
            </w:r>
            <w:r>
              <w:rPr>
                <w:b/>
                <w:lang w:val="fr-CH"/>
              </w:rPr>
              <w:t>C25/</w:t>
            </w:r>
            <w:r w:rsidR="00B04B57">
              <w:rPr>
                <w:b/>
                <w:lang w:val="fr-CH"/>
              </w:rPr>
              <w:t>XX</w:t>
            </w:r>
            <w:r>
              <w:rPr>
                <w:b/>
                <w:lang w:val="fr-CH"/>
              </w:rPr>
              <w:t>-C</w:t>
            </w:r>
          </w:p>
        </w:tc>
      </w:tr>
      <w:tr w:rsidR="000736BD" w14:paraId="74E46676" w14:textId="77777777">
        <w:trPr>
          <w:cantSplit/>
        </w:trPr>
        <w:tc>
          <w:tcPr>
            <w:tcW w:w="3969" w:type="dxa"/>
            <w:vMerge/>
          </w:tcPr>
          <w:p w14:paraId="4A4F0E2B" w14:textId="77777777" w:rsidR="000736BD" w:rsidRDefault="000736BD">
            <w:pPr>
              <w:tabs>
                <w:tab w:val="left" w:pos="851"/>
              </w:tabs>
              <w:spacing w:line="240" w:lineRule="atLeast"/>
              <w:rPr>
                <w:b/>
                <w:lang w:val="fr-CH"/>
              </w:rPr>
            </w:pPr>
            <w:bookmarkStart w:id="3" w:name="ddate" w:colFirst="1" w:colLast="1"/>
            <w:bookmarkEnd w:id="0"/>
            <w:bookmarkEnd w:id="1"/>
          </w:p>
        </w:tc>
        <w:tc>
          <w:tcPr>
            <w:tcW w:w="5245" w:type="dxa"/>
          </w:tcPr>
          <w:p w14:paraId="55DF5C4A" w14:textId="7F318272" w:rsidR="000736BD" w:rsidRDefault="00E01870">
            <w:pPr>
              <w:tabs>
                <w:tab w:val="left" w:pos="851"/>
              </w:tabs>
              <w:spacing w:before="0"/>
              <w:jc w:val="right"/>
              <w:rPr>
                <w:b/>
              </w:rPr>
            </w:pPr>
            <w:r>
              <w:rPr>
                <w:b/>
              </w:rPr>
              <w:t>2025</w:t>
            </w:r>
            <w:r>
              <w:rPr>
                <w:b/>
              </w:rPr>
              <w:t>年</w:t>
            </w:r>
            <w:r w:rsidR="005E59C7">
              <w:rPr>
                <w:b/>
              </w:rPr>
              <w:t>6</w:t>
            </w:r>
            <w:r>
              <w:rPr>
                <w:b/>
              </w:rPr>
              <w:t>月</w:t>
            </w:r>
            <w:r>
              <w:rPr>
                <w:b/>
              </w:rPr>
              <w:t>3</w:t>
            </w:r>
            <w:r>
              <w:rPr>
                <w:b/>
              </w:rPr>
              <w:t>日</w:t>
            </w:r>
          </w:p>
        </w:tc>
      </w:tr>
      <w:tr w:rsidR="000736BD" w14:paraId="4C4F4DA6" w14:textId="77777777">
        <w:trPr>
          <w:cantSplit/>
          <w:trHeight w:val="23"/>
        </w:trPr>
        <w:tc>
          <w:tcPr>
            <w:tcW w:w="3969" w:type="dxa"/>
            <w:vMerge/>
          </w:tcPr>
          <w:p w14:paraId="793BA610" w14:textId="77777777" w:rsidR="000736BD" w:rsidRDefault="000736BD">
            <w:pPr>
              <w:tabs>
                <w:tab w:val="left" w:pos="851"/>
              </w:tabs>
              <w:spacing w:line="240" w:lineRule="atLeast"/>
              <w:rPr>
                <w:b/>
              </w:rPr>
            </w:pPr>
            <w:bookmarkStart w:id="4" w:name="dorlang" w:colFirst="1" w:colLast="1"/>
            <w:bookmarkEnd w:id="3"/>
          </w:p>
        </w:tc>
        <w:tc>
          <w:tcPr>
            <w:tcW w:w="5245" w:type="dxa"/>
          </w:tcPr>
          <w:p w14:paraId="005EB4EB" w14:textId="77777777" w:rsidR="000736BD" w:rsidRDefault="00E01870">
            <w:pPr>
              <w:tabs>
                <w:tab w:val="left" w:pos="851"/>
              </w:tabs>
              <w:spacing w:before="0" w:line="240" w:lineRule="atLeast"/>
              <w:jc w:val="right"/>
              <w:rPr>
                <w:b/>
                <w:lang w:val="es-ES" w:eastAsia="zh-CN"/>
              </w:rPr>
            </w:pPr>
            <w:r>
              <w:rPr>
                <w:rFonts w:cstheme="minorHAnsi" w:hint="eastAsia"/>
                <w:b/>
                <w:bCs/>
                <w:lang w:val="ru-RU"/>
              </w:rPr>
              <w:t>原文：中文</w:t>
            </w:r>
          </w:p>
        </w:tc>
      </w:tr>
      <w:tr w:rsidR="000736BD" w14:paraId="3F9131C4" w14:textId="77777777">
        <w:trPr>
          <w:cantSplit/>
          <w:trHeight w:val="23"/>
        </w:trPr>
        <w:tc>
          <w:tcPr>
            <w:tcW w:w="3969" w:type="dxa"/>
          </w:tcPr>
          <w:p w14:paraId="1962AE94" w14:textId="77777777" w:rsidR="000736BD" w:rsidRDefault="000736BD">
            <w:pPr>
              <w:tabs>
                <w:tab w:val="left" w:pos="851"/>
              </w:tabs>
              <w:spacing w:line="240" w:lineRule="atLeast"/>
              <w:rPr>
                <w:b/>
              </w:rPr>
            </w:pPr>
          </w:p>
        </w:tc>
        <w:tc>
          <w:tcPr>
            <w:tcW w:w="5245" w:type="dxa"/>
          </w:tcPr>
          <w:p w14:paraId="79D01A63" w14:textId="77777777" w:rsidR="000736BD" w:rsidRDefault="000736BD">
            <w:pPr>
              <w:tabs>
                <w:tab w:val="left" w:pos="851"/>
              </w:tabs>
              <w:spacing w:before="0" w:line="240" w:lineRule="atLeast"/>
              <w:jc w:val="right"/>
              <w:rPr>
                <w:b/>
              </w:rPr>
            </w:pPr>
          </w:p>
        </w:tc>
      </w:tr>
      <w:tr w:rsidR="000736BD" w14:paraId="64054853" w14:textId="77777777">
        <w:trPr>
          <w:cantSplit/>
        </w:trPr>
        <w:tc>
          <w:tcPr>
            <w:tcW w:w="9214" w:type="dxa"/>
            <w:gridSpan w:val="2"/>
            <w:tcMar>
              <w:left w:w="0" w:type="dxa"/>
            </w:tcMar>
          </w:tcPr>
          <w:p w14:paraId="402EF1F6" w14:textId="77777777" w:rsidR="000736BD" w:rsidRDefault="00E01870">
            <w:pPr>
              <w:pStyle w:val="Source"/>
              <w:spacing w:before="840"/>
              <w:jc w:val="left"/>
              <w:rPr>
                <w:sz w:val="32"/>
                <w:szCs w:val="32"/>
                <w:lang w:eastAsia="zh-CN"/>
              </w:rPr>
            </w:pPr>
            <w:bookmarkStart w:id="5" w:name="dsource" w:colFirst="0" w:colLast="0"/>
            <w:bookmarkEnd w:id="4"/>
            <w:r>
              <w:rPr>
                <w:rFonts w:cstheme="minorHAnsi" w:hint="eastAsia"/>
                <w:sz w:val="32"/>
                <w:szCs w:val="32"/>
                <w:lang w:val="en-US" w:eastAsia="zh-CN"/>
              </w:rPr>
              <w:t>中华人民共和国</w:t>
            </w:r>
            <w:r>
              <w:rPr>
                <w:rFonts w:cstheme="minorHAnsi" w:hint="eastAsia"/>
                <w:sz w:val="32"/>
                <w:szCs w:val="32"/>
                <w:lang w:val="ru-RU" w:eastAsia="zh-CN"/>
              </w:rPr>
              <w:t>的文稿</w:t>
            </w:r>
          </w:p>
        </w:tc>
      </w:tr>
      <w:tr w:rsidR="000736BD" w14:paraId="5EFDFB79" w14:textId="77777777">
        <w:trPr>
          <w:cantSplit/>
        </w:trPr>
        <w:tc>
          <w:tcPr>
            <w:tcW w:w="9214" w:type="dxa"/>
            <w:gridSpan w:val="2"/>
            <w:tcMar>
              <w:left w:w="0" w:type="dxa"/>
            </w:tcMar>
          </w:tcPr>
          <w:p w14:paraId="39B48FD0" w14:textId="77777777" w:rsidR="000736BD" w:rsidRDefault="00E01870">
            <w:pPr>
              <w:pStyle w:val="Subtitle"/>
              <w:framePr w:hSpace="0" w:wrap="auto" w:hAnchor="text" w:xAlign="left" w:yAlign="inline"/>
              <w:rPr>
                <w:rFonts w:ascii="SimSun" w:eastAsia="SimSun" w:hAnsi="SimSun"/>
                <w:sz w:val="32"/>
                <w:szCs w:val="32"/>
                <w:lang w:eastAsia="zh-CN"/>
              </w:rPr>
            </w:pPr>
            <w:bookmarkStart w:id="6" w:name="OLE_LINK13"/>
            <w:bookmarkStart w:id="7" w:name="dtitle1" w:colFirst="0" w:colLast="0"/>
            <w:bookmarkEnd w:id="5"/>
            <w:r>
              <w:rPr>
                <w:rFonts w:cstheme="minorHAnsi" w:hint="eastAsia"/>
                <w:sz w:val="32"/>
                <w:szCs w:val="32"/>
                <w:lang w:val="en-US" w:eastAsia="zh-CN"/>
              </w:rPr>
              <w:t>关</w:t>
            </w:r>
            <w:bookmarkStart w:id="8" w:name="OLE_LINK19"/>
            <w:r>
              <w:rPr>
                <w:rFonts w:cstheme="minorHAnsi" w:hint="eastAsia"/>
                <w:sz w:val="32"/>
                <w:szCs w:val="32"/>
                <w:lang w:val="en-US" w:eastAsia="zh-CN"/>
              </w:rPr>
              <w:t>于更好开展区域代表处审查工作的建议</w:t>
            </w:r>
            <w:bookmarkEnd w:id="6"/>
            <w:bookmarkEnd w:id="8"/>
          </w:p>
        </w:tc>
      </w:tr>
      <w:tr w:rsidR="000736BD" w14:paraId="2042E22C" w14:textId="77777777">
        <w:trPr>
          <w:cantSplit/>
        </w:trPr>
        <w:tc>
          <w:tcPr>
            <w:tcW w:w="9214" w:type="dxa"/>
            <w:gridSpan w:val="2"/>
            <w:tcBorders>
              <w:top w:val="single" w:sz="4" w:space="0" w:color="auto"/>
              <w:bottom w:val="single" w:sz="4" w:space="0" w:color="auto"/>
            </w:tcBorders>
            <w:tcMar>
              <w:left w:w="0" w:type="dxa"/>
            </w:tcMar>
          </w:tcPr>
          <w:p w14:paraId="50A533C9" w14:textId="77777777" w:rsidR="000736BD" w:rsidRDefault="00E01870">
            <w:pPr>
              <w:pStyle w:val="Subtitle"/>
              <w:framePr w:hSpace="0" w:wrap="auto" w:hAnchor="text" w:xAlign="left" w:yAlign="inline"/>
              <w:rPr>
                <w:rFonts w:ascii="SimSun" w:eastAsia="SimSun" w:hAnsi="SimSun" w:cstheme="minorHAnsi"/>
                <w:b/>
                <w:bCs/>
                <w:sz w:val="26"/>
                <w:szCs w:val="26"/>
                <w:lang w:eastAsia="zh-CN"/>
              </w:rPr>
            </w:pPr>
            <w:r>
              <w:rPr>
                <w:rFonts w:ascii="SimSun" w:eastAsia="SimSun" w:hAnsi="SimSun" w:cstheme="minorHAnsi"/>
                <w:b/>
                <w:bCs/>
                <w:sz w:val="26"/>
                <w:szCs w:val="26"/>
                <w:lang w:eastAsia="zh-CN"/>
              </w:rPr>
              <w:t>目的</w:t>
            </w:r>
            <w:r>
              <w:rPr>
                <w:rFonts w:ascii="SimSun" w:eastAsia="SimSun" w:hAnsi="SimSun" w:cstheme="minorHAnsi" w:hint="eastAsia"/>
                <w:b/>
                <w:bCs/>
                <w:sz w:val="26"/>
                <w:szCs w:val="26"/>
                <w:lang w:eastAsia="zh-CN"/>
              </w:rPr>
              <w:t xml:space="preserve"> </w:t>
            </w:r>
          </w:p>
          <w:p w14:paraId="6CC09642" w14:textId="77777777" w:rsidR="000736BD" w:rsidRDefault="00E01870">
            <w:pPr>
              <w:pStyle w:val="Subtitle"/>
              <w:framePr w:hSpace="0" w:wrap="auto" w:hAnchor="text" w:xAlign="left" w:yAlign="inline"/>
              <w:rPr>
                <w:rFonts w:ascii="SimSun" w:eastAsia="SimSun" w:hAnsi="SimSun" w:cstheme="minorHAnsi"/>
                <w:sz w:val="24"/>
                <w:szCs w:val="24"/>
                <w:lang w:val="en-US" w:eastAsia="zh-CN"/>
              </w:rPr>
            </w:pPr>
            <w:r>
              <w:rPr>
                <w:rFonts w:ascii="SimSun" w:eastAsia="SimSun" w:hAnsi="SimSun" w:cstheme="minorHAnsi" w:hint="eastAsia"/>
                <w:sz w:val="24"/>
                <w:szCs w:val="24"/>
                <w:lang w:val="en-US" w:eastAsia="zh-CN"/>
              </w:rPr>
              <w:t>根据秘书处文稿《区域代表处审查初始报告》（C25/69），支持国际电联更好开展区域代表处审查工作。</w:t>
            </w:r>
          </w:p>
          <w:p w14:paraId="335165ED" w14:textId="77777777" w:rsidR="000736BD" w:rsidRDefault="00E01870">
            <w:pPr>
              <w:pStyle w:val="Subtitle"/>
              <w:framePr w:hSpace="0" w:wrap="auto" w:hAnchor="text" w:xAlign="left" w:yAlign="inline"/>
              <w:rPr>
                <w:rFonts w:ascii="SimSun" w:eastAsia="SimSun" w:hAnsi="SimSun" w:cstheme="minorHAnsi"/>
                <w:b/>
                <w:bCs/>
                <w:sz w:val="26"/>
                <w:szCs w:val="26"/>
                <w:lang w:eastAsia="zh-CN"/>
              </w:rPr>
            </w:pPr>
            <w:r>
              <w:rPr>
                <w:rFonts w:ascii="SimSun" w:eastAsia="SimSun" w:hAnsi="SimSun" w:cstheme="minorHAnsi"/>
                <w:b/>
                <w:bCs/>
                <w:sz w:val="26"/>
                <w:szCs w:val="26"/>
                <w:lang w:eastAsia="zh-CN"/>
              </w:rPr>
              <w:t>理事会需采取的行动</w:t>
            </w:r>
          </w:p>
          <w:p w14:paraId="54C009FE" w14:textId="77777777" w:rsidR="000736BD" w:rsidRDefault="00E01870">
            <w:pPr>
              <w:pStyle w:val="Subtitle"/>
              <w:framePr w:hSpace="0" w:wrap="auto" w:hAnchor="text" w:xAlign="left" w:yAlign="inline"/>
              <w:rPr>
                <w:rFonts w:ascii="SimSun" w:eastAsia="SimSun" w:hAnsi="SimSun" w:cstheme="minorHAnsi"/>
                <w:sz w:val="24"/>
                <w:szCs w:val="24"/>
                <w:lang w:val="en-US" w:eastAsia="zh-CN"/>
              </w:rPr>
            </w:pPr>
            <w:bookmarkStart w:id="9" w:name="OLE_LINK15"/>
            <w:r>
              <w:rPr>
                <w:rFonts w:ascii="SimSun" w:eastAsia="SimSun" w:hAnsi="SimSun" w:cstheme="minorHAnsi" w:hint="eastAsia"/>
                <w:sz w:val="24"/>
                <w:szCs w:val="24"/>
                <w:lang w:val="en-US" w:eastAsia="zh-CN"/>
              </w:rPr>
              <w:t>请理事会考虑和审议本文稿所提建议并制定区域代表处成员国顾问组职责范围，提交2025年理事会审议和批准。</w:t>
            </w:r>
          </w:p>
          <w:bookmarkEnd w:id="9"/>
          <w:p w14:paraId="664C2765" w14:textId="77777777" w:rsidR="000736BD" w:rsidRDefault="00E01870">
            <w:pPr>
              <w:pStyle w:val="Subtitle"/>
              <w:framePr w:hSpace="0" w:wrap="auto" w:hAnchor="text" w:xAlign="left" w:yAlign="inline"/>
              <w:rPr>
                <w:rFonts w:ascii="SimSun" w:eastAsia="SimSun" w:hAnsi="SimSun" w:cstheme="minorHAnsi"/>
                <w:b/>
                <w:bCs/>
                <w:sz w:val="26"/>
                <w:szCs w:val="26"/>
                <w:lang w:eastAsia="zh-CN"/>
              </w:rPr>
            </w:pPr>
            <w:r>
              <w:rPr>
                <w:rFonts w:ascii="SimSun" w:eastAsia="SimSun" w:hAnsi="SimSun" w:cstheme="minorHAnsi"/>
                <w:b/>
                <w:bCs/>
                <w:sz w:val="26"/>
                <w:szCs w:val="26"/>
                <w:lang w:eastAsia="zh-CN"/>
              </w:rPr>
              <w:t>__________________</w:t>
            </w:r>
          </w:p>
          <w:p w14:paraId="12902A88" w14:textId="77777777" w:rsidR="000736BD" w:rsidRDefault="00E01870">
            <w:pPr>
              <w:pStyle w:val="Subtitle"/>
              <w:framePr w:hSpace="0" w:wrap="auto" w:hAnchor="text" w:xAlign="left" w:yAlign="inline"/>
              <w:rPr>
                <w:rFonts w:ascii="SimSun" w:eastAsia="SimSun" w:hAnsi="SimSun" w:cstheme="minorHAnsi"/>
                <w:b/>
                <w:bCs/>
                <w:sz w:val="26"/>
                <w:szCs w:val="26"/>
                <w:lang w:val="fr-CH" w:eastAsia="zh-CN"/>
              </w:rPr>
            </w:pPr>
            <w:r>
              <w:rPr>
                <w:rFonts w:ascii="SimSun" w:eastAsia="SimSun" w:hAnsi="SimSun" w:cstheme="minorHAnsi" w:hint="eastAsia"/>
                <w:b/>
                <w:bCs/>
                <w:sz w:val="26"/>
                <w:szCs w:val="26"/>
                <w:lang w:eastAsia="zh-CN"/>
              </w:rPr>
              <w:t>参考文件</w:t>
            </w:r>
          </w:p>
          <w:p w14:paraId="3FBC58E8" w14:textId="77777777" w:rsidR="000736BD" w:rsidRDefault="00E01870">
            <w:pPr>
              <w:pStyle w:val="Subtitle"/>
              <w:framePr w:hSpace="0" w:wrap="auto" w:hAnchor="text" w:xAlign="left" w:yAlign="inline"/>
              <w:rPr>
                <w:rFonts w:ascii="SimSun" w:eastAsia="SimSun" w:hAnsi="SimSun" w:cstheme="minorHAnsi"/>
                <w:sz w:val="24"/>
                <w:szCs w:val="24"/>
                <w:lang w:val="en-US" w:eastAsia="zh-CN"/>
              </w:rPr>
            </w:pPr>
            <w:bookmarkStart w:id="10" w:name="OLE_LINK16"/>
            <w:r>
              <w:rPr>
                <w:rFonts w:ascii="SimSun" w:eastAsia="SimSun" w:hAnsi="SimSun" w:cstheme="minorHAnsi" w:hint="eastAsia"/>
                <w:sz w:val="24"/>
                <w:szCs w:val="24"/>
                <w:lang w:val="en-US" w:eastAsia="zh-CN"/>
              </w:rPr>
              <w:t>全权代表大会第25号决议《加强区域代表处作用》</w:t>
            </w:r>
          </w:p>
          <w:p w14:paraId="37AB8A48" w14:textId="4BE5ED74" w:rsidR="000736BD" w:rsidRDefault="00E01870">
            <w:pPr>
              <w:pStyle w:val="Subtitle"/>
              <w:framePr w:hSpace="0" w:wrap="auto" w:hAnchor="text" w:xAlign="left" w:yAlign="inline"/>
              <w:rPr>
                <w:rFonts w:ascii="SimSun" w:eastAsia="SimSun" w:hAnsi="SimSun" w:cstheme="minorHAnsi"/>
                <w:sz w:val="24"/>
                <w:szCs w:val="24"/>
                <w:lang w:val="en-US" w:eastAsia="zh-CN"/>
              </w:rPr>
            </w:pPr>
            <w:r>
              <w:rPr>
                <w:rFonts w:ascii="SimSun" w:eastAsia="SimSun" w:hAnsi="SimSun" w:cstheme="minorHAnsi" w:hint="eastAsia"/>
                <w:sz w:val="24"/>
                <w:szCs w:val="24"/>
                <w:lang w:val="en-US" w:eastAsia="zh-CN"/>
              </w:rPr>
              <w:t>完成区域代表处的审查（</w:t>
            </w:r>
            <w:hyperlink r:id="rId9" w:history="1">
              <w:r w:rsidRPr="00E01870">
                <w:rPr>
                  <w:rStyle w:val="Hyperlink"/>
                  <w:rFonts w:ascii="SimSun" w:eastAsia="SimSun" w:hAnsi="SimSun" w:cstheme="minorHAnsi" w:hint="eastAsia"/>
                  <w:sz w:val="24"/>
                  <w:szCs w:val="24"/>
                  <w:lang w:val="en-US" w:eastAsia="zh-CN"/>
                </w:rPr>
                <w:t>CWG-FHR-19/14</w:t>
              </w:r>
            </w:hyperlink>
            <w:r>
              <w:rPr>
                <w:rFonts w:ascii="SimSun" w:eastAsia="SimSun" w:hAnsi="SimSun" w:cstheme="minorHAnsi" w:hint="eastAsia"/>
                <w:sz w:val="24"/>
                <w:szCs w:val="24"/>
                <w:lang w:val="en-US" w:eastAsia="zh-CN"/>
              </w:rPr>
              <w:t>）</w:t>
            </w:r>
          </w:p>
          <w:p w14:paraId="4AE4C95E" w14:textId="38ADA43B" w:rsidR="000736BD" w:rsidRDefault="00E01870">
            <w:pPr>
              <w:pStyle w:val="Subtitle"/>
              <w:framePr w:hSpace="0" w:wrap="auto" w:hAnchor="text" w:xAlign="left" w:yAlign="inline"/>
              <w:rPr>
                <w:rFonts w:ascii="SimSun" w:eastAsia="SimSun" w:hAnsi="SimSun" w:cstheme="minorHAnsi"/>
                <w:sz w:val="24"/>
                <w:szCs w:val="24"/>
                <w:lang w:val="en-US" w:eastAsia="zh-CN"/>
              </w:rPr>
            </w:pPr>
            <w:r>
              <w:rPr>
                <w:rFonts w:ascii="SimSun" w:eastAsia="SimSun" w:hAnsi="SimSun" w:cstheme="minorHAnsi" w:hint="eastAsia"/>
                <w:sz w:val="24"/>
                <w:szCs w:val="24"/>
                <w:lang w:val="en-US" w:eastAsia="zh-CN"/>
              </w:rPr>
              <w:t>区域代表处审查初始报告（</w:t>
            </w:r>
            <w:hyperlink r:id="rId10" w:history="1">
              <w:r w:rsidRPr="00E01870">
                <w:rPr>
                  <w:rStyle w:val="Hyperlink"/>
                  <w:rFonts w:ascii="SimSun" w:eastAsia="SimSun" w:hAnsi="SimSun" w:cstheme="minorHAnsi" w:hint="eastAsia"/>
                  <w:sz w:val="24"/>
                  <w:szCs w:val="24"/>
                  <w:lang w:val="en-US" w:eastAsia="zh-CN"/>
                </w:rPr>
                <w:t>C25/69</w:t>
              </w:r>
            </w:hyperlink>
            <w:r>
              <w:rPr>
                <w:rFonts w:ascii="SimSun" w:eastAsia="SimSun" w:hAnsi="SimSun" w:cstheme="minorHAnsi" w:hint="eastAsia"/>
                <w:sz w:val="24"/>
                <w:szCs w:val="24"/>
                <w:lang w:val="en-US" w:eastAsia="zh-CN"/>
              </w:rPr>
              <w:t>）</w:t>
            </w:r>
          </w:p>
          <w:p w14:paraId="460DF37D" w14:textId="622533D3" w:rsidR="000736BD" w:rsidRDefault="00E01870">
            <w:pPr>
              <w:spacing w:after="160"/>
              <w:rPr>
                <w:lang w:val="en-US" w:eastAsia="zh-CN"/>
              </w:rPr>
            </w:pPr>
            <w:r>
              <w:rPr>
                <w:rFonts w:hint="eastAsia"/>
                <w:lang w:val="en-US" w:eastAsia="zh-CN"/>
              </w:rPr>
              <w:t>第</w:t>
            </w:r>
            <w:r>
              <w:rPr>
                <w:rFonts w:hint="eastAsia"/>
                <w:lang w:val="en-US" w:eastAsia="zh-CN"/>
              </w:rPr>
              <w:t>19</w:t>
            </w:r>
            <w:r>
              <w:rPr>
                <w:rFonts w:hint="eastAsia"/>
                <w:lang w:val="en-US" w:eastAsia="zh-CN"/>
              </w:rPr>
              <w:t>次和</w:t>
            </w:r>
            <w:r>
              <w:rPr>
                <w:rFonts w:hint="eastAsia"/>
                <w:lang w:val="en-US" w:eastAsia="zh-CN"/>
              </w:rPr>
              <w:t>20</w:t>
            </w:r>
            <w:r>
              <w:rPr>
                <w:rFonts w:hint="eastAsia"/>
                <w:lang w:val="en-US" w:eastAsia="zh-CN"/>
              </w:rPr>
              <w:t>次理事会财务和人力资源工作组主席报告</w:t>
            </w:r>
            <w:r>
              <w:rPr>
                <w:rFonts w:asciiTheme="minorEastAsia" w:eastAsiaTheme="minorEastAsia" w:hAnsiTheme="minorEastAsia" w:cstheme="minorEastAsia" w:hint="eastAsia"/>
                <w:lang w:val="en-US" w:eastAsia="zh-CN"/>
              </w:rPr>
              <w:t>（</w:t>
            </w:r>
            <w:hyperlink r:id="rId11" w:history="1">
              <w:r w:rsidRPr="00E01870">
                <w:rPr>
                  <w:rStyle w:val="Hyperlink"/>
                  <w:rFonts w:asciiTheme="minorEastAsia" w:eastAsiaTheme="minorEastAsia" w:hAnsiTheme="minorEastAsia" w:cstheme="minorEastAsia" w:hint="eastAsia"/>
                  <w:lang w:val="en-US" w:eastAsia="zh-CN"/>
                </w:rPr>
                <w:t>C25/50</w:t>
              </w:r>
            </w:hyperlink>
            <w:r>
              <w:rPr>
                <w:rFonts w:asciiTheme="minorEastAsia" w:eastAsiaTheme="minorEastAsia" w:hAnsiTheme="minorEastAsia" w:cstheme="minorEastAsia" w:hint="eastAsia"/>
                <w:lang w:val="en-US" w:eastAsia="zh-CN"/>
              </w:rPr>
              <w:t>）</w:t>
            </w:r>
            <w:bookmarkEnd w:id="10"/>
          </w:p>
        </w:tc>
      </w:tr>
      <w:bookmarkEnd w:id="2"/>
      <w:bookmarkEnd w:id="7"/>
    </w:tbl>
    <w:p w14:paraId="40EB6AB5" w14:textId="77777777" w:rsidR="000736BD" w:rsidRDefault="000736BD">
      <w:pPr>
        <w:tabs>
          <w:tab w:val="clear" w:pos="794"/>
          <w:tab w:val="clear" w:pos="1191"/>
          <w:tab w:val="clear" w:pos="1588"/>
          <w:tab w:val="clear" w:pos="1985"/>
        </w:tabs>
        <w:overflowPunct/>
        <w:autoSpaceDE/>
        <w:autoSpaceDN/>
        <w:adjustRightInd/>
        <w:spacing w:before="0"/>
        <w:textAlignment w:val="auto"/>
        <w:rPr>
          <w:lang w:eastAsia="zh-CN"/>
        </w:rPr>
      </w:pPr>
    </w:p>
    <w:p w14:paraId="2269687D" w14:textId="77777777" w:rsidR="000736BD" w:rsidRDefault="00E01870">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40DA48DE" w14:textId="77777777" w:rsidR="000736BD" w:rsidRDefault="00E01870">
      <w:pPr>
        <w:ind w:firstLineChars="200" w:firstLine="482"/>
        <w:rPr>
          <w:rFonts w:asciiTheme="minorEastAsia" w:eastAsiaTheme="minorEastAsia" w:hAnsiTheme="minorEastAsia" w:cstheme="minorEastAsia"/>
          <w:b/>
          <w:bCs/>
          <w:szCs w:val="24"/>
          <w:lang w:val="en-US" w:eastAsia="zh-CN"/>
        </w:rPr>
      </w:pPr>
      <w:r>
        <w:rPr>
          <w:rFonts w:asciiTheme="minorEastAsia" w:eastAsiaTheme="minorEastAsia" w:hAnsiTheme="minorEastAsia" w:cstheme="minorEastAsia" w:hint="eastAsia"/>
          <w:b/>
          <w:bCs/>
          <w:szCs w:val="24"/>
          <w:lang w:val="en-US" w:eastAsia="zh-CN"/>
        </w:rPr>
        <w:lastRenderedPageBreak/>
        <w:t>1.背景</w:t>
      </w:r>
    </w:p>
    <w:p w14:paraId="112A551A" w14:textId="77777777" w:rsidR="000736BD" w:rsidRDefault="00E01870">
      <w:pPr>
        <w:ind w:firstLine="560"/>
        <w:jc w:val="both"/>
        <w:rPr>
          <w:rFonts w:asciiTheme="minorEastAsia" w:eastAsiaTheme="minorEastAsia" w:hAnsiTheme="minorEastAsia" w:cstheme="minorEastAsia"/>
          <w:szCs w:val="24"/>
          <w:lang w:val="en-US" w:eastAsia="zh-CN"/>
        </w:rPr>
      </w:pPr>
      <w:bookmarkStart w:id="11" w:name="OLE_LINK17"/>
      <w:r>
        <w:rPr>
          <w:rFonts w:asciiTheme="minorEastAsia" w:eastAsiaTheme="minorEastAsia" w:hAnsiTheme="minorEastAsia" w:cstheme="minorEastAsia" w:hint="eastAsia"/>
          <w:szCs w:val="24"/>
          <w:lang w:val="en-US" w:eastAsia="zh-CN"/>
        </w:rPr>
        <w:t>国际电联全权代表大会第25号决议《加强区域代表处的作用》，在进一步做出决议部分提出“只要理事会提出要求，即对国际电联区域代表处的作用进行审查，但在两届全权代表大会之间至少审查一次”。</w:t>
      </w:r>
    </w:p>
    <w:p w14:paraId="200F81DE" w14:textId="77777777" w:rsidR="000736BD" w:rsidRDefault="00E01870">
      <w:pPr>
        <w:ind w:firstLine="560"/>
        <w:jc w:val="both"/>
        <w:rPr>
          <w:rFonts w:asciiTheme="minorEastAsia" w:eastAsiaTheme="minorEastAsia" w:hAnsiTheme="minorEastAsia" w:cstheme="minorEastAsia"/>
          <w:szCs w:val="24"/>
          <w:lang w:val="en-US" w:eastAsia="zh-CN"/>
        </w:rPr>
      </w:pPr>
      <w:r>
        <w:rPr>
          <w:rFonts w:asciiTheme="minorEastAsia" w:eastAsiaTheme="minorEastAsia" w:hAnsiTheme="minorEastAsia" w:cstheme="minorEastAsia" w:hint="eastAsia"/>
          <w:szCs w:val="24"/>
          <w:lang w:val="en-US" w:eastAsia="zh-CN"/>
        </w:rPr>
        <w:t>2024年，多个成员国向理事会财务和人力资源工作组第19次会议提交文稿，呼吁开展区域代表处审查，并制定包括审查具体行动和时间线在内的路线图。根据理事会财务和人力资源工作组第19次会议讨论情况和决定，随后成立了一个在线信函组，讨论确定了审查工作职责范围。该信函组主要由对该议题感兴趣的成员国代表参与，对未来审查工作依据职责范围开展发挥了重要作用。</w:t>
      </w:r>
    </w:p>
    <w:p w14:paraId="0DF5D6B3" w14:textId="77777777" w:rsidR="000736BD" w:rsidRDefault="00E01870">
      <w:pPr>
        <w:ind w:firstLine="560"/>
        <w:jc w:val="both"/>
        <w:rPr>
          <w:rFonts w:asciiTheme="minorEastAsia" w:eastAsiaTheme="minorEastAsia" w:hAnsiTheme="minorEastAsia" w:cstheme="minorEastAsia"/>
          <w:szCs w:val="24"/>
          <w:lang w:val="en-US" w:eastAsia="zh-CN"/>
        </w:rPr>
      </w:pPr>
      <w:r>
        <w:rPr>
          <w:rFonts w:asciiTheme="minorEastAsia" w:eastAsiaTheme="minorEastAsia" w:hAnsiTheme="minorEastAsia" w:cstheme="minorEastAsia" w:hint="eastAsia"/>
          <w:szCs w:val="24"/>
          <w:lang w:val="en-US" w:eastAsia="zh-CN"/>
        </w:rPr>
        <w:t>我们注意到</w:t>
      </w:r>
      <w:bookmarkStart w:id="12" w:name="OLE_LINK3"/>
      <w:r>
        <w:rPr>
          <w:rFonts w:asciiTheme="minorEastAsia" w:eastAsiaTheme="minorEastAsia" w:hAnsiTheme="minorEastAsia" w:cstheme="minorEastAsia" w:hint="eastAsia"/>
          <w:szCs w:val="24"/>
          <w:lang w:val="en-US" w:eastAsia="zh-CN"/>
        </w:rPr>
        <w:t>，秘书处文件C25/69</w:t>
      </w:r>
      <w:bookmarkEnd w:id="12"/>
      <w:r>
        <w:rPr>
          <w:rFonts w:asciiTheme="minorEastAsia" w:eastAsiaTheme="minorEastAsia" w:hAnsiTheme="minorEastAsia" w:cstheme="minorEastAsia" w:hint="eastAsia"/>
          <w:szCs w:val="24"/>
          <w:lang w:val="en-US" w:eastAsia="zh-CN"/>
        </w:rPr>
        <w:t>中提及，为了提高合法性并确保成员国的自主权，秘书处建议成立区域代表处成员国顾问组，</w:t>
      </w:r>
      <w:bookmarkStart w:id="13" w:name="OLE_LINK1"/>
      <w:r>
        <w:rPr>
          <w:rFonts w:asciiTheme="minorEastAsia" w:eastAsiaTheme="minorEastAsia" w:hAnsiTheme="minorEastAsia" w:cstheme="minorEastAsia" w:hint="eastAsia"/>
          <w:szCs w:val="24"/>
          <w:lang w:val="en-US" w:eastAsia="zh-CN"/>
        </w:rPr>
        <w:t>对审查过程提供战略监督和指导、提供调查结果反馈并对相关建议进行审查和验证。</w:t>
      </w:r>
    </w:p>
    <w:bookmarkEnd w:id="11"/>
    <w:bookmarkEnd w:id="13"/>
    <w:p w14:paraId="2B3A5B95" w14:textId="77777777" w:rsidR="000736BD" w:rsidRDefault="00E01870">
      <w:pPr>
        <w:ind w:firstLine="560"/>
        <w:jc w:val="both"/>
        <w:rPr>
          <w:rFonts w:asciiTheme="minorEastAsia" w:eastAsiaTheme="minorEastAsia" w:hAnsiTheme="minorEastAsia" w:cstheme="minorEastAsia"/>
          <w:b/>
          <w:bCs/>
          <w:szCs w:val="24"/>
          <w:lang w:val="en-US" w:eastAsia="zh-CN"/>
        </w:rPr>
      </w:pPr>
      <w:r>
        <w:rPr>
          <w:rFonts w:asciiTheme="minorEastAsia" w:eastAsiaTheme="minorEastAsia" w:hAnsiTheme="minorEastAsia" w:cstheme="minorEastAsia" w:hint="eastAsia"/>
          <w:b/>
          <w:bCs/>
          <w:szCs w:val="24"/>
          <w:lang w:val="en-US" w:eastAsia="zh-CN"/>
        </w:rPr>
        <w:t>2.讨论</w:t>
      </w:r>
    </w:p>
    <w:p w14:paraId="78D832B3" w14:textId="77777777" w:rsidR="000736BD" w:rsidRDefault="00E01870">
      <w:pPr>
        <w:ind w:firstLine="560"/>
        <w:jc w:val="both"/>
        <w:rPr>
          <w:rFonts w:asciiTheme="minorEastAsia" w:eastAsiaTheme="minorEastAsia" w:hAnsiTheme="minorEastAsia" w:cstheme="minorEastAsia"/>
          <w:szCs w:val="24"/>
          <w:lang w:val="en-US" w:eastAsia="zh-CN"/>
        </w:rPr>
      </w:pPr>
      <w:bookmarkStart w:id="14" w:name="OLE_LINK18"/>
      <w:r>
        <w:rPr>
          <w:rFonts w:asciiTheme="minorEastAsia" w:eastAsiaTheme="minorEastAsia" w:hAnsiTheme="minorEastAsia" w:cstheme="minorEastAsia" w:hint="eastAsia"/>
          <w:szCs w:val="24"/>
          <w:lang w:val="en-US" w:eastAsia="zh-CN"/>
        </w:rPr>
        <w:t>秘书处文件（</w:t>
      </w:r>
      <w:bookmarkStart w:id="15" w:name="OLE_LINK5"/>
      <w:r>
        <w:rPr>
          <w:rFonts w:asciiTheme="minorEastAsia" w:eastAsiaTheme="minorEastAsia" w:hAnsiTheme="minorEastAsia" w:cstheme="minorEastAsia" w:hint="eastAsia"/>
          <w:szCs w:val="24"/>
          <w:lang w:val="en-US" w:eastAsia="zh-CN"/>
        </w:rPr>
        <w:t>C25/69</w:t>
      </w:r>
      <w:bookmarkEnd w:id="15"/>
      <w:r>
        <w:rPr>
          <w:rFonts w:asciiTheme="minorEastAsia" w:eastAsiaTheme="minorEastAsia" w:hAnsiTheme="minorEastAsia" w:cstheme="minorEastAsia" w:hint="eastAsia"/>
          <w:szCs w:val="24"/>
          <w:lang w:val="en-US" w:eastAsia="zh-CN"/>
        </w:rPr>
        <w:t>）提出了开展区域代表处审查的组织保障、工作方法、实施阶段和输出成果、利益攸关方咨询、决策机制以及资源需求等内容。我们认为这对后续审查工作开展奠定了基础。然而，我们认为该文件以下内容还需要进一步明确：</w:t>
      </w:r>
    </w:p>
    <w:p w14:paraId="191DF97C" w14:textId="2CEE3009" w:rsidR="000736BD" w:rsidRDefault="005E59C7" w:rsidP="005E59C7">
      <w:pPr>
        <w:ind w:firstLine="560"/>
        <w:jc w:val="both"/>
        <w:rPr>
          <w:rFonts w:asciiTheme="minorEastAsia" w:eastAsiaTheme="minorEastAsia" w:hAnsiTheme="minorEastAsia" w:cstheme="minorEastAsia"/>
          <w:szCs w:val="24"/>
          <w:lang w:val="en-US" w:eastAsia="zh-CN"/>
        </w:rPr>
      </w:pPr>
      <w:r>
        <w:rPr>
          <w:rFonts w:asciiTheme="minorEastAsia" w:eastAsiaTheme="minorEastAsia" w:hAnsiTheme="minorEastAsia" w:cstheme="minorEastAsia"/>
          <w:szCs w:val="24"/>
          <w:lang w:val="en-US" w:eastAsia="zh-CN"/>
        </w:rPr>
        <w:t>（1）</w:t>
      </w:r>
      <w:r w:rsidR="00E01870">
        <w:rPr>
          <w:rFonts w:asciiTheme="minorEastAsia" w:eastAsiaTheme="minorEastAsia" w:hAnsiTheme="minorEastAsia" w:cstheme="minorEastAsia" w:hint="eastAsia"/>
          <w:szCs w:val="24"/>
          <w:lang w:val="en-US" w:eastAsia="zh-CN"/>
        </w:rPr>
        <w:t>关于决策机制：审查工作的决策流程不清晰</w:t>
      </w:r>
      <w:bookmarkStart w:id="16" w:name="OLE_LINK4"/>
      <w:r w:rsidR="00E01870">
        <w:rPr>
          <w:rFonts w:asciiTheme="minorEastAsia" w:eastAsiaTheme="minorEastAsia" w:hAnsiTheme="minorEastAsia" w:cstheme="minorEastAsia" w:hint="eastAsia"/>
          <w:szCs w:val="24"/>
          <w:lang w:val="en-US" w:eastAsia="zh-CN"/>
        </w:rPr>
        <w:t>。区域代表处跨部门任务组</w:t>
      </w:r>
      <w:bookmarkEnd w:id="16"/>
      <w:r w:rsidR="00E01870">
        <w:rPr>
          <w:rFonts w:asciiTheme="minorEastAsia" w:eastAsiaTheme="minorEastAsia" w:hAnsiTheme="minorEastAsia" w:cstheme="minorEastAsia" w:hint="eastAsia"/>
          <w:szCs w:val="24"/>
          <w:lang w:val="en-US" w:eastAsia="zh-CN"/>
        </w:rPr>
        <w:t>与国际电联现有治理框架，特别是内部监督科、协调委员会之间的关系需要进一步明确。</w:t>
      </w:r>
    </w:p>
    <w:p w14:paraId="2DF8D8A6" w14:textId="4C1A6DAC" w:rsidR="000736BD" w:rsidRDefault="005E59C7" w:rsidP="005E59C7">
      <w:pPr>
        <w:ind w:firstLine="560"/>
        <w:jc w:val="both"/>
        <w:rPr>
          <w:rFonts w:asciiTheme="minorEastAsia" w:eastAsiaTheme="minorEastAsia" w:hAnsiTheme="minorEastAsia" w:cstheme="minorEastAsia"/>
          <w:szCs w:val="24"/>
          <w:lang w:val="en-US" w:eastAsia="zh-CN"/>
        </w:rPr>
      </w:pPr>
      <w:r>
        <w:rPr>
          <w:rFonts w:asciiTheme="minorEastAsia" w:eastAsiaTheme="minorEastAsia" w:hAnsiTheme="minorEastAsia" w:cstheme="minorEastAsia"/>
          <w:szCs w:val="24"/>
          <w:lang w:val="en-US" w:eastAsia="zh-CN"/>
        </w:rPr>
        <w:t>（2）</w:t>
      </w:r>
      <w:r w:rsidR="00E01870">
        <w:rPr>
          <w:rFonts w:asciiTheme="minorEastAsia" w:eastAsiaTheme="minorEastAsia" w:hAnsiTheme="minorEastAsia" w:cstheme="minorEastAsia" w:hint="eastAsia"/>
          <w:szCs w:val="24"/>
          <w:lang w:val="en-US" w:eastAsia="zh-CN"/>
        </w:rPr>
        <w:t>关于建议成立区域代表处审查成员国顾问组，文件中尚未提及该组的职责范围。我们注意到，国际电联总部办公场所建设项目实施过程中成立了成员国顾问组，制定了详细的职责范围。依据职责范围，该顾问组对国际电联总部办公场所建设项目发挥了监督作用，确保该项目的设计和实施满足成员国需求和项目目标。这一实践为我们提供了良好示范。</w:t>
      </w:r>
    </w:p>
    <w:p w14:paraId="3E9C2089" w14:textId="75334CE9" w:rsidR="000736BD" w:rsidRDefault="005E59C7" w:rsidP="005E59C7">
      <w:pPr>
        <w:ind w:firstLine="560"/>
        <w:jc w:val="both"/>
        <w:rPr>
          <w:rFonts w:asciiTheme="minorEastAsia" w:eastAsiaTheme="minorEastAsia" w:hAnsiTheme="minorEastAsia" w:cstheme="minorEastAsia"/>
          <w:szCs w:val="24"/>
          <w:lang w:val="en-US" w:eastAsia="zh-CN"/>
        </w:rPr>
      </w:pPr>
      <w:r>
        <w:rPr>
          <w:rFonts w:asciiTheme="minorEastAsia" w:eastAsiaTheme="minorEastAsia" w:hAnsiTheme="minorEastAsia" w:cstheme="minorEastAsia"/>
          <w:szCs w:val="24"/>
          <w:lang w:val="en-US" w:eastAsia="zh-CN"/>
        </w:rPr>
        <w:t>（3）</w:t>
      </w:r>
      <w:r w:rsidR="00E01870">
        <w:rPr>
          <w:rFonts w:asciiTheme="minorEastAsia" w:eastAsiaTheme="minorEastAsia" w:hAnsiTheme="minorEastAsia" w:cstheme="minorEastAsia" w:hint="eastAsia"/>
          <w:szCs w:val="24"/>
          <w:lang w:val="en-US" w:eastAsia="zh-CN"/>
        </w:rPr>
        <w:t>关于利益攸关方咨询：</w:t>
      </w:r>
      <w:bookmarkStart w:id="17" w:name="OLE_LINK7"/>
      <w:bookmarkStart w:id="18" w:name="OLE_LINK6"/>
      <w:r w:rsidR="00E01870">
        <w:rPr>
          <w:rFonts w:asciiTheme="minorEastAsia" w:eastAsiaTheme="minorEastAsia" w:hAnsiTheme="minorEastAsia" w:cstheme="minorEastAsia" w:hint="eastAsia"/>
          <w:szCs w:val="24"/>
          <w:lang w:val="en-US" w:eastAsia="zh-CN"/>
        </w:rPr>
        <w:t>C25/69</w:t>
      </w:r>
      <w:bookmarkEnd w:id="17"/>
      <w:r w:rsidR="00E01870">
        <w:rPr>
          <w:rFonts w:asciiTheme="minorEastAsia" w:eastAsiaTheme="minorEastAsia" w:hAnsiTheme="minorEastAsia" w:cstheme="minorEastAsia" w:hint="eastAsia"/>
          <w:szCs w:val="24"/>
          <w:lang w:val="en-US" w:eastAsia="zh-CN"/>
        </w:rPr>
        <w:t>文件</w:t>
      </w:r>
      <w:bookmarkEnd w:id="18"/>
      <w:r w:rsidR="00E01870">
        <w:rPr>
          <w:rFonts w:asciiTheme="minorEastAsia" w:eastAsiaTheme="minorEastAsia" w:hAnsiTheme="minorEastAsia" w:cstheme="minorEastAsia" w:hint="eastAsia"/>
          <w:szCs w:val="24"/>
          <w:lang w:val="en-US" w:eastAsia="zh-CN"/>
        </w:rPr>
        <w:t>中提到主要咨询对象为国际电联秘书处、各类成员和区域电信组织。然而，我们关注到区域审查职责范围（C25/50）附件1中提及的利益攸关方咨询对象为国际电联相关顾问组，并且优先考虑评估成员国对区域代表处的整体满意度。</w:t>
      </w:r>
    </w:p>
    <w:p w14:paraId="06990582" w14:textId="737BF357" w:rsidR="000736BD" w:rsidRDefault="005E59C7" w:rsidP="005E59C7">
      <w:pPr>
        <w:ind w:firstLine="560"/>
        <w:jc w:val="both"/>
        <w:rPr>
          <w:rFonts w:asciiTheme="minorEastAsia" w:eastAsiaTheme="minorEastAsia" w:hAnsiTheme="minorEastAsia" w:cstheme="minorEastAsia"/>
          <w:szCs w:val="24"/>
          <w:lang w:val="en-US" w:eastAsia="zh-CN"/>
        </w:rPr>
      </w:pPr>
      <w:r>
        <w:rPr>
          <w:rFonts w:asciiTheme="minorEastAsia" w:eastAsiaTheme="minorEastAsia" w:hAnsiTheme="minorEastAsia" w:cstheme="minorEastAsia"/>
          <w:szCs w:val="24"/>
          <w:lang w:val="en-US" w:eastAsia="zh-CN"/>
        </w:rPr>
        <w:t>（4）</w:t>
      </w:r>
      <w:r w:rsidR="00E01870">
        <w:rPr>
          <w:rFonts w:asciiTheme="minorEastAsia" w:eastAsiaTheme="minorEastAsia" w:hAnsiTheme="minorEastAsia" w:cstheme="minorEastAsia" w:hint="eastAsia"/>
          <w:szCs w:val="24"/>
          <w:lang w:val="en-US" w:eastAsia="zh-CN"/>
        </w:rPr>
        <w:t>关于区域代表处审查财务影响：C25/69文件中提及需要雇佣短期顾问支撑区域代表处跨部门任务组开展研究、调查管理、数据整合等工作，以及进行利益相关方咨询也需要资金支持。以往讨论中，成员国普遍对审查工作财务影响表示关切，而且国际电联曾多次聘请外部咨询公司、投入大量资源进行区域代表处审查，但是相关建议并未全部得到落实。</w:t>
      </w:r>
    </w:p>
    <w:bookmarkEnd w:id="14"/>
    <w:p w14:paraId="3775089F" w14:textId="77777777" w:rsidR="000736BD" w:rsidRDefault="00E01870">
      <w:pPr>
        <w:ind w:firstLineChars="200" w:firstLine="482"/>
        <w:rPr>
          <w:rFonts w:asciiTheme="minorEastAsia" w:eastAsiaTheme="minorEastAsia" w:hAnsiTheme="minorEastAsia" w:cstheme="minorEastAsia"/>
          <w:b/>
          <w:bCs/>
          <w:szCs w:val="24"/>
          <w:lang w:val="en-US" w:eastAsia="zh-CN"/>
        </w:rPr>
      </w:pPr>
      <w:r>
        <w:rPr>
          <w:rFonts w:asciiTheme="minorEastAsia" w:eastAsiaTheme="minorEastAsia" w:hAnsiTheme="minorEastAsia" w:cstheme="minorEastAsia" w:hint="eastAsia"/>
          <w:b/>
          <w:bCs/>
          <w:szCs w:val="24"/>
          <w:lang w:val="en-US" w:eastAsia="zh-CN"/>
        </w:rPr>
        <w:t>3.建议</w:t>
      </w:r>
    </w:p>
    <w:p w14:paraId="1FD87EAD" w14:textId="77777777" w:rsidR="000736BD" w:rsidRDefault="00E01870">
      <w:pPr>
        <w:ind w:firstLine="560"/>
        <w:jc w:val="both"/>
        <w:rPr>
          <w:rFonts w:asciiTheme="minorEastAsia" w:eastAsiaTheme="minorEastAsia" w:hAnsiTheme="minorEastAsia" w:cstheme="minorEastAsia"/>
          <w:b/>
          <w:bCs/>
          <w:szCs w:val="24"/>
          <w:lang w:val="en-US" w:eastAsia="zh-CN"/>
        </w:rPr>
      </w:pPr>
      <w:bookmarkStart w:id="19" w:name="OLE_LINK12"/>
      <w:r>
        <w:rPr>
          <w:rFonts w:asciiTheme="minorEastAsia" w:eastAsiaTheme="minorEastAsia" w:hAnsiTheme="minorEastAsia" w:cstheme="minorEastAsia" w:hint="eastAsia"/>
          <w:szCs w:val="24"/>
          <w:lang w:val="en-US" w:eastAsia="zh-CN"/>
        </w:rPr>
        <w:t>（1）</w:t>
      </w:r>
      <w:bookmarkStart w:id="20" w:name="OLE_LINK8"/>
      <w:r>
        <w:rPr>
          <w:rFonts w:asciiTheme="minorEastAsia" w:eastAsiaTheme="minorEastAsia" w:hAnsiTheme="minorEastAsia" w:cstheme="minorEastAsia" w:hint="eastAsia"/>
          <w:szCs w:val="24"/>
          <w:lang w:val="en-US" w:eastAsia="zh-CN"/>
        </w:rPr>
        <w:t>在区域代表处审查初始报告中进一步明确审查工作的决策机制，</w:t>
      </w:r>
      <w:bookmarkEnd w:id="20"/>
      <w:r>
        <w:rPr>
          <w:rFonts w:asciiTheme="minorEastAsia" w:eastAsiaTheme="minorEastAsia" w:hAnsiTheme="minorEastAsia" w:cstheme="minorEastAsia" w:hint="eastAsia"/>
          <w:szCs w:val="24"/>
          <w:lang w:val="en-US" w:eastAsia="zh-CN"/>
        </w:rPr>
        <w:t>即审查相关建议以及最终审查报告应由理事会批准，同时应充分听取各区域代表处负责人关于审计建议的意见。</w:t>
      </w:r>
    </w:p>
    <w:p w14:paraId="4F806E31" w14:textId="77777777" w:rsidR="000736BD" w:rsidRDefault="00E01870">
      <w:pPr>
        <w:ind w:firstLine="560"/>
        <w:jc w:val="both"/>
        <w:rPr>
          <w:rFonts w:asciiTheme="minorEastAsia" w:eastAsiaTheme="minorEastAsia" w:hAnsiTheme="minorEastAsia" w:cstheme="minorEastAsia"/>
          <w:szCs w:val="24"/>
          <w:lang w:val="en-US" w:eastAsia="zh-CN"/>
        </w:rPr>
      </w:pPr>
      <w:r>
        <w:rPr>
          <w:rFonts w:asciiTheme="minorEastAsia" w:eastAsiaTheme="minorEastAsia" w:hAnsiTheme="minorEastAsia" w:cstheme="minorEastAsia" w:hint="eastAsia"/>
          <w:szCs w:val="24"/>
          <w:lang w:val="en-US" w:eastAsia="zh-CN"/>
        </w:rPr>
        <w:t>（2）决定成立区域代表处成员国顾问组之前需要明确该组的职责范围，包括但不限于：</w:t>
      </w:r>
    </w:p>
    <w:p w14:paraId="0D102240" w14:textId="77777777" w:rsidR="000736BD" w:rsidRDefault="00E01870">
      <w:pPr>
        <w:ind w:firstLine="560"/>
        <w:jc w:val="both"/>
        <w:rPr>
          <w:rFonts w:asciiTheme="minorEastAsia" w:eastAsiaTheme="minorEastAsia" w:hAnsiTheme="minorEastAsia" w:cstheme="minorEastAsia"/>
          <w:szCs w:val="24"/>
          <w:lang w:val="en-US" w:eastAsia="zh-CN"/>
        </w:rPr>
      </w:pPr>
      <w:r>
        <w:rPr>
          <w:rFonts w:asciiTheme="minorEastAsia" w:eastAsiaTheme="minorEastAsia" w:hAnsiTheme="minorEastAsia" w:cstheme="minorEastAsia" w:hint="eastAsia"/>
          <w:szCs w:val="24"/>
          <w:lang w:val="en-US" w:eastAsia="zh-CN"/>
        </w:rPr>
        <w:lastRenderedPageBreak/>
        <w:t>-设立目标：对审查过程提供战略监督和指导、提供调查结果反馈并对相关建议进行审查和验证；发挥与成员国之间的纽带作用，确保各成员国利益得到代表等。</w:t>
      </w:r>
    </w:p>
    <w:p w14:paraId="3EFE9990" w14:textId="77777777" w:rsidR="000736BD" w:rsidRDefault="00E01870">
      <w:pPr>
        <w:ind w:firstLine="560"/>
        <w:jc w:val="both"/>
        <w:rPr>
          <w:rFonts w:asciiTheme="minorEastAsia" w:eastAsiaTheme="minorEastAsia" w:hAnsiTheme="minorEastAsia" w:cstheme="minorEastAsia"/>
          <w:szCs w:val="24"/>
          <w:lang w:val="en-US" w:eastAsia="zh-CN"/>
        </w:rPr>
      </w:pPr>
      <w:r>
        <w:rPr>
          <w:rFonts w:asciiTheme="minorEastAsia" w:eastAsiaTheme="minorEastAsia" w:hAnsiTheme="minorEastAsia" w:cstheme="minorEastAsia" w:hint="eastAsia"/>
          <w:szCs w:val="24"/>
          <w:lang w:val="en-US" w:eastAsia="zh-CN"/>
        </w:rPr>
        <w:t>-成员构成：建议该顾问组向所有成员国开放，且应具有区域代表性；每个区域可协调确定参与顾问组的成员国代表；明确参与顾问组的成员国代表提名和确认流程，以及任期等；</w:t>
      </w:r>
    </w:p>
    <w:p w14:paraId="4855F883" w14:textId="77777777" w:rsidR="000736BD" w:rsidRDefault="00E01870">
      <w:pPr>
        <w:ind w:firstLine="560"/>
        <w:jc w:val="both"/>
        <w:rPr>
          <w:rFonts w:asciiTheme="minorEastAsia" w:eastAsiaTheme="minorEastAsia" w:hAnsiTheme="minorEastAsia" w:cstheme="minorEastAsia"/>
          <w:szCs w:val="24"/>
          <w:lang w:val="en-US" w:eastAsia="zh-CN"/>
        </w:rPr>
      </w:pPr>
      <w:r>
        <w:rPr>
          <w:rFonts w:asciiTheme="minorEastAsia" w:eastAsiaTheme="minorEastAsia" w:hAnsiTheme="minorEastAsia" w:cstheme="minorEastAsia" w:hint="eastAsia"/>
          <w:szCs w:val="24"/>
          <w:lang w:val="en-US" w:eastAsia="zh-CN"/>
        </w:rPr>
        <w:t>-工作方法：建议包括主席产生方式、区域内非成员代表参会方式、决策机制和流程、工作计划和会议安排等。</w:t>
      </w:r>
    </w:p>
    <w:p w14:paraId="252B9335" w14:textId="4404E750" w:rsidR="000736BD" w:rsidRDefault="005E59C7" w:rsidP="005E59C7">
      <w:pPr>
        <w:ind w:firstLine="480"/>
        <w:jc w:val="both"/>
        <w:rPr>
          <w:rFonts w:asciiTheme="minorEastAsia" w:eastAsiaTheme="minorEastAsia" w:hAnsiTheme="minorEastAsia" w:cstheme="minorEastAsia"/>
          <w:szCs w:val="24"/>
          <w:lang w:val="en-US" w:eastAsia="zh-CN"/>
        </w:rPr>
      </w:pPr>
      <w:bookmarkStart w:id="21" w:name="OLE_LINK9"/>
      <w:r>
        <w:rPr>
          <w:rFonts w:asciiTheme="minorEastAsia" w:eastAsiaTheme="minorEastAsia" w:hAnsiTheme="minorEastAsia" w:cstheme="minorEastAsia"/>
          <w:szCs w:val="24"/>
          <w:lang w:val="en-US" w:eastAsia="zh-CN"/>
        </w:rPr>
        <w:t>（3）</w:t>
      </w:r>
      <w:r w:rsidR="00E01870">
        <w:rPr>
          <w:rFonts w:asciiTheme="minorEastAsia" w:eastAsiaTheme="minorEastAsia" w:hAnsiTheme="minorEastAsia" w:cstheme="minorEastAsia" w:hint="eastAsia"/>
          <w:szCs w:val="24"/>
          <w:lang w:val="en-US" w:eastAsia="zh-CN"/>
        </w:rPr>
        <w:t>利益攸关方咨询建议与区域代表处审查职责范围保持一致</w:t>
      </w:r>
      <w:bookmarkEnd w:id="21"/>
      <w:r w:rsidR="00E01870">
        <w:rPr>
          <w:rFonts w:asciiTheme="minorEastAsia" w:eastAsiaTheme="minorEastAsia" w:hAnsiTheme="minorEastAsia" w:cstheme="minorEastAsia" w:hint="eastAsia"/>
          <w:szCs w:val="24"/>
          <w:lang w:val="en-US" w:eastAsia="zh-CN"/>
        </w:rPr>
        <w:t>，以秘书处内部相关方以及国际电联三大部门顾问组为主；可通过问卷方式对国际电联各类成员以及区域电信组织开展满意度调查，并优先考虑评估成员国的整体满意度。</w:t>
      </w:r>
    </w:p>
    <w:p w14:paraId="13BB1506" w14:textId="187B0F41" w:rsidR="000736BD" w:rsidRDefault="005E59C7" w:rsidP="005E59C7">
      <w:pPr>
        <w:ind w:firstLine="480"/>
        <w:jc w:val="both"/>
        <w:rPr>
          <w:rFonts w:asciiTheme="minorEastAsia" w:eastAsiaTheme="minorEastAsia" w:hAnsiTheme="minorEastAsia" w:cstheme="minorEastAsia"/>
          <w:szCs w:val="24"/>
          <w:lang w:val="en-US" w:eastAsia="zh-CN"/>
        </w:rPr>
      </w:pPr>
      <w:bookmarkStart w:id="22" w:name="OLE_LINK11"/>
      <w:bookmarkStart w:id="23" w:name="OLE_LINK2"/>
      <w:bookmarkStart w:id="24" w:name="OLE_LINK10"/>
      <w:r>
        <w:rPr>
          <w:rFonts w:asciiTheme="minorEastAsia" w:eastAsiaTheme="minorEastAsia" w:hAnsiTheme="minorEastAsia" w:cstheme="minorEastAsia"/>
          <w:szCs w:val="24"/>
          <w:lang w:val="en-US" w:eastAsia="zh-CN"/>
        </w:rPr>
        <w:t>（4）</w:t>
      </w:r>
      <w:r w:rsidR="00E01870">
        <w:rPr>
          <w:rFonts w:asciiTheme="minorEastAsia" w:eastAsiaTheme="minorEastAsia" w:hAnsiTheme="minorEastAsia" w:cstheme="minorEastAsia" w:hint="eastAsia"/>
          <w:szCs w:val="24"/>
          <w:lang w:val="en-US" w:eastAsia="zh-CN"/>
        </w:rPr>
        <w:t>根据全权代表大会第25号决议《加强国际电联区域代表处的作用》确定的对区域代表处的管理职责，由电信发展局主任与秘书长和无线电通信局主任以及电信标准化局主任密切协商，以秘书处内部专业力量为主开展审查工作。在国际电联当前财务状况下，建议不为此项工作专门雇佣第三方顾问或咨询公司。</w:t>
      </w:r>
      <w:bookmarkEnd w:id="19"/>
      <w:bookmarkEnd w:id="22"/>
      <w:bookmarkEnd w:id="23"/>
      <w:bookmarkEnd w:id="24"/>
    </w:p>
    <w:p w14:paraId="371B85F2" w14:textId="77777777" w:rsidR="005E59C7" w:rsidRDefault="005E59C7" w:rsidP="0032202E">
      <w:pPr>
        <w:pStyle w:val="Reasons"/>
      </w:pPr>
    </w:p>
    <w:p w14:paraId="3789A8BF" w14:textId="0BC4D063" w:rsidR="005E59C7" w:rsidRPr="005E59C7" w:rsidRDefault="005E59C7" w:rsidP="005E59C7">
      <w:pPr>
        <w:jc w:val="center"/>
      </w:pPr>
      <w:r>
        <w:t>______________</w:t>
      </w:r>
    </w:p>
    <w:sectPr w:rsidR="005E59C7" w:rsidRPr="005E59C7">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E9B36" w14:textId="77777777" w:rsidR="00E01870" w:rsidRDefault="00E01870">
      <w:pPr>
        <w:spacing w:before="0"/>
      </w:pPr>
      <w:r>
        <w:separator/>
      </w:r>
    </w:p>
  </w:endnote>
  <w:endnote w:type="continuationSeparator" w:id="0">
    <w:p w14:paraId="2E2A21F0" w14:textId="77777777" w:rsidR="00E01870" w:rsidRDefault="00E0187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0736BD" w14:paraId="4D875948" w14:textId="77777777">
      <w:trPr>
        <w:jc w:val="center"/>
      </w:trPr>
      <w:tc>
        <w:tcPr>
          <w:tcW w:w="1803" w:type="dxa"/>
          <w:vAlign w:val="center"/>
        </w:tcPr>
        <w:p w14:paraId="1AE60A9F" w14:textId="77777777" w:rsidR="000736BD" w:rsidRDefault="00E01870">
          <w:pPr>
            <w:pStyle w:val="Header"/>
            <w:jc w:val="left"/>
            <w:rPr>
              <w:color w:val="808080" w:themeColor="background1" w:themeShade="80"/>
            </w:rPr>
          </w:pPr>
          <w:r>
            <w:rPr>
              <w:color w:val="808080" w:themeColor="background1" w:themeShade="80"/>
            </w:rPr>
            <w:t>#gDoc</w:t>
          </w:r>
        </w:p>
      </w:tc>
      <w:tc>
        <w:tcPr>
          <w:tcW w:w="8261" w:type="dxa"/>
        </w:tcPr>
        <w:p w14:paraId="06322A24" w14:textId="12BAF0FE" w:rsidR="000736BD" w:rsidRDefault="00E01870">
          <w:pPr>
            <w:pStyle w:val="Header"/>
            <w:tabs>
              <w:tab w:val="left" w:pos="6164"/>
              <w:tab w:val="right" w:pos="8505"/>
              <w:tab w:val="right" w:pos="9639"/>
            </w:tabs>
            <w:jc w:val="left"/>
            <w:rPr>
              <w:rFonts w:ascii="Arial" w:hAnsi="Arial" w:cs="Arial"/>
              <w:b/>
              <w:bCs/>
              <w:color w:val="808080" w:themeColor="background1" w:themeShade="80"/>
              <w:szCs w:val="18"/>
            </w:rPr>
          </w:pPr>
          <w:r>
            <w:rPr>
              <w:bCs/>
              <w:color w:val="808080" w:themeColor="background1" w:themeShade="80"/>
            </w:rPr>
            <w:tab/>
            <w:t>C25/</w:t>
          </w:r>
          <w:r w:rsidR="005E59C7">
            <w:rPr>
              <w:bCs/>
              <w:color w:val="808080" w:themeColor="background1" w:themeShade="80"/>
            </w:rPr>
            <w:t>88</w:t>
          </w:r>
          <w:r>
            <w:rPr>
              <w:bCs/>
              <w:color w:val="808080" w:themeColor="background1" w:themeShade="80"/>
            </w:rPr>
            <w:t>-C</w:t>
          </w:r>
          <w:r>
            <w:rPr>
              <w:bCs/>
              <w:color w:val="808080" w:themeColor="background1" w:themeShade="80"/>
            </w:rPr>
            <w:tab/>
          </w:r>
          <w:r>
            <w:rPr>
              <w:color w:val="808080" w:themeColor="background1" w:themeShade="80"/>
            </w:rPr>
            <w:fldChar w:fldCharType="begin"/>
          </w:r>
          <w:r>
            <w:rPr>
              <w:color w:val="808080" w:themeColor="background1" w:themeShade="80"/>
            </w:rPr>
            <w:instrText>PAGE</w:instrText>
          </w:r>
          <w:r>
            <w:rPr>
              <w:color w:val="808080" w:themeColor="background1" w:themeShade="80"/>
            </w:rPr>
            <w:fldChar w:fldCharType="separate"/>
          </w:r>
          <w:r>
            <w:rPr>
              <w:color w:val="808080" w:themeColor="background1" w:themeShade="80"/>
            </w:rPr>
            <w:t>1</w:t>
          </w:r>
          <w:r>
            <w:rPr>
              <w:color w:val="808080" w:themeColor="background1" w:themeShade="80"/>
            </w:rPr>
            <w:fldChar w:fldCharType="end"/>
          </w:r>
        </w:p>
      </w:tc>
    </w:tr>
  </w:tbl>
  <w:p w14:paraId="5C78ED74" w14:textId="77777777" w:rsidR="000736BD" w:rsidRDefault="000736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0736BD" w14:paraId="142FAC1C" w14:textId="77777777">
      <w:trPr>
        <w:jc w:val="center"/>
      </w:trPr>
      <w:tc>
        <w:tcPr>
          <w:tcW w:w="1803" w:type="dxa"/>
          <w:vAlign w:val="center"/>
        </w:tcPr>
        <w:p w14:paraId="5003500C" w14:textId="77777777" w:rsidR="000736BD" w:rsidRDefault="000736BD">
          <w:pPr>
            <w:pStyle w:val="Header"/>
            <w:jc w:val="left"/>
          </w:pPr>
        </w:p>
      </w:tc>
      <w:tc>
        <w:tcPr>
          <w:tcW w:w="8261" w:type="dxa"/>
        </w:tcPr>
        <w:p w14:paraId="2A22CD6E" w14:textId="51D18158" w:rsidR="000736BD" w:rsidRDefault="00E01870">
          <w:pPr>
            <w:pStyle w:val="Header"/>
            <w:tabs>
              <w:tab w:val="left" w:pos="6448"/>
              <w:tab w:val="right" w:pos="8505"/>
              <w:tab w:val="right" w:pos="9639"/>
            </w:tabs>
            <w:jc w:val="left"/>
            <w:rPr>
              <w:rFonts w:ascii="Arial" w:hAnsi="Arial" w:cs="Arial"/>
              <w:b/>
              <w:bCs/>
              <w:color w:val="808080" w:themeColor="background1" w:themeShade="80"/>
              <w:szCs w:val="18"/>
            </w:rPr>
          </w:pPr>
          <w:r>
            <w:rPr>
              <w:bCs/>
              <w:color w:val="808080" w:themeColor="background1" w:themeShade="80"/>
            </w:rPr>
            <w:tab/>
            <w:t>C25/</w:t>
          </w:r>
          <w:r w:rsidR="005E59C7">
            <w:rPr>
              <w:bCs/>
              <w:color w:val="808080" w:themeColor="background1" w:themeShade="80"/>
            </w:rPr>
            <w:t>88</w:t>
          </w:r>
          <w:r>
            <w:rPr>
              <w:bCs/>
              <w:color w:val="808080" w:themeColor="background1" w:themeShade="80"/>
            </w:rPr>
            <w:t>-C</w:t>
          </w:r>
          <w:r>
            <w:rPr>
              <w:bCs/>
              <w:color w:val="808080" w:themeColor="background1" w:themeShade="80"/>
            </w:rPr>
            <w:tab/>
          </w:r>
          <w:r>
            <w:rPr>
              <w:color w:val="808080" w:themeColor="background1" w:themeShade="80"/>
            </w:rPr>
            <w:fldChar w:fldCharType="begin"/>
          </w:r>
          <w:r>
            <w:rPr>
              <w:color w:val="808080" w:themeColor="background1" w:themeShade="80"/>
            </w:rPr>
            <w:instrText>PAGE</w:instrText>
          </w:r>
          <w:r>
            <w:rPr>
              <w:color w:val="808080" w:themeColor="background1" w:themeShade="80"/>
            </w:rPr>
            <w:fldChar w:fldCharType="separate"/>
          </w:r>
          <w:r>
            <w:rPr>
              <w:color w:val="808080" w:themeColor="background1" w:themeShade="80"/>
            </w:rPr>
            <w:t>1</w:t>
          </w:r>
          <w:r>
            <w:rPr>
              <w:color w:val="808080" w:themeColor="background1" w:themeShade="80"/>
            </w:rPr>
            <w:fldChar w:fldCharType="end"/>
          </w:r>
        </w:p>
      </w:tc>
    </w:tr>
  </w:tbl>
  <w:p w14:paraId="03EA7C07" w14:textId="77777777" w:rsidR="000736BD" w:rsidRDefault="000736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66765" w14:textId="77777777" w:rsidR="000736BD" w:rsidRDefault="00E01870">
      <w:pPr>
        <w:spacing w:before="0"/>
      </w:pPr>
      <w:r>
        <w:separator/>
      </w:r>
    </w:p>
  </w:footnote>
  <w:footnote w:type="continuationSeparator" w:id="0">
    <w:p w14:paraId="03C58D87" w14:textId="77777777" w:rsidR="000736BD" w:rsidRDefault="00E0187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068"/>
    </w:tblGrid>
    <w:tr w:rsidR="000736BD" w14:paraId="03F1F15E" w14:textId="77777777">
      <w:trPr>
        <w:trHeight w:val="1104"/>
        <w:jc w:val="center"/>
      </w:trPr>
      <w:tc>
        <w:tcPr>
          <w:tcW w:w="4390" w:type="dxa"/>
          <w:vAlign w:val="center"/>
        </w:tcPr>
        <w:p w14:paraId="2B899CEE" w14:textId="77777777" w:rsidR="000736BD" w:rsidRDefault="00E01870">
          <w:pPr>
            <w:pStyle w:val="Header"/>
            <w:jc w:val="left"/>
            <w:rPr>
              <w:rFonts w:ascii="Arial" w:hAnsi="Arial" w:cs="Arial"/>
              <w:b/>
              <w:bCs/>
              <w:color w:val="009CD6"/>
              <w:sz w:val="36"/>
              <w:szCs w:val="36"/>
            </w:rPr>
          </w:pPr>
          <w:bookmarkStart w:id="25" w:name="_Hlk133422111"/>
          <w:r>
            <w:rPr>
              <w:rFonts w:ascii="Arial" w:hAnsi="Arial" w:cs="Arial"/>
              <w:b/>
              <w:bCs/>
              <w:noProof/>
              <w:color w:val="009CD6"/>
              <w:sz w:val="36"/>
              <w:szCs w:val="36"/>
            </w:rPr>
            <w:drawing>
              <wp:inline distT="0" distB="0" distL="0" distR="0" wp14:anchorId="52CB1B37" wp14:editId="54DFF31B">
                <wp:extent cx="3007360" cy="575945"/>
                <wp:effectExtent l="0" t="0" r="0" b="0"/>
                <wp:docPr id="1695723161" name="Picture 1"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23161" name="Picture 1" descr="A black background with blue letters and numbers&#10;&#10;AI-generated content may be incorrect."/>
                        <pic:cNvPicPr>
                          <a:picLocks noChangeAspect="1"/>
                        </pic:cNvPicPr>
                      </pic:nvPicPr>
                      <pic:blipFill>
                        <a:blip r:embed="rId1">
                          <a:extLst>
                            <a:ext uri="{28A0092B-C50C-407E-A947-70E740481C1C}">
                              <a14:useLocalDpi xmlns:a14="http://schemas.microsoft.com/office/drawing/2010/main" val="0"/>
                            </a:ext>
                          </a:extLst>
                        </a:blip>
                        <a:srcRect r="18084"/>
                        <a:stretch>
                          <a:fillRect/>
                        </a:stretch>
                      </pic:blipFill>
                      <pic:spPr>
                        <a:xfrm>
                          <a:off x="0" y="0"/>
                          <a:ext cx="3007765" cy="576000"/>
                        </a:xfrm>
                        <a:prstGeom prst="rect">
                          <a:avLst/>
                        </a:prstGeom>
                        <a:ln>
                          <a:noFill/>
                        </a:ln>
                      </pic:spPr>
                    </pic:pic>
                  </a:graphicData>
                </a:graphic>
              </wp:inline>
            </w:drawing>
          </w:r>
        </w:p>
      </w:tc>
      <w:tc>
        <w:tcPr>
          <w:tcW w:w="5630" w:type="dxa"/>
        </w:tcPr>
        <w:p w14:paraId="5956115A" w14:textId="77777777" w:rsidR="000736BD" w:rsidRDefault="000736BD">
          <w:pPr>
            <w:pStyle w:val="Header"/>
            <w:jc w:val="right"/>
            <w:rPr>
              <w:rFonts w:ascii="Arial" w:hAnsi="Arial" w:cs="Arial"/>
              <w:b/>
              <w:bCs/>
              <w:color w:val="009CD6"/>
              <w:szCs w:val="18"/>
            </w:rPr>
          </w:pPr>
        </w:p>
        <w:p w14:paraId="55E4A10E" w14:textId="77777777" w:rsidR="000736BD" w:rsidRDefault="000736BD">
          <w:pPr>
            <w:pStyle w:val="Header"/>
            <w:jc w:val="right"/>
            <w:rPr>
              <w:rFonts w:ascii="Arial" w:hAnsi="Arial" w:cs="Arial"/>
              <w:b/>
              <w:bCs/>
              <w:color w:val="009CD6"/>
              <w:szCs w:val="18"/>
            </w:rPr>
          </w:pPr>
        </w:p>
        <w:p w14:paraId="3F037D7D" w14:textId="77777777" w:rsidR="000736BD" w:rsidRDefault="00E01870">
          <w:pPr>
            <w:pStyle w:val="Header"/>
            <w:jc w:val="right"/>
            <w:rPr>
              <w:rFonts w:ascii="Arial" w:hAnsi="Arial" w:cs="Arial"/>
              <w:color w:val="009CD6"/>
              <w:szCs w:val="18"/>
            </w:rPr>
          </w:pPr>
          <w:r>
            <w:rPr>
              <w:rFonts w:ascii="Arial" w:hAnsi="Arial" w:cs="Arial"/>
              <w:b/>
              <w:bCs/>
              <w:color w:val="009CD6"/>
              <w:szCs w:val="18"/>
            </w:rPr>
            <w:t xml:space="preserve"> </w:t>
          </w:r>
        </w:p>
      </w:tc>
    </w:tr>
  </w:tbl>
  <w:bookmarkEnd w:id="25"/>
  <w:p w14:paraId="73C5452A" w14:textId="77777777" w:rsidR="000736BD" w:rsidRDefault="00E01870">
    <w:pPr>
      <w:pStyle w:val="Header"/>
    </w:pPr>
    <w:r>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E7E42C1" wp14:editId="3CD3A7D3">
              <wp:simplePos x="0" y="0"/>
              <wp:positionH relativeFrom="page">
                <wp:posOffset>-6985</wp:posOffset>
              </wp:positionH>
              <wp:positionV relativeFrom="topMargin">
                <wp:posOffset>603250</wp:posOffset>
              </wp:positionV>
              <wp:extent cx="107950" cy="396240"/>
              <wp:effectExtent l="0" t="0" r="635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 cy="396000"/>
                      </a:xfrm>
                      <a:prstGeom prst="rect">
                        <a:avLst/>
                      </a:prstGeom>
                      <a:solidFill>
                        <a:srgbClr val="009CD5"/>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5" o:spid="_x0000_s1026" o:spt="1" style="position:absolute;left:0pt;margin-left:-0.55pt;margin-top:47.5pt;height:31.2pt;width:8.5pt;mso-position-horizontal-relative:page;mso-position-vertical-relative:page;z-index:251659264;mso-width-relative:page;mso-height-relative:page;" fillcolor="#009CD5" filled="t" stroked="f" coordsize="21600,21600" o:gfxdata="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9zYCdkAAAAIAQAADwAAAAAAAAAB&#10;ACAAAAAiAAAAZHJzL2Rvd25yZXYueG1sUEsBAhQAFAAAAAgAh07iQH+jGKgPAgAAKAQAAA4AAAAA&#10;AAAAAQAgAAAAKAEAAGRycy9lMm9Eb2MueG1sUEsFBgAAAAAGAAYAWQEAAKkFAAAAAA==&#10;">
              <v:fill on="t" focussize="0,0"/>
              <v:stroke on="f"/>
              <v:imagedata o:title=""/>
              <o:lock v:ext="edit" aspectratio="f"/>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109A20F"/>
    <w:multiLevelType w:val="singleLevel"/>
    <w:tmpl w:val="A109A20F"/>
    <w:lvl w:ilvl="0">
      <w:start w:val="1"/>
      <w:numFmt w:val="decimal"/>
      <w:suff w:val="nothing"/>
      <w:lvlText w:val="（%1）"/>
      <w:lvlJc w:val="left"/>
    </w:lvl>
  </w:abstractNum>
  <w:abstractNum w:abstractNumId="1" w15:restartNumberingAfterBreak="0">
    <w:nsid w:val="447F5794"/>
    <w:multiLevelType w:val="singleLevel"/>
    <w:tmpl w:val="447F5794"/>
    <w:lvl w:ilvl="0">
      <w:start w:val="3"/>
      <w:numFmt w:val="decimal"/>
      <w:suff w:val="nothing"/>
      <w:lvlText w:val="（%1）"/>
      <w:lvlJc w:val="left"/>
    </w:lvl>
  </w:abstractNum>
  <w:num w:numId="1" w16cid:durableId="829757017">
    <w:abstractNumId w:val="0"/>
  </w:num>
  <w:num w:numId="2" w16cid:durableId="1979258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IwMGMzMjJkNGI2ZTQzNDlkYzJlNjUwZjgzNzU4NjkifQ=="/>
  </w:docVars>
  <w:rsids>
    <w:rsidRoot w:val="00630DD5"/>
    <w:rsid w:val="00001B77"/>
    <w:rsid w:val="0000517A"/>
    <w:rsid w:val="00031E72"/>
    <w:rsid w:val="000404D2"/>
    <w:rsid w:val="000646BD"/>
    <w:rsid w:val="000736BD"/>
    <w:rsid w:val="000853C0"/>
    <w:rsid w:val="0009409E"/>
    <w:rsid w:val="000A1C21"/>
    <w:rsid w:val="000C0BC5"/>
    <w:rsid w:val="000D15EA"/>
    <w:rsid w:val="000D7012"/>
    <w:rsid w:val="00100D84"/>
    <w:rsid w:val="00124C9D"/>
    <w:rsid w:val="001303F9"/>
    <w:rsid w:val="0015333E"/>
    <w:rsid w:val="00157773"/>
    <w:rsid w:val="0018251A"/>
    <w:rsid w:val="00190272"/>
    <w:rsid w:val="00193244"/>
    <w:rsid w:val="00195C6C"/>
    <w:rsid w:val="00195FED"/>
    <w:rsid w:val="001A4BD6"/>
    <w:rsid w:val="001D5A18"/>
    <w:rsid w:val="00215132"/>
    <w:rsid w:val="00224449"/>
    <w:rsid w:val="00240B32"/>
    <w:rsid w:val="002667F8"/>
    <w:rsid w:val="00280EB8"/>
    <w:rsid w:val="002919D7"/>
    <w:rsid w:val="002A6670"/>
    <w:rsid w:val="00303502"/>
    <w:rsid w:val="0031243D"/>
    <w:rsid w:val="00325C25"/>
    <w:rsid w:val="00372C8F"/>
    <w:rsid w:val="00380ECE"/>
    <w:rsid w:val="00393DDF"/>
    <w:rsid w:val="00397F55"/>
    <w:rsid w:val="003B4454"/>
    <w:rsid w:val="003C2E37"/>
    <w:rsid w:val="003D6B69"/>
    <w:rsid w:val="003F086E"/>
    <w:rsid w:val="003F1415"/>
    <w:rsid w:val="0040144C"/>
    <w:rsid w:val="00403EB7"/>
    <w:rsid w:val="0042717D"/>
    <w:rsid w:val="00430BF0"/>
    <w:rsid w:val="004672E6"/>
    <w:rsid w:val="00474ED1"/>
    <w:rsid w:val="00491BA9"/>
    <w:rsid w:val="00493085"/>
    <w:rsid w:val="004A36EC"/>
    <w:rsid w:val="004D163F"/>
    <w:rsid w:val="004E4BFF"/>
    <w:rsid w:val="004F2598"/>
    <w:rsid w:val="0052491C"/>
    <w:rsid w:val="005403F7"/>
    <w:rsid w:val="00540632"/>
    <w:rsid w:val="00541CF4"/>
    <w:rsid w:val="005451E8"/>
    <w:rsid w:val="005507F2"/>
    <w:rsid w:val="005759CC"/>
    <w:rsid w:val="005A72E1"/>
    <w:rsid w:val="005C6632"/>
    <w:rsid w:val="005D1C9E"/>
    <w:rsid w:val="005E59C7"/>
    <w:rsid w:val="005F4C2B"/>
    <w:rsid w:val="00630DD5"/>
    <w:rsid w:val="00644EC6"/>
    <w:rsid w:val="00654257"/>
    <w:rsid w:val="0065435A"/>
    <w:rsid w:val="00670D8A"/>
    <w:rsid w:val="006A2DD3"/>
    <w:rsid w:val="006A5113"/>
    <w:rsid w:val="006A5AF8"/>
    <w:rsid w:val="006C36CD"/>
    <w:rsid w:val="00700D1F"/>
    <w:rsid w:val="007205CB"/>
    <w:rsid w:val="0072138B"/>
    <w:rsid w:val="00726073"/>
    <w:rsid w:val="00734FE8"/>
    <w:rsid w:val="007360CE"/>
    <w:rsid w:val="0077110E"/>
    <w:rsid w:val="00772315"/>
    <w:rsid w:val="00775157"/>
    <w:rsid w:val="007813AE"/>
    <w:rsid w:val="007A37DB"/>
    <w:rsid w:val="007E189D"/>
    <w:rsid w:val="007F0210"/>
    <w:rsid w:val="00806E3F"/>
    <w:rsid w:val="00811259"/>
    <w:rsid w:val="00813AA2"/>
    <w:rsid w:val="008173A3"/>
    <w:rsid w:val="008418F5"/>
    <w:rsid w:val="0086059C"/>
    <w:rsid w:val="00864589"/>
    <w:rsid w:val="00874C82"/>
    <w:rsid w:val="00890AFB"/>
    <w:rsid w:val="00890FC4"/>
    <w:rsid w:val="00895905"/>
    <w:rsid w:val="008F64AD"/>
    <w:rsid w:val="00911230"/>
    <w:rsid w:val="00911867"/>
    <w:rsid w:val="009164A9"/>
    <w:rsid w:val="009258CB"/>
    <w:rsid w:val="0093362E"/>
    <w:rsid w:val="00944563"/>
    <w:rsid w:val="00953160"/>
    <w:rsid w:val="009625D8"/>
    <w:rsid w:val="0098459B"/>
    <w:rsid w:val="00997185"/>
    <w:rsid w:val="009C2458"/>
    <w:rsid w:val="009C4A7B"/>
    <w:rsid w:val="009C6123"/>
    <w:rsid w:val="009F1E3E"/>
    <w:rsid w:val="00A1213C"/>
    <w:rsid w:val="00A13406"/>
    <w:rsid w:val="00A272FF"/>
    <w:rsid w:val="00A5354B"/>
    <w:rsid w:val="00A71B57"/>
    <w:rsid w:val="00AB42C1"/>
    <w:rsid w:val="00AC516F"/>
    <w:rsid w:val="00AE195F"/>
    <w:rsid w:val="00AE2926"/>
    <w:rsid w:val="00B0184B"/>
    <w:rsid w:val="00B035CD"/>
    <w:rsid w:val="00B04B57"/>
    <w:rsid w:val="00B0769D"/>
    <w:rsid w:val="00B217F8"/>
    <w:rsid w:val="00B332EA"/>
    <w:rsid w:val="00B40A53"/>
    <w:rsid w:val="00B45365"/>
    <w:rsid w:val="00B46A65"/>
    <w:rsid w:val="00B60184"/>
    <w:rsid w:val="00B62D20"/>
    <w:rsid w:val="00B81E75"/>
    <w:rsid w:val="00B93453"/>
    <w:rsid w:val="00B9445B"/>
    <w:rsid w:val="00BA7078"/>
    <w:rsid w:val="00BD0954"/>
    <w:rsid w:val="00BD1A5A"/>
    <w:rsid w:val="00BD7A9B"/>
    <w:rsid w:val="00BD7BE1"/>
    <w:rsid w:val="00BF416B"/>
    <w:rsid w:val="00C06509"/>
    <w:rsid w:val="00C45EB2"/>
    <w:rsid w:val="00C64E4E"/>
    <w:rsid w:val="00C66E64"/>
    <w:rsid w:val="00C761A0"/>
    <w:rsid w:val="00C85F7E"/>
    <w:rsid w:val="00C90D53"/>
    <w:rsid w:val="00CA0B2E"/>
    <w:rsid w:val="00CA6EF7"/>
    <w:rsid w:val="00CD47F0"/>
    <w:rsid w:val="00CD5566"/>
    <w:rsid w:val="00CD64D7"/>
    <w:rsid w:val="00CE6F22"/>
    <w:rsid w:val="00CF41F6"/>
    <w:rsid w:val="00CF7D3E"/>
    <w:rsid w:val="00D02B4E"/>
    <w:rsid w:val="00D21F11"/>
    <w:rsid w:val="00D36817"/>
    <w:rsid w:val="00D453EE"/>
    <w:rsid w:val="00D5666C"/>
    <w:rsid w:val="00D666BC"/>
    <w:rsid w:val="00D83542"/>
    <w:rsid w:val="00D92F45"/>
    <w:rsid w:val="00D94637"/>
    <w:rsid w:val="00D9725C"/>
    <w:rsid w:val="00DA0E66"/>
    <w:rsid w:val="00DA7006"/>
    <w:rsid w:val="00DB3621"/>
    <w:rsid w:val="00DB6B5A"/>
    <w:rsid w:val="00DC6427"/>
    <w:rsid w:val="00DD62F5"/>
    <w:rsid w:val="00DD66A1"/>
    <w:rsid w:val="00DE196D"/>
    <w:rsid w:val="00DE6650"/>
    <w:rsid w:val="00DF6B49"/>
    <w:rsid w:val="00E01870"/>
    <w:rsid w:val="00E067C5"/>
    <w:rsid w:val="00E24D59"/>
    <w:rsid w:val="00E265BF"/>
    <w:rsid w:val="00E34C96"/>
    <w:rsid w:val="00E378D8"/>
    <w:rsid w:val="00E43A12"/>
    <w:rsid w:val="00E67C67"/>
    <w:rsid w:val="00E77476"/>
    <w:rsid w:val="00E8228B"/>
    <w:rsid w:val="00EE5706"/>
    <w:rsid w:val="00EF373D"/>
    <w:rsid w:val="00F11595"/>
    <w:rsid w:val="00F13BC9"/>
    <w:rsid w:val="00F357B2"/>
    <w:rsid w:val="00F36556"/>
    <w:rsid w:val="00F6736A"/>
    <w:rsid w:val="00F705DF"/>
    <w:rsid w:val="00F70622"/>
    <w:rsid w:val="00F85624"/>
    <w:rsid w:val="00F87C05"/>
    <w:rsid w:val="00F93191"/>
    <w:rsid w:val="00F93A17"/>
    <w:rsid w:val="00FA2AF6"/>
    <w:rsid w:val="00FB073D"/>
    <w:rsid w:val="00FB771F"/>
    <w:rsid w:val="00FC5386"/>
    <w:rsid w:val="03AE1900"/>
    <w:rsid w:val="047C6D70"/>
    <w:rsid w:val="04B117F8"/>
    <w:rsid w:val="06D2239F"/>
    <w:rsid w:val="08E73603"/>
    <w:rsid w:val="0AB804FA"/>
    <w:rsid w:val="0BED582C"/>
    <w:rsid w:val="0E602A60"/>
    <w:rsid w:val="10172F25"/>
    <w:rsid w:val="10DB4913"/>
    <w:rsid w:val="13664130"/>
    <w:rsid w:val="15E1324A"/>
    <w:rsid w:val="161377E5"/>
    <w:rsid w:val="16C1557E"/>
    <w:rsid w:val="16C94348"/>
    <w:rsid w:val="17463704"/>
    <w:rsid w:val="19832A42"/>
    <w:rsid w:val="19947199"/>
    <w:rsid w:val="19A063F1"/>
    <w:rsid w:val="1A853C38"/>
    <w:rsid w:val="1AAF0899"/>
    <w:rsid w:val="1C9157F8"/>
    <w:rsid w:val="1D0E493F"/>
    <w:rsid w:val="1D332A2E"/>
    <w:rsid w:val="1ECF5F36"/>
    <w:rsid w:val="208131E0"/>
    <w:rsid w:val="20EB1A8B"/>
    <w:rsid w:val="21AA2538"/>
    <w:rsid w:val="2277715E"/>
    <w:rsid w:val="24963975"/>
    <w:rsid w:val="24FE536E"/>
    <w:rsid w:val="25BE76BC"/>
    <w:rsid w:val="26B87516"/>
    <w:rsid w:val="281178FD"/>
    <w:rsid w:val="28491B06"/>
    <w:rsid w:val="28D75C72"/>
    <w:rsid w:val="29F43690"/>
    <w:rsid w:val="2A2C74BF"/>
    <w:rsid w:val="2AB9306E"/>
    <w:rsid w:val="2AF100DF"/>
    <w:rsid w:val="2CFE2CF4"/>
    <w:rsid w:val="2E725FDC"/>
    <w:rsid w:val="30296AF6"/>
    <w:rsid w:val="30567BE4"/>
    <w:rsid w:val="306058C5"/>
    <w:rsid w:val="33BA2176"/>
    <w:rsid w:val="34FF745B"/>
    <w:rsid w:val="368A16D1"/>
    <w:rsid w:val="386B727B"/>
    <w:rsid w:val="3872263A"/>
    <w:rsid w:val="38F427C4"/>
    <w:rsid w:val="39112A59"/>
    <w:rsid w:val="3AC9498B"/>
    <w:rsid w:val="3B7665A9"/>
    <w:rsid w:val="3BFD634E"/>
    <w:rsid w:val="3D920213"/>
    <w:rsid w:val="3F9D1F6A"/>
    <w:rsid w:val="402143A6"/>
    <w:rsid w:val="41281AE7"/>
    <w:rsid w:val="425F56E6"/>
    <w:rsid w:val="43372AD6"/>
    <w:rsid w:val="435030E7"/>
    <w:rsid w:val="438C2802"/>
    <w:rsid w:val="444035EC"/>
    <w:rsid w:val="44E159D1"/>
    <w:rsid w:val="45AC10A1"/>
    <w:rsid w:val="462D194E"/>
    <w:rsid w:val="4A426A3E"/>
    <w:rsid w:val="4F644633"/>
    <w:rsid w:val="504768A3"/>
    <w:rsid w:val="51C07B1A"/>
    <w:rsid w:val="52CD24EF"/>
    <w:rsid w:val="52F51C56"/>
    <w:rsid w:val="583A2A5A"/>
    <w:rsid w:val="58934CED"/>
    <w:rsid w:val="58A61981"/>
    <w:rsid w:val="5BAF3143"/>
    <w:rsid w:val="5C553121"/>
    <w:rsid w:val="5D7B4BA8"/>
    <w:rsid w:val="60196D73"/>
    <w:rsid w:val="611F0DC5"/>
    <w:rsid w:val="61A60708"/>
    <w:rsid w:val="61D27B22"/>
    <w:rsid w:val="627750FB"/>
    <w:rsid w:val="63F06E23"/>
    <w:rsid w:val="654636F6"/>
    <w:rsid w:val="680F2F60"/>
    <w:rsid w:val="68633281"/>
    <w:rsid w:val="69981DC2"/>
    <w:rsid w:val="6A915462"/>
    <w:rsid w:val="6B105217"/>
    <w:rsid w:val="6B211B7E"/>
    <w:rsid w:val="6BB6608B"/>
    <w:rsid w:val="6BD04D16"/>
    <w:rsid w:val="6C0C3C30"/>
    <w:rsid w:val="6C3E1CD1"/>
    <w:rsid w:val="6C6A4304"/>
    <w:rsid w:val="71400032"/>
    <w:rsid w:val="71A566B9"/>
    <w:rsid w:val="74123DAE"/>
    <w:rsid w:val="75A2558A"/>
    <w:rsid w:val="77660698"/>
    <w:rsid w:val="77795190"/>
    <w:rsid w:val="78256AD9"/>
    <w:rsid w:val="78381F99"/>
    <w:rsid w:val="7B610453"/>
    <w:rsid w:val="7ECA327E"/>
    <w:rsid w:val="7FFF7D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65BA12"/>
  <w15:docId w15:val="{E24D5773-055F-466C-A362-583C7BFDD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unhideWhenUsed="1"/>
    <w:lsdException w:name="header" w:uiPriority="99" w:qFormat="1"/>
    <w:lsdException w:name="footer" w:qFormat="1"/>
    <w:lsdException w:name="index heading" w:semiHidden="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qFormat="1"/>
    <w:lsdException w:name="page number" w:qFormat="1"/>
    <w:lsdException w:name="endnote reference" w:semiHidden="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link w:val="Heading1Char"/>
    <w:qFormat/>
    <w:pPr>
      <w:keepNext/>
      <w:keepLines/>
      <w:spacing w:before="480"/>
      <w:ind w:left="794" w:hanging="794"/>
      <w:outlineLvl w:val="0"/>
    </w:pPr>
    <w:rPr>
      <w:b/>
      <w:sz w:val="28"/>
    </w:rPr>
  </w:style>
  <w:style w:type="paragraph" w:styleId="Heading2">
    <w:name w:val="heading 2"/>
    <w:basedOn w:val="Heading1"/>
    <w:next w:val="Normal"/>
    <w:link w:val="Heading2Char"/>
    <w:qFormat/>
    <w:pPr>
      <w:spacing w:before="320"/>
      <w:outlineLvl w:val="1"/>
    </w:pPr>
    <w:rPr>
      <w:sz w:val="24"/>
    </w:rPr>
  </w:style>
  <w:style w:type="paragraph" w:styleId="Heading3">
    <w:name w:val="heading 3"/>
    <w:basedOn w:val="Heading1"/>
    <w:next w:val="Normal"/>
    <w:qFormat/>
    <w:pPr>
      <w:spacing w:before="200"/>
      <w:ind w:left="0" w:firstLine="0"/>
      <w:outlineLvl w:val="2"/>
    </w:pPr>
    <w:rPr>
      <w:i/>
      <w:sz w:val="24"/>
    </w:rPr>
  </w:style>
  <w:style w:type="paragraph" w:styleId="Heading4">
    <w:name w:val="heading 4"/>
    <w:basedOn w:val="Heading3"/>
    <w:next w:val="Normal"/>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semiHidden/>
    <w:qFormat/>
  </w:style>
  <w:style w:type="paragraph" w:styleId="TOC4">
    <w:name w:val="toc 4"/>
    <w:basedOn w:val="TOC3"/>
    <w:semiHidden/>
    <w:qFormat/>
    <w:pPr>
      <w:spacing w:before="80"/>
    </w:pPr>
  </w:style>
  <w:style w:type="paragraph" w:styleId="TOC3">
    <w:name w:val="toc 3"/>
    <w:basedOn w:val="TOC2"/>
    <w:semiHidden/>
    <w:qFormat/>
  </w:style>
  <w:style w:type="paragraph" w:styleId="TOC2">
    <w:name w:val="toc 2"/>
    <w:basedOn w:val="TOC1"/>
    <w:semiHidden/>
    <w:qFormat/>
    <w:pPr>
      <w:spacing w:before="160"/>
    </w:pPr>
  </w:style>
  <w:style w:type="paragraph" w:styleId="TOC1">
    <w:name w:val="toc 1"/>
    <w:basedOn w:val="Normal"/>
    <w:semiHidden/>
    <w:qFormat/>
    <w:pPr>
      <w:keepLines/>
      <w:tabs>
        <w:tab w:val="clear" w:pos="794"/>
        <w:tab w:val="clear" w:pos="1191"/>
        <w:tab w:val="clear" w:pos="1588"/>
        <w:tab w:val="clear" w:pos="1985"/>
        <w:tab w:val="left" w:leader="dot" w:pos="7938"/>
        <w:tab w:val="center" w:pos="8789"/>
      </w:tabs>
      <w:spacing w:before="240"/>
      <w:ind w:left="567" w:hanging="567"/>
    </w:pPr>
  </w:style>
  <w:style w:type="paragraph" w:styleId="NormalIndent">
    <w:name w:val="Normal Indent"/>
    <w:basedOn w:val="Normal"/>
    <w:qFormat/>
    <w:pPr>
      <w:ind w:left="794"/>
    </w:pPr>
  </w:style>
  <w:style w:type="paragraph" w:styleId="Index5">
    <w:name w:val="index 5"/>
    <w:basedOn w:val="Normal"/>
    <w:next w:val="Normal"/>
    <w:semiHidden/>
    <w:qFormat/>
    <w:pPr>
      <w:ind w:left="1132"/>
    </w:pPr>
  </w:style>
  <w:style w:type="paragraph" w:styleId="Index6">
    <w:name w:val="index 6"/>
    <w:basedOn w:val="Normal"/>
    <w:next w:val="Normal"/>
    <w:semiHidden/>
    <w:qFormat/>
    <w:pPr>
      <w:ind w:left="1415"/>
    </w:pPr>
  </w:style>
  <w:style w:type="paragraph" w:styleId="Index4">
    <w:name w:val="index 4"/>
    <w:basedOn w:val="Normal"/>
    <w:next w:val="Normal"/>
    <w:semiHidden/>
    <w:qFormat/>
    <w:pPr>
      <w:ind w:left="849"/>
    </w:pPr>
  </w:style>
  <w:style w:type="paragraph" w:styleId="TOC5">
    <w:name w:val="toc 5"/>
    <w:basedOn w:val="TOC4"/>
    <w:semiHidden/>
    <w:qFormat/>
  </w:style>
  <w:style w:type="paragraph" w:styleId="TOC8">
    <w:name w:val="toc 8"/>
    <w:basedOn w:val="TOC4"/>
    <w:semiHidden/>
    <w:qFormat/>
  </w:style>
  <w:style w:type="paragraph" w:styleId="Index3">
    <w:name w:val="index 3"/>
    <w:basedOn w:val="Normal"/>
    <w:next w:val="Normal"/>
    <w:semiHidden/>
    <w:qFormat/>
    <w:pPr>
      <w:ind w:left="566"/>
    </w:pPr>
  </w:style>
  <w:style w:type="paragraph" w:styleId="Footer">
    <w:name w:val="footer"/>
    <w:basedOn w:val="Normal"/>
    <w:link w:val="FooterChar"/>
    <w:qFormat/>
    <w:pPr>
      <w:tabs>
        <w:tab w:val="clear" w:pos="794"/>
        <w:tab w:val="clear" w:pos="1191"/>
        <w:tab w:val="clear" w:pos="1588"/>
        <w:tab w:val="clear" w:pos="1985"/>
        <w:tab w:val="left" w:pos="5954"/>
        <w:tab w:val="right" w:pos="9639"/>
      </w:tabs>
      <w:spacing w:before="0"/>
    </w:pPr>
    <w:rPr>
      <w:caps/>
      <w:sz w:val="16"/>
      <w:lang w:val="fr-FR"/>
    </w:rPr>
  </w:style>
  <w:style w:type="paragraph" w:styleId="Header">
    <w:name w:val="header"/>
    <w:basedOn w:val="Normal"/>
    <w:link w:val="HeaderChar"/>
    <w:uiPriority w:val="99"/>
    <w:qFormat/>
    <w:pPr>
      <w:tabs>
        <w:tab w:val="clear" w:pos="794"/>
        <w:tab w:val="clear" w:pos="1191"/>
        <w:tab w:val="clear" w:pos="1588"/>
        <w:tab w:val="clear" w:pos="1985"/>
      </w:tabs>
      <w:spacing w:before="0"/>
      <w:jc w:val="center"/>
    </w:pPr>
    <w:rPr>
      <w:sz w:val="18"/>
      <w:lang w:val="fr-FR"/>
    </w:rPr>
  </w:style>
  <w:style w:type="paragraph" w:styleId="IndexHeading">
    <w:name w:val="index heading"/>
    <w:basedOn w:val="Normal"/>
    <w:next w:val="Index1"/>
    <w:semiHidden/>
    <w:qFormat/>
  </w:style>
  <w:style w:type="paragraph" w:styleId="Index1">
    <w:name w:val="index 1"/>
    <w:basedOn w:val="Normal"/>
    <w:next w:val="Normal"/>
    <w:semiHidden/>
    <w:qFormat/>
  </w:style>
  <w:style w:type="paragraph" w:styleId="List">
    <w:name w:val="List"/>
    <w:basedOn w:val="Normal"/>
    <w:qFormat/>
    <w:pPr>
      <w:tabs>
        <w:tab w:val="clear" w:pos="794"/>
        <w:tab w:val="clear" w:pos="1191"/>
        <w:tab w:val="clear" w:pos="1588"/>
        <w:tab w:val="clear" w:pos="1985"/>
        <w:tab w:val="left" w:pos="1701"/>
        <w:tab w:val="left" w:pos="2127"/>
      </w:tabs>
      <w:ind w:left="2127" w:hanging="2127"/>
    </w:pPr>
  </w:style>
  <w:style w:type="paragraph" w:styleId="FootnoteText">
    <w:name w:val="footnote text"/>
    <w:basedOn w:val="Normal"/>
    <w:link w:val="FootnoteTextChar"/>
    <w:semiHidden/>
    <w:qFormat/>
    <w:pPr>
      <w:keepLines/>
      <w:tabs>
        <w:tab w:val="left" w:pos="255"/>
      </w:tabs>
      <w:ind w:left="255" w:hanging="255"/>
    </w:pPr>
  </w:style>
  <w:style w:type="paragraph" w:styleId="TOC6">
    <w:name w:val="toc 6"/>
    <w:basedOn w:val="TOC4"/>
    <w:semiHidden/>
    <w:qFormat/>
  </w:style>
  <w:style w:type="paragraph" w:styleId="BodyTextIndent3">
    <w:name w:val="Body Text Indent 3"/>
    <w:basedOn w:val="Normal"/>
    <w:link w:val="BodyTextIndent3Char"/>
    <w:qFormat/>
    <w:pPr>
      <w:spacing w:before="0"/>
      <w:ind w:firstLine="601"/>
      <w:textAlignment w:val="auto"/>
    </w:pPr>
    <w:rPr>
      <w:sz w:val="22"/>
      <w:lang w:val="fr-FR" w:eastAsia="zh-CN"/>
    </w:rPr>
  </w:style>
  <w:style w:type="paragraph" w:styleId="Index7">
    <w:name w:val="index 7"/>
    <w:basedOn w:val="Normal"/>
    <w:next w:val="Normal"/>
    <w:semiHidden/>
    <w:qFormat/>
    <w:pPr>
      <w:ind w:left="1698"/>
    </w:pPr>
  </w:style>
  <w:style w:type="paragraph" w:styleId="TOC9">
    <w:name w:val="toc 9"/>
    <w:basedOn w:val="TOC4"/>
    <w:semiHidden/>
    <w:qFormat/>
  </w:style>
  <w:style w:type="paragraph" w:styleId="Index2">
    <w:name w:val="index 2"/>
    <w:basedOn w:val="Normal"/>
    <w:next w:val="Normal"/>
    <w:semiHidden/>
    <w:qFormat/>
    <w:pPr>
      <w:ind w:left="283"/>
    </w:pPr>
  </w:style>
  <w:style w:type="table" w:styleId="TableGrid">
    <w:name w:val="Table Grid"/>
    <w:basedOn w:val="TableNormal"/>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semiHidden/>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rFonts w:ascii="Calibri" w:hAnsi="Calibri"/>
      <w:color w:val="800080"/>
      <w:u w:val="single"/>
    </w:rPr>
  </w:style>
  <w:style w:type="character" w:styleId="LineNumber">
    <w:name w:val="line number"/>
    <w:basedOn w:val="DefaultParagraphFont"/>
    <w:qFormat/>
  </w:style>
  <w:style w:type="character" w:styleId="Hyperlink">
    <w:name w:val="Hyperlink"/>
    <w:basedOn w:val="DefaultParagraphFont"/>
    <w:qFormat/>
    <w:rPr>
      <w:rFonts w:eastAsia="Times New Roman"/>
      <w:color w:val="4F81BD" w:themeColor="accent1"/>
    </w:rPr>
  </w:style>
  <w:style w:type="character" w:styleId="FootnoteReference">
    <w:name w:val="footnote reference"/>
    <w:basedOn w:val="DefaultParagraphFont"/>
    <w:semiHidden/>
    <w:qFormat/>
    <w:rPr>
      <w:position w:val="6"/>
      <w:sz w:val="18"/>
    </w:rPr>
  </w:style>
  <w:style w:type="paragraph" w:customStyle="1" w:styleId="enumlev1">
    <w:name w:val="enumlev1"/>
    <w:basedOn w:val="Normal"/>
    <w:qFormat/>
    <w:pPr>
      <w:tabs>
        <w:tab w:val="left" w:pos="2608"/>
        <w:tab w:val="left" w:pos="3345"/>
      </w:tabs>
      <w:spacing w:before="80"/>
      <w:ind w:left="794" w:hanging="794"/>
    </w:pPr>
  </w:style>
  <w:style w:type="paragraph" w:customStyle="1" w:styleId="enumlev2">
    <w:name w:val="enumlev2"/>
    <w:basedOn w:val="enumlev1"/>
    <w:qFormat/>
    <w:pPr>
      <w:ind w:left="1191" w:hanging="397"/>
    </w:pPr>
  </w:style>
  <w:style w:type="paragraph" w:customStyle="1" w:styleId="enumlev3">
    <w:name w:val="enumlev3"/>
    <w:basedOn w:val="enumlev2"/>
    <w:qFormat/>
    <w:pPr>
      <w:ind w:left="1588"/>
    </w:pPr>
  </w:style>
  <w:style w:type="paragraph" w:customStyle="1" w:styleId="Normalaftertitle">
    <w:name w:val="Normal after title"/>
    <w:basedOn w:val="Normal"/>
    <w:next w:val="Normal"/>
    <w:link w:val="NormalaftertitleChar"/>
    <w:qFormat/>
    <w:pPr>
      <w:spacing w:before="320"/>
    </w:pPr>
  </w:style>
  <w:style w:type="paragraph" w:customStyle="1" w:styleId="Equation">
    <w:name w:val="Equation"/>
    <w:basedOn w:val="Normal"/>
    <w:qFormat/>
    <w:pPr>
      <w:tabs>
        <w:tab w:val="clear" w:pos="1191"/>
        <w:tab w:val="clear" w:pos="1588"/>
        <w:tab w:val="clear" w:pos="1985"/>
        <w:tab w:val="center" w:pos="4820"/>
        <w:tab w:val="right" w:pos="9639"/>
      </w:tabs>
    </w:pPr>
  </w:style>
  <w:style w:type="paragraph" w:customStyle="1" w:styleId="Head">
    <w:name w:val="Head"/>
    <w:basedOn w:val="Normal"/>
    <w:qFormat/>
    <w:pPr>
      <w:tabs>
        <w:tab w:val="left" w:pos="6663"/>
      </w:tabs>
      <w:overflowPunct/>
      <w:autoSpaceDE/>
      <w:autoSpaceDN/>
      <w:adjustRightInd/>
      <w:spacing w:before="0"/>
      <w:textAlignment w:val="auto"/>
    </w:pPr>
  </w:style>
  <w:style w:type="paragraph" w:customStyle="1" w:styleId="toc0">
    <w:name w:val="toc 0"/>
    <w:basedOn w:val="Normal"/>
    <w:next w:val="TOC1"/>
    <w:qFormat/>
    <w:pPr>
      <w:tabs>
        <w:tab w:val="clear" w:pos="1191"/>
        <w:tab w:val="clear" w:pos="1588"/>
        <w:tab w:val="clear" w:pos="1985"/>
        <w:tab w:val="center" w:pos="8789"/>
      </w:tabs>
    </w:pPr>
    <w:rPr>
      <w:b/>
    </w:rPr>
  </w:style>
  <w:style w:type="paragraph" w:customStyle="1" w:styleId="Part">
    <w:name w:val="Part"/>
    <w:basedOn w:val="Normal"/>
    <w:qFormat/>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qFormat/>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qFormat/>
    <w:pPr>
      <w:spacing w:before="480"/>
      <w:jc w:val="center"/>
    </w:pPr>
    <w:rPr>
      <w:b/>
      <w:sz w:val="28"/>
    </w:rPr>
  </w:style>
  <w:style w:type="paragraph" w:customStyle="1" w:styleId="meeting">
    <w:name w:val="meeting"/>
    <w:basedOn w:val="Head"/>
    <w:next w:val="Head"/>
    <w:qFormat/>
    <w:pPr>
      <w:tabs>
        <w:tab w:val="left" w:pos="7371"/>
      </w:tabs>
      <w:spacing w:after="567"/>
    </w:pPr>
  </w:style>
  <w:style w:type="paragraph" w:customStyle="1" w:styleId="Subject">
    <w:name w:val="Subject"/>
    <w:basedOn w:val="Normal"/>
    <w:next w:val="Source"/>
    <w:qFormat/>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qFormat/>
  </w:style>
  <w:style w:type="paragraph" w:customStyle="1" w:styleId="Data">
    <w:name w:val="Data"/>
    <w:basedOn w:val="Subject"/>
    <w:next w:val="Subject"/>
    <w:qFormat/>
  </w:style>
  <w:style w:type="paragraph" w:customStyle="1" w:styleId="Reasons">
    <w:name w:val="Reasons"/>
    <w:basedOn w:val="Normal"/>
    <w:qFormat/>
    <w:pPr>
      <w:tabs>
        <w:tab w:val="clear" w:pos="794"/>
        <w:tab w:val="clear" w:pos="1191"/>
        <w:tab w:val="clear" w:pos="1588"/>
        <w:tab w:val="clear" w:pos="1985"/>
        <w:tab w:val="left" w:pos="567"/>
        <w:tab w:val="left" w:pos="1134"/>
        <w:tab w:val="left" w:pos="1701"/>
        <w:tab w:val="left" w:pos="2268"/>
        <w:tab w:val="left" w:pos="2835"/>
      </w:tabs>
    </w:pPr>
  </w:style>
  <w:style w:type="paragraph" w:customStyle="1" w:styleId="FirstFooter">
    <w:name w:val="FirstFooter"/>
    <w:basedOn w:val="Footer"/>
    <w:qFormat/>
    <w:pPr>
      <w:tabs>
        <w:tab w:val="clear" w:pos="5954"/>
        <w:tab w:val="clear" w:pos="9639"/>
      </w:tabs>
      <w:overflowPunct/>
      <w:autoSpaceDE/>
      <w:autoSpaceDN/>
      <w:adjustRightInd/>
      <w:spacing w:before="40"/>
      <w:textAlignment w:val="auto"/>
    </w:pPr>
    <w:rPr>
      <w:caps w:val="0"/>
    </w:rPr>
  </w:style>
  <w:style w:type="paragraph" w:customStyle="1" w:styleId="Note">
    <w:name w:val="Note"/>
    <w:basedOn w:val="Normal"/>
    <w:qFormat/>
    <w:pPr>
      <w:tabs>
        <w:tab w:val="clear" w:pos="794"/>
        <w:tab w:val="clear" w:pos="1191"/>
        <w:tab w:val="clear" w:pos="1588"/>
        <w:tab w:val="clear" w:pos="1985"/>
      </w:tabs>
      <w:spacing w:before="80"/>
    </w:pPr>
  </w:style>
  <w:style w:type="paragraph" w:customStyle="1" w:styleId="Headingb">
    <w:name w:val="Heading_b"/>
    <w:basedOn w:val="Heading3"/>
    <w:next w:val="Normal"/>
    <w:qFormat/>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paragraph" w:customStyle="1" w:styleId="Title1">
    <w:name w:val="Title 1"/>
    <w:basedOn w:val="Source"/>
    <w:next w:val="Title2"/>
    <w:qFormat/>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qFormat/>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qFormat/>
    <w:pPr>
      <w:spacing w:before="240"/>
    </w:pPr>
    <w:rPr>
      <w:caps w:val="0"/>
    </w:rPr>
  </w:style>
  <w:style w:type="paragraph" w:customStyle="1" w:styleId="Title4">
    <w:name w:val="Title 4"/>
    <w:basedOn w:val="Title3"/>
    <w:next w:val="Heading1"/>
    <w:qFormat/>
    <w:rPr>
      <w:b/>
    </w:rPr>
  </w:style>
  <w:style w:type="paragraph" w:customStyle="1" w:styleId="dnum">
    <w:name w:val="dnum"/>
    <w:basedOn w:val="Normal"/>
    <w:qFormat/>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qFormat/>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qFormat/>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qFormat/>
    <w:pPr>
      <w:keepNext/>
      <w:keepLines/>
      <w:spacing w:before="480" w:after="80"/>
      <w:jc w:val="center"/>
    </w:pPr>
    <w:rPr>
      <w:caps/>
      <w:sz w:val="28"/>
    </w:rPr>
  </w:style>
  <w:style w:type="paragraph" w:customStyle="1" w:styleId="Annextitle">
    <w:name w:val="Annex_title"/>
    <w:basedOn w:val="Normal"/>
    <w:next w:val="Annexref"/>
    <w:link w:val="AnnextitleChar"/>
    <w:qFormat/>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qFormat/>
    <w:pPr>
      <w:keepNext/>
      <w:keepLines/>
      <w:spacing w:after="280"/>
      <w:jc w:val="center"/>
    </w:pPr>
  </w:style>
  <w:style w:type="paragraph" w:customStyle="1" w:styleId="AppendixNo">
    <w:name w:val="Appendix_No"/>
    <w:basedOn w:val="AnnexNo"/>
    <w:next w:val="Appendixtitle"/>
    <w:qFormat/>
  </w:style>
  <w:style w:type="paragraph" w:customStyle="1" w:styleId="Appendixtitle">
    <w:name w:val="Appendix_title"/>
    <w:basedOn w:val="Annextitle"/>
    <w:next w:val="Appendixref"/>
    <w:qFormat/>
  </w:style>
  <w:style w:type="paragraph" w:customStyle="1" w:styleId="Appendixref">
    <w:name w:val="Appendix_ref"/>
    <w:basedOn w:val="Annexref"/>
    <w:next w:val="Normalaftertitle"/>
    <w:qFormat/>
  </w:style>
  <w:style w:type="paragraph" w:customStyle="1" w:styleId="Call">
    <w:name w:val="Call"/>
    <w:basedOn w:val="Normal"/>
    <w:next w:val="Normal"/>
    <w:link w:val="CallChar"/>
    <w:qFormat/>
    <w:pPr>
      <w:keepNext/>
      <w:keepLines/>
      <w:spacing w:before="160"/>
      <w:ind w:left="794"/>
    </w:pPr>
    <w:rPr>
      <w:rFonts w:ascii="STKaiti" w:hAnsi="STKaiti"/>
    </w:rPr>
  </w:style>
  <w:style w:type="paragraph" w:customStyle="1" w:styleId="Equationlegend">
    <w:name w:val="Equation_legend"/>
    <w:basedOn w:val="Normal"/>
    <w:qFormat/>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qFormat/>
    <w:pPr>
      <w:keepNext/>
      <w:keepLines/>
      <w:spacing w:after="120"/>
      <w:jc w:val="center"/>
    </w:pPr>
  </w:style>
  <w:style w:type="paragraph" w:customStyle="1" w:styleId="Figuretitle">
    <w:name w:val="Figure_title"/>
    <w:basedOn w:val="Tabletitle"/>
    <w:next w:val="Normalaftertitle"/>
    <w:qFormat/>
    <w:pPr>
      <w:spacing w:before="240" w:after="480"/>
    </w:pPr>
    <w:rPr>
      <w:rFonts w:ascii="Calibri" w:hAnsi="Calibri"/>
    </w:rPr>
  </w:style>
  <w:style w:type="paragraph" w:customStyle="1" w:styleId="Tabletitle">
    <w:name w:val="Table_title"/>
    <w:basedOn w:val="TableNo"/>
    <w:next w:val="Tabletext"/>
    <w:qFormat/>
    <w:pPr>
      <w:spacing w:before="0"/>
    </w:pPr>
    <w:rPr>
      <w:rFonts w:ascii="Times New Roman Bold" w:hAnsi="Times New Roman Bold"/>
      <w:b/>
      <w:caps w:val="0"/>
    </w:rPr>
  </w:style>
  <w:style w:type="paragraph" w:customStyle="1" w:styleId="TableNo">
    <w:name w:val="Table_No"/>
    <w:basedOn w:val="Normal"/>
    <w:next w:val="Tabletitle"/>
    <w:qFormat/>
    <w:pPr>
      <w:keepNext/>
      <w:spacing w:before="360" w:after="120"/>
      <w:jc w:val="center"/>
    </w:pPr>
    <w:rPr>
      <w:caps/>
    </w:rPr>
  </w:style>
  <w:style w:type="paragraph" w:customStyle="1" w:styleId="Tabletext">
    <w:name w:val="Table_text"/>
    <w:basedOn w:val="Normal"/>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qFormat/>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qFormat/>
    <w:pPr>
      <w:keepNext/>
      <w:keepLines/>
      <w:spacing w:before="240" w:after="120"/>
      <w:jc w:val="center"/>
    </w:pPr>
    <w:rPr>
      <w:caps/>
    </w:rPr>
  </w:style>
  <w:style w:type="paragraph" w:customStyle="1" w:styleId="Figurewithouttitle">
    <w:name w:val="Figure_without_title"/>
    <w:basedOn w:val="Figure"/>
    <w:next w:val="Normalaftertitle"/>
    <w:qFormat/>
    <w:pPr>
      <w:keepNext w:val="0"/>
      <w:spacing w:after="240"/>
    </w:pPr>
  </w:style>
  <w:style w:type="paragraph" w:customStyle="1" w:styleId="Headingi">
    <w:name w:val="Heading_i"/>
    <w:basedOn w:val="Heading3"/>
    <w:next w:val="Normal"/>
    <w:qFormat/>
    <w:pPr>
      <w:spacing w:before="160"/>
    </w:pPr>
    <w:rPr>
      <w:rFonts w:ascii="STKaiti" w:hAnsi="STKaiti"/>
      <w:b w:val="0"/>
    </w:rPr>
  </w:style>
  <w:style w:type="paragraph" w:customStyle="1" w:styleId="PartNo">
    <w:name w:val="Part_No"/>
    <w:basedOn w:val="AnnexNo"/>
    <w:next w:val="Parttitle"/>
    <w:qFormat/>
  </w:style>
  <w:style w:type="paragraph" w:customStyle="1" w:styleId="Parttitle">
    <w:name w:val="Part_title"/>
    <w:basedOn w:val="Annextitle"/>
    <w:next w:val="Partref"/>
    <w:qFormat/>
    <w:rPr>
      <w:rFonts w:ascii="Calibri" w:hAnsi="Calibri"/>
    </w:rPr>
  </w:style>
  <w:style w:type="paragraph" w:customStyle="1" w:styleId="Partref">
    <w:name w:val="Part_ref"/>
    <w:basedOn w:val="Annexref"/>
    <w:next w:val="Normalaftertitle"/>
    <w:qFormat/>
  </w:style>
  <w:style w:type="paragraph" w:customStyle="1" w:styleId="RecNo">
    <w:name w:val="Rec_No"/>
    <w:basedOn w:val="Normal"/>
    <w:next w:val="Rectitle"/>
    <w:qFormat/>
    <w:pPr>
      <w:keepNext/>
      <w:keepLines/>
      <w:spacing w:before="480"/>
      <w:jc w:val="center"/>
    </w:pPr>
    <w:rPr>
      <w:caps/>
      <w:sz w:val="28"/>
    </w:rPr>
  </w:style>
  <w:style w:type="paragraph" w:customStyle="1" w:styleId="Rectitle">
    <w:name w:val="Rec_title"/>
    <w:basedOn w:val="RecNo"/>
    <w:next w:val="Recref"/>
    <w:qFormat/>
    <w:pPr>
      <w:spacing w:before="240"/>
    </w:pPr>
    <w:rPr>
      <w:b/>
      <w:caps w:val="0"/>
    </w:rPr>
  </w:style>
  <w:style w:type="paragraph" w:customStyle="1" w:styleId="Recref">
    <w:name w:val="Rec_ref"/>
    <w:basedOn w:val="Rectitle"/>
    <w:next w:val="Recdate"/>
    <w:qFormat/>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qFormat/>
    <w:pPr>
      <w:jc w:val="right"/>
    </w:pPr>
    <w:rPr>
      <w:sz w:val="22"/>
    </w:rPr>
  </w:style>
  <w:style w:type="paragraph" w:customStyle="1" w:styleId="Questiondate">
    <w:name w:val="Question_date"/>
    <w:basedOn w:val="Recdate"/>
    <w:next w:val="Normalaftertitle"/>
    <w:qFormat/>
  </w:style>
  <w:style w:type="paragraph" w:customStyle="1" w:styleId="QuestionNo">
    <w:name w:val="Question_No"/>
    <w:basedOn w:val="RecNo"/>
    <w:next w:val="Questiontitle"/>
    <w:qFormat/>
  </w:style>
  <w:style w:type="paragraph" w:customStyle="1" w:styleId="Questiontitle">
    <w:name w:val="Question_title"/>
    <w:basedOn w:val="Rectitle"/>
    <w:next w:val="Questionref"/>
    <w:qFormat/>
  </w:style>
  <w:style w:type="paragraph" w:customStyle="1" w:styleId="Questionref">
    <w:name w:val="Question_ref"/>
    <w:basedOn w:val="Recref"/>
    <w:next w:val="Questiondate"/>
    <w:qFormat/>
  </w:style>
  <w:style w:type="paragraph" w:customStyle="1" w:styleId="Reftext">
    <w:name w:val="Ref_text"/>
    <w:basedOn w:val="Normal"/>
    <w:qFormat/>
    <w:pPr>
      <w:ind w:left="794" w:hanging="794"/>
    </w:pPr>
  </w:style>
  <w:style w:type="paragraph" w:customStyle="1" w:styleId="Reftitle">
    <w:name w:val="Ref_title"/>
    <w:basedOn w:val="Normal"/>
    <w:next w:val="Reftext"/>
    <w:qFormat/>
    <w:pPr>
      <w:spacing w:before="480"/>
      <w:jc w:val="center"/>
    </w:pPr>
    <w:rPr>
      <w:caps/>
    </w:rPr>
  </w:style>
  <w:style w:type="paragraph" w:customStyle="1" w:styleId="Repdate">
    <w:name w:val="Rep_date"/>
    <w:basedOn w:val="Recdate"/>
    <w:next w:val="Normalaftertitle"/>
    <w:qFormat/>
  </w:style>
  <w:style w:type="paragraph" w:customStyle="1" w:styleId="RepNo">
    <w:name w:val="Rep_No"/>
    <w:basedOn w:val="RecNo"/>
    <w:next w:val="Reptitle"/>
    <w:qFormat/>
  </w:style>
  <w:style w:type="paragraph" w:customStyle="1" w:styleId="Reptitle">
    <w:name w:val="Rep_title"/>
    <w:basedOn w:val="Rectitle"/>
    <w:next w:val="Repref"/>
    <w:qFormat/>
  </w:style>
  <w:style w:type="paragraph" w:customStyle="1" w:styleId="Repref">
    <w:name w:val="Rep_ref"/>
    <w:basedOn w:val="Recref"/>
    <w:next w:val="Repdate"/>
    <w:qFormat/>
  </w:style>
  <w:style w:type="paragraph" w:customStyle="1" w:styleId="Resdate">
    <w:name w:val="Res_date"/>
    <w:basedOn w:val="Recdate"/>
    <w:next w:val="Normalaftertitle"/>
    <w:qFormat/>
  </w:style>
  <w:style w:type="paragraph" w:customStyle="1" w:styleId="ResNo">
    <w:name w:val="Res_No"/>
    <w:basedOn w:val="RecNo"/>
    <w:next w:val="Restitle"/>
    <w:qFormat/>
  </w:style>
  <w:style w:type="paragraph" w:customStyle="1" w:styleId="Restitle">
    <w:name w:val="Res_title"/>
    <w:basedOn w:val="Rectitle"/>
    <w:next w:val="Resref"/>
    <w:qFormat/>
  </w:style>
  <w:style w:type="paragraph" w:customStyle="1" w:styleId="Resref">
    <w:name w:val="Res_ref"/>
    <w:basedOn w:val="Recref"/>
    <w:next w:val="Resdate"/>
    <w:qFormat/>
  </w:style>
  <w:style w:type="paragraph" w:customStyle="1" w:styleId="SectionNo">
    <w:name w:val="Section_No"/>
    <w:basedOn w:val="AnnexNo"/>
    <w:next w:val="Sectiontitle"/>
    <w:qFormat/>
  </w:style>
  <w:style w:type="paragraph" w:customStyle="1" w:styleId="Sectiontitle">
    <w:name w:val="Section_title"/>
    <w:basedOn w:val="Normal"/>
    <w:next w:val="Normalaftertitle"/>
    <w:qFormat/>
    <w:rPr>
      <w:sz w:val="28"/>
    </w:rPr>
  </w:style>
  <w:style w:type="paragraph" w:customStyle="1" w:styleId="SpecialFooter">
    <w:name w:val="Special Footer"/>
    <w:basedOn w:val="Footer"/>
    <w:qFormat/>
    <w:pPr>
      <w:tabs>
        <w:tab w:val="left" w:pos="567"/>
        <w:tab w:val="left" w:pos="1134"/>
        <w:tab w:val="left" w:pos="1701"/>
        <w:tab w:val="left" w:pos="2268"/>
        <w:tab w:val="left" w:pos="2835"/>
      </w:tabs>
      <w:jc w:val="both"/>
    </w:pPr>
    <w:rPr>
      <w:caps w:val="0"/>
    </w:rPr>
  </w:style>
  <w:style w:type="paragraph" w:customStyle="1" w:styleId="Tablehead">
    <w:name w:val="Table_head"/>
    <w:basedOn w:val="Tabletext"/>
    <w:next w:val="Tabletext"/>
    <w:qFormat/>
    <w:pPr>
      <w:keepNext/>
      <w:spacing w:before="80" w:after="80"/>
      <w:jc w:val="center"/>
    </w:pPr>
    <w:rPr>
      <w:b/>
    </w:rPr>
  </w:style>
  <w:style w:type="paragraph" w:customStyle="1" w:styleId="Tablelegend">
    <w:name w:val="Table_legend"/>
    <w:basedOn w:val="Tabletext"/>
    <w:qFormat/>
    <w:pPr>
      <w:spacing w:before="120"/>
    </w:pPr>
  </w:style>
  <w:style w:type="paragraph" w:customStyle="1" w:styleId="Tableref">
    <w:name w:val="Table_ref"/>
    <w:basedOn w:val="Normal"/>
    <w:next w:val="Tabletitle"/>
    <w:qFormat/>
    <w:pPr>
      <w:keepNext/>
      <w:spacing w:before="567"/>
      <w:jc w:val="center"/>
    </w:pPr>
  </w:style>
  <w:style w:type="paragraph" w:customStyle="1" w:styleId="Artheading">
    <w:name w:val="Art_heading"/>
    <w:basedOn w:val="Normal"/>
    <w:next w:val="Normalaftertitle"/>
    <w:qFormat/>
    <w:pPr>
      <w:spacing w:before="480"/>
      <w:jc w:val="center"/>
    </w:pPr>
    <w:rPr>
      <w:rFonts w:ascii="Times New Roman Bold" w:hAnsi="Times New Roman Bold"/>
      <w:b/>
      <w:sz w:val="28"/>
    </w:rPr>
  </w:style>
  <w:style w:type="paragraph" w:customStyle="1" w:styleId="ArtNo">
    <w:name w:val="Art_No"/>
    <w:basedOn w:val="Normal"/>
    <w:next w:val="Normal"/>
    <w:qFormat/>
    <w:pPr>
      <w:keepNext/>
      <w:keepLines/>
      <w:spacing w:before="480"/>
      <w:jc w:val="center"/>
    </w:pPr>
    <w:rPr>
      <w:caps/>
      <w:sz w:val="28"/>
    </w:rPr>
  </w:style>
  <w:style w:type="paragraph" w:customStyle="1" w:styleId="Arttitle">
    <w:name w:val="Art_title"/>
    <w:basedOn w:val="Normal"/>
    <w:next w:val="Normalaftertitle"/>
    <w:qFormat/>
    <w:pPr>
      <w:keepNext/>
      <w:keepLines/>
      <w:spacing w:before="240"/>
      <w:jc w:val="center"/>
    </w:pPr>
    <w:rPr>
      <w:b/>
      <w:sz w:val="28"/>
    </w:rPr>
  </w:style>
  <w:style w:type="paragraph" w:customStyle="1" w:styleId="ChapNo">
    <w:name w:val="Chap_No"/>
    <w:basedOn w:val="ArtNo"/>
    <w:next w:val="Chaptitle"/>
    <w:qFormat/>
    <w:rPr>
      <w:b/>
    </w:rPr>
  </w:style>
  <w:style w:type="paragraph" w:customStyle="1" w:styleId="Chaptitle">
    <w:name w:val="Chap_title"/>
    <w:basedOn w:val="Arttitle"/>
    <w:next w:val="Normalaftertitle"/>
    <w:qFormat/>
  </w:style>
  <w:style w:type="paragraph" w:customStyle="1" w:styleId="NormalCH">
    <w:name w:val="NormalCH"/>
    <w:basedOn w:val="Normal"/>
    <w:next w:val="Normal"/>
    <w:qFormat/>
    <w:pPr>
      <w:ind w:firstLineChars="200" w:firstLine="200"/>
    </w:pPr>
    <w:rPr>
      <w:szCs w:val="19"/>
      <w:lang w:eastAsia="zh-CN"/>
    </w:rPr>
  </w:style>
  <w:style w:type="character" w:customStyle="1" w:styleId="Heading1Char">
    <w:name w:val="Heading 1 Char"/>
    <w:basedOn w:val="DefaultParagraphFont"/>
    <w:link w:val="Heading1"/>
    <w:qFormat/>
    <w:rPr>
      <w:rFonts w:ascii="Calibri" w:hAnsi="Calibri"/>
      <w:b/>
      <w:sz w:val="28"/>
      <w:lang w:val="en-GB" w:eastAsia="en-US"/>
    </w:rPr>
  </w:style>
  <w:style w:type="character" w:customStyle="1" w:styleId="Heading2Char">
    <w:name w:val="Heading 2 Char"/>
    <w:basedOn w:val="DefaultParagraphFont"/>
    <w:link w:val="Heading2"/>
    <w:qFormat/>
    <w:rPr>
      <w:rFonts w:ascii="Calibri" w:hAnsi="Calibri"/>
      <w:b/>
      <w:sz w:val="24"/>
      <w:lang w:val="en-GB" w:eastAsia="en-US"/>
    </w:rPr>
  </w:style>
  <w:style w:type="character" w:customStyle="1" w:styleId="FootnoteTextChar">
    <w:name w:val="Footnote Text Char"/>
    <w:basedOn w:val="DefaultParagraphFont"/>
    <w:link w:val="FootnoteText"/>
    <w:semiHidden/>
    <w:qFormat/>
    <w:rPr>
      <w:rFonts w:ascii="Calibri" w:hAnsi="Calibri"/>
      <w:sz w:val="24"/>
      <w:lang w:val="en-GB" w:eastAsia="en-US"/>
    </w:rPr>
  </w:style>
  <w:style w:type="paragraph" w:styleId="ListParagraph">
    <w:name w:val="List Paragraph"/>
    <w:basedOn w:val="Normal"/>
    <w:uiPriority w:val="34"/>
    <w:qFormat/>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character" w:customStyle="1" w:styleId="NormalaftertitleChar">
    <w:name w:val="Normal after title Char"/>
    <w:link w:val="Normalaftertitle"/>
    <w:qFormat/>
    <w:locked/>
    <w:rPr>
      <w:rFonts w:ascii="Calibri" w:hAnsi="Calibri"/>
      <w:sz w:val="24"/>
      <w:lang w:val="en-GB" w:eastAsia="en-US"/>
    </w:rPr>
  </w:style>
  <w:style w:type="character" w:customStyle="1" w:styleId="CallChar">
    <w:name w:val="Call Char"/>
    <w:basedOn w:val="DefaultParagraphFont"/>
    <w:link w:val="Call"/>
    <w:qFormat/>
    <w:rPr>
      <w:rFonts w:ascii="STKaiti" w:hAnsi="STKaiti"/>
      <w:sz w:val="24"/>
      <w:lang w:val="en-GB" w:eastAsia="en-US"/>
    </w:rPr>
  </w:style>
  <w:style w:type="character" w:customStyle="1" w:styleId="AnnextitleChar">
    <w:name w:val="Annex_title Char"/>
    <w:basedOn w:val="DefaultParagraphFont"/>
    <w:link w:val="Annextitle"/>
    <w:qFormat/>
    <w:locked/>
    <w:rPr>
      <w:rFonts w:ascii="Times New Roman Bold" w:hAnsi="Times New Roman Bold"/>
      <w:b/>
      <w:sz w:val="28"/>
      <w:lang w:val="en-GB" w:eastAsia="en-US"/>
    </w:rPr>
  </w:style>
  <w:style w:type="character" w:customStyle="1" w:styleId="FooterChar">
    <w:name w:val="Footer Char"/>
    <w:basedOn w:val="DefaultParagraphFont"/>
    <w:link w:val="Footer"/>
    <w:qFormat/>
    <w:rPr>
      <w:rFonts w:ascii="Calibri" w:hAnsi="Calibri"/>
      <w:caps/>
      <w:sz w:val="16"/>
      <w:lang w:val="fr-FR" w:eastAsia="en-US"/>
    </w:rPr>
  </w:style>
  <w:style w:type="character" w:customStyle="1" w:styleId="BodyTextIndent3Char">
    <w:name w:val="Body Text Indent 3 Char"/>
    <w:basedOn w:val="DefaultParagraphFont"/>
    <w:link w:val="BodyTextIndent3"/>
    <w:qFormat/>
    <w:rPr>
      <w:rFonts w:ascii="Calibri" w:hAnsi="Calibri"/>
      <w:sz w:val="22"/>
      <w:lang w:val="fr-FR"/>
    </w:rPr>
  </w:style>
  <w:style w:type="character" w:customStyle="1" w:styleId="HeaderChar">
    <w:name w:val="Header Char"/>
    <w:basedOn w:val="DefaultParagraphFont"/>
    <w:link w:val="Header"/>
    <w:uiPriority w:val="99"/>
    <w:qFormat/>
    <w:rPr>
      <w:rFonts w:ascii="Calibri" w:hAnsi="Calibri"/>
      <w:sz w:val="18"/>
      <w:lang w:val="fr-FR" w:eastAsia="en-US"/>
    </w:rPr>
  </w:style>
  <w:style w:type="paragraph" w:customStyle="1" w:styleId="Subtitle">
    <w:name w:val="Sub_title"/>
    <w:basedOn w:val="Title1"/>
    <w:qFormat/>
    <w:pPr>
      <w:framePr w:hSpace="180" w:wrap="around" w:hAnchor="page" w:x="1821" w:y="2317"/>
      <w:spacing w:before="120" w:after="160"/>
      <w:jc w:val="left"/>
    </w:pPr>
    <w:rPr>
      <w:rFonts w:eastAsia="Times New Roman"/>
      <w:caps w:val="0"/>
      <w:sz w:val="34"/>
    </w:rPr>
  </w:style>
  <w:style w:type="character" w:styleId="PlaceholderText">
    <w:name w:val="Placeholder Text"/>
    <w:basedOn w:val="DefaultParagraphFont"/>
    <w:uiPriority w:val="99"/>
    <w:semiHidden/>
    <w:qFormat/>
    <w:rPr>
      <w:color w:val="66666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Revision">
    <w:name w:val="Revision"/>
    <w:hidden/>
    <w:uiPriority w:val="99"/>
    <w:unhideWhenUsed/>
    <w:rsid w:val="005E59C7"/>
    <w:rPr>
      <w:rFonts w:ascii="Calibri" w:hAnsi="Calibri"/>
      <w:sz w:val="24"/>
      <w:lang w:eastAsia="en-US"/>
    </w:rPr>
  </w:style>
  <w:style w:type="character" w:styleId="UnresolvedMention">
    <w:name w:val="Unresolved Mention"/>
    <w:basedOn w:val="DefaultParagraphFont"/>
    <w:uiPriority w:val="99"/>
    <w:semiHidden/>
    <w:unhideWhenUsed/>
    <w:rsid w:val="00E018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tu.int/md/S25-CL-C-0050/e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itu.int/md/S25-CL-C-0069/en" TargetMode="External"/><Relationship Id="rId4" Type="http://schemas.openxmlformats.org/officeDocument/2006/relationships/styles" Target="styles.xml"/><Relationship Id="rId9" Type="http://schemas.openxmlformats.org/officeDocument/2006/relationships/hyperlink" Target="https://www.itu.int/md/S24-CWGFHR19-C-0014/e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4AA1DCC2-6DDC-49CF-B01C-00AB9A2F28B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1005</Words>
  <Characters>1077</Characters>
  <Application>Microsoft Office Word</Application>
  <DocSecurity>0</DocSecurity>
  <Lines>46</Lines>
  <Paragraphs>38</Paragraphs>
  <ScaleCrop>false</ScaleCrop>
  <Manager>GBS</Manager>
  <Company>International Telecommunication Union (ITU)</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ITU Council 2025</dc:subject>
  <cp:keywords>C2025, C25, Council-25</cp:keywords>
  <cp:lastPrinted>2015-02-24T13:23:00Z</cp:lastPrinted>
  <dcterms:created xsi:type="dcterms:W3CDTF">2025-06-03T15:28:00Z</dcterms:created>
  <dcterms:modified xsi:type="dcterms:W3CDTF">2025-06-04T15:17:00Z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GrammarlyDocumentId">
    <vt:lpwstr>c6e9fb3b98c60be3ceca001f06bedd27e80c23e89b99aa0a1c899b80b9af3e8b</vt:lpwstr>
  </property>
  <property fmtid="{D5CDD505-2E9C-101B-9397-08002B2CF9AE}" pid="9" name="KSOProductBuildVer">
    <vt:lpwstr>2052-12.1.0.18276</vt:lpwstr>
  </property>
  <property fmtid="{D5CDD505-2E9C-101B-9397-08002B2CF9AE}" pid="10" name="ICV">
    <vt:lpwstr>2BAAFD3DD3824E438F9B7067D3FEF857_13</vt:lpwstr>
  </property>
  <property fmtid="{D5CDD505-2E9C-101B-9397-08002B2CF9AE}" pid="11" name="KSOTemplateDocerSaveRecord">
    <vt:lpwstr>eyJoZGlkIjoiOTJhZDQ1ZDdjYzRkMmY4ZTAyNDhkMzQ5YTc0YjNiNzQiLCJ1c2VySWQiOiIzNjA1OTAwMjIifQ==</vt:lpwstr>
  </property>
</Properties>
</file>