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E57B38" w:rsidRPr="00FF3546" w14:paraId="6A511D12" w14:textId="77777777" w:rsidTr="00C538FC">
        <w:trPr>
          <w:cantSplit/>
          <w:trHeight w:val="23"/>
        </w:trPr>
        <w:tc>
          <w:tcPr>
            <w:tcW w:w="3969" w:type="dxa"/>
            <w:vMerge w:val="restart"/>
            <w:tcMar>
              <w:left w:w="0" w:type="dxa"/>
            </w:tcMar>
          </w:tcPr>
          <w:p w14:paraId="39A89AF2" w14:textId="6FDA1334" w:rsidR="00E57B38" w:rsidRPr="00BB6FD8" w:rsidRDefault="00E57B38" w:rsidP="00E57B38">
            <w:pPr>
              <w:tabs>
                <w:tab w:val="left" w:pos="851"/>
              </w:tabs>
              <w:spacing w:before="0" w:line="240" w:lineRule="atLeast"/>
              <w:rPr>
                <w:b/>
              </w:rPr>
            </w:pPr>
            <w:bookmarkStart w:id="0" w:name="_Hlk133421839"/>
            <w:r w:rsidRPr="00132191">
              <w:rPr>
                <w:b/>
                <w:bCs/>
                <w:color w:val="000000"/>
                <w:lang w:val="es-ES"/>
              </w:rPr>
              <w:t xml:space="preserve">Punto del orden </w:t>
            </w:r>
            <w:r w:rsidRPr="00CD7800">
              <w:rPr>
                <w:b/>
                <w:bCs/>
                <w:color w:val="000000"/>
                <w:lang w:val="es-ES"/>
              </w:rPr>
              <w:t xml:space="preserve">del día: </w:t>
            </w:r>
            <w:r w:rsidR="00043B9A" w:rsidRPr="00CD7800">
              <w:rPr>
                <w:b/>
                <w:bCs/>
                <w:color w:val="000000"/>
                <w:lang w:val="es-ES"/>
              </w:rPr>
              <w:t>ADM 2</w:t>
            </w:r>
          </w:p>
        </w:tc>
        <w:tc>
          <w:tcPr>
            <w:tcW w:w="5245" w:type="dxa"/>
          </w:tcPr>
          <w:p w14:paraId="144D08A3" w14:textId="4EF7E7D5" w:rsidR="00E57B38" w:rsidRPr="00FF3546" w:rsidRDefault="00FF3546" w:rsidP="00E57B38">
            <w:pPr>
              <w:tabs>
                <w:tab w:val="left" w:pos="851"/>
              </w:tabs>
              <w:spacing w:before="0" w:line="240" w:lineRule="atLeast"/>
              <w:jc w:val="right"/>
              <w:rPr>
                <w:b/>
                <w:lang w:val="en-GB"/>
              </w:rPr>
            </w:pPr>
            <w:r w:rsidRPr="00FF3546">
              <w:rPr>
                <w:b/>
                <w:bCs/>
                <w:color w:val="000000"/>
                <w:lang w:val="en-GB"/>
              </w:rPr>
              <w:t>Revision 1 to</w:t>
            </w:r>
            <w:r w:rsidRPr="00FF3546">
              <w:rPr>
                <w:b/>
                <w:bCs/>
                <w:color w:val="000000"/>
                <w:lang w:val="en-GB"/>
              </w:rPr>
              <w:br/>
            </w:r>
            <w:proofErr w:type="spellStart"/>
            <w:r w:rsidR="00E57B38" w:rsidRPr="00FF3546">
              <w:rPr>
                <w:b/>
                <w:bCs/>
                <w:color w:val="000000"/>
                <w:lang w:val="en-GB"/>
              </w:rPr>
              <w:t>Documento</w:t>
            </w:r>
            <w:proofErr w:type="spellEnd"/>
            <w:r w:rsidR="00E57B38" w:rsidRPr="00FF3546">
              <w:rPr>
                <w:b/>
                <w:bCs/>
                <w:color w:val="000000"/>
                <w:lang w:val="en-GB"/>
              </w:rPr>
              <w:t xml:space="preserve"> </w:t>
            </w:r>
            <w:proofErr w:type="spellStart"/>
            <w:r w:rsidR="00E57B38" w:rsidRPr="00FF3546">
              <w:rPr>
                <w:b/>
                <w:bCs/>
                <w:color w:val="000000"/>
                <w:lang w:val="en-GB"/>
              </w:rPr>
              <w:t>C25</w:t>
            </w:r>
            <w:proofErr w:type="spellEnd"/>
            <w:r w:rsidR="00E57B38" w:rsidRPr="00FF3546">
              <w:rPr>
                <w:b/>
                <w:bCs/>
                <w:color w:val="000000"/>
                <w:lang w:val="en-GB"/>
              </w:rPr>
              <w:t>/87-S</w:t>
            </w:r>
          </w:p>
        </w:tc>
      </w:tr>
      <w:tr w:rsidR="00E57B38" w:rsidRPr="00666D09" w14:paraId="2F84E636" w14:textId="77777777" w:rsidTr="00C538FC">
        <w:trPr>
          <w:cantSplit/>
        </w:trPr>
        <w:tc>
          <w:tcPr>
            <w:tcW w:w="3969" w:type="dxa"/>
            <w:vMerge/>
          </w:tcPr>
          <w:p w14:paraId="44D51CCC" w14:textId="77777777" w:rsidR="00E57B38" w:rsidRPr="00FF3546" w:rsidRDefault="00E57B38" w:rsidP="00E57B38">
            <w:pPr>
              <w:tabs>
                <w:tab w:val="left" w:pos="851"/>
              </w:tabs>
              <w:spacing w:line="240" w:lineRule="atLeast"/>
              <w:rPr>
                <w:b/>
                <w:lang w:val="en-GB"/>
              </w:rPr>
            </w:pPr>
          </w:p>
        </w:tc>
        <w:tc>
          <w:tcPr>
            <w:tcW w:w="5245" w:type="dxa"/>
          </w:tcPr>
          <w:p w14:paraId="3EBE8F1B" w14:textId="1C1F9DDD" w:rsidR="00E57B38" w:rsidRPr="00CD7800" w:rsidRDefault="00043B9A" w:rsidP="00E57B38">
            <w:pPr>
              <w:tabs>
                <w:tab w:val="left" w:pos="851"/>
              </w:tabs>
              <w:spacing w:before="0"/>
              <w:jc w:val="right"/>
              <w:rPr>
                <w:b/>
                <w:lang w:val="en-GB"/>
              </w:rPr>
            </w:pPr>
            <w:r w:rsidRPr="00CD7800">
              <w:rPr>
                <w:b/>
                <w:bCs/>
                <w:color w:val="000000"/>
                <w:lang w:val="es-ES"/>
              </w:rPr>
              <w:t>13</w:t>
            </w:r>
            <w:r w:rsidR="00E57B38" w:rsidRPr="00CD7800">
              <w:rPr>
                <w:b/>
                <w:bCs/>
                <w:color w:val="000000"/>
                <w:lang w:val="es-ES"/>
              </w:rPr>
              <w:t xml:space="preserve"> de junio de 2025</w:t>
            </w:r>
          </w:p>
        </w:tc>
      </w:tr>
      <w:tr w:rsidR="00E57B38" w:rsidRPr="00BB6FD8" w14:paraId="3ACDDB8B" w14:textId="77777777" w:rsidTr="00C538FC">
        <w:trPr>
          <w:cantSplit/>
          <w:trHeight w:val="23"/>
        </w:trPr>
        <w:tc>
          <w:tcPr>
            <w:tcW w:w="3969" w:type="dxa"/>
            <w:vMerge/>
          </w:tcPr>
          <w:p w14:paraId="18807292" w14:textId="77777777" w:rsidR="00E57B38" w:rsidRPr="00666D09" w:rsidRDefault="00E57B38" w:rsidP="00E57B38">
            <w:pPr>
              <w:tabs>
                <w:tab w:val="left" w:pos="851"/>
              </w:tabs>
              <w:spacing w:line="240" w:lineRule="atLeast"/>
              <w:rPr>
                <w:b/>
                <w:lang w:val="en-GB"/>
              </w:rPr>
            </w:pPr>
          </w:p>
        </w:tc>
        <w:tc>
          <w:tcPr>
            <w:tcW w:w="5245" w:type="dxa"/>
          </w:tcPr>
          <w:p w14:paraId="12B8136C" w14:textId="7E8C3720" w:rsidR="00E57B38" w:rsidRPr="00BB6FD8" w:rsidRDefault="00E57B38" w:rsidP="00E57B38">
            <w:pPr>
              <w:tabs>
                <w:tab w:val="left" w:pos="851"/>
              </w:tabs>
              <w:spacing w:before="0" w:line="240" w:lineRule="atLeast"/>
              <w:jc w:val="right"/>
              <w:rPr>
                <w:b/>
                <w:bCs/>
              </w:rPr>
            </w:pPr>
            <w:r w:rsidRPr="00132191">
              <w:rPr>
                <w:b/>
                <w:bCs/>
                <w:color w:val="000000"/>
                <w:lang w:val="es-ES"/>
              </w:rPr>
              <w:t>Original: chino</w:t>
            </w:r>
          </w:p>
        </w:tc>
      </w:tr>
      <w:tr w:rsidR="00FE57F6" w:rsidRPr="00BB6FD8" w14:paraId="1BBCEC6A" w14:textId="77777777" w:rsidTr="00C538FC">
        <w:trPr>
          <w:cantSplit/>
          <w:trHeight w:val="23"/>
        </w:trPr>
        <w:tc>
          <w:tcPr>
            <w:tcW w:w="3969" w:type="dxa"/>
          </w:tcPr>
          <w:p w14:paraId="066C3E03" w14:textId="77777777" w:rsidR="00FE57F6" w:rsidRPr="00BB6FD8" w:rsidRDefault="00FE57F6" w:rsidP="00C538FC">
            <w:pPr>
              <w:tabs>
                <w:tab w:val="left" w:pos="851"/>
              </w:tabs>
              <w:spacing w:line="240" w:lineRule="atLeast"/>
              <w:rPr>
                <w:b/>
              </w:rPr>
            </w:pPr>
          </w:p>
        </w:tc>
        <w:tc>
          <w:tcPr>
            <w:tcW w:w="5245" w:type="dxa"/>
          </w:tcPr>
          <w:p w14:paraId="0193BCC1" w14:textId="77777777" w:rsidR="00FE57F6" w:rsidRPr="00BB6FD8" w:rsidRDefault="00FE57F6" w:rsidP="00C538FC">
            <w:pPr>
              <w:tabs>
                <w:tab w:val="left" w:pos="851"/>
              </w:tabs>
              <w:spacing w:before="0" w:line="240" w:lineRule="atLeast"/>
              <w:jc w:val="right"/>
              <w:rPr>
                <w:b/>
              </w:rPr>
            </w:pPr>
          </w:p>
        </w:tc>
      </w:tr>
      <w:tr w:rsidR="00E57B38" w:rsidRPr="00BB6FD8" w14:paraId="0CC799BC" w14:textId="77777777" w:rsidTr="00E57B38">
        <w:trPr>
          <w:cantSplit/>
          <w:trHeight w:val="986"/>
        </w:trPr>
        <w:tc>
          <w:tcPr>
            <w:tcW w:w="9214" w:type="dxa"/>
            <w:gridSpan w:val="2"/>
            <w:tcMar>
              <w:left w:w="0" w:type="dxa"/>
            </w:tcMar>
          </w:tcPr>
          <w:p w14:paraId="39C6701B" w14:textId="202EFCCF" w:rsidR="00E57B38" w:rsidRPr="00BB6FD8" w:rsidRDefault="00E57B38" w:rsidP="00E57B38">
            <w:pPr>
              <w:pStyle w:val="Source"/>
              <w:jc w:val="left"/>
              <w:rPr>
                <w:sz w:val="34"/>
                <w:szCs w:val="34"/>
              </w:rPr>
            </w:pPr>
            <w:r w:rsidRPr="00E57B38">
              <w:rPr>
                <w:bCs/>
                <w:color w:val="000000"/>
                <w:sz w:val="34"/>
                <w:lang w:val="es-ES"/>
              </w:rPr>
              <w:t>Contribución de China (República Popular de)</w:t>
            </w:r>
            <w:r w:rsidR="00043B9A">
              <w:rPr>
                <w:bCs/>
                <w:color w:val="000000"/>
                <w:sz w:val="34"/>
                <w:lang w:val="es-ES"/>
              </w:rPr>
              <w:t xml:space="preserve"> </w:t>
            </w:r>
            <w:r w:rsidR="00043B9A" w:rsidRPr="00CD7800">
              <w:rPr>
                <w:bCs/>
                <w:color w:val="000000"/>
                <w:sz w:val="34"/>
                <w:lang w:val="es-ES"/>
              </w:rPr>
              <w:t>y Cuba</w:t>
            </w:r>
          </w:p>
        </w:tc>
      </w:tr>
      <w:tr w:rsidR="00E57B38" w:rsidRPr="00BB6FD8" w14:paraId="16DAB552" w14:textId="77777777" w:rsidTr="00C538FC">
        <w:trPr>
          <w:cantSplit/>
        </w:trPr>
        <w:tc>
          <w:tcPr>
            <w:tcW w:w="9214" w:type="dxa"/>
            <w:gridSpan w:val="2"/>
            <w:tcMar>
              <w:left w:w="0" w:type="dxa"/>
            </w:tcMar>
          </w:tcPr>
          <w:p w14:paraId="60617BE4" w14:textId="4427FE40" w:rsidR="00E57B38" w:rsidRPr="00F92BED" w:rsidRDefault="00E57B38" w:rsidP="00E57B38">
            <w:pPr>
              <w:pStyle w:val="Subtitle"/>
              <w:framePr w:hSpace="0" w:wrap="auto" w:vAnchor="margin" w:hAnchor="text" w:xAlign="left" w:yAlign="inline"/>
            </w:pPr>
            <w:r w:rsidRPr="00132191">
              <w:rPr>
                <w:color w:val="000000"/>
                <w:lang w:val="es-ES"/>
              </w:rPr>
              <w:t>PROPUESTAS DE NUEVAS MEJORAS DEL SISTEMA DE SUPERVISIÓN INTERNA DE LA UIT</w:t>
            </w:r>
          </w:p>
        </w:tc>
      </w:tr>
      <w:tr w:rsidR="00E57B38" w:rsidRPr="00BB6FD8" w14:paraId="29591CF7" w14:textId="77777777" w:rsidTr="00C538FC">
        <w:trPr>
          <w:cantSplit/>
        </w:trPr>
        <w:tc>
          <w:tcPr>
            <w:tcW w:w="9214" w:type="dxa"/>
            <w:gridSpan w:val="2"/>
            <w:tcBorders>
              <w:top w:val="single" w:sz="4" w:space="0" w:color="auto"/>
              <w:bottom w:val="single" w:sz="4" w:space="0" w:color="auto"/>
            </w:tcBorders>
            <w:tcMar>
              <w:left w:w="0" w:type="dxa"/>
            </w:tcMar>
          </w:tcPr>
          <w:p w14:paraId="5F6AB5F2" w14:textId="77777777" w:rsidR="00E57B38" w:rsidRPr="00BB6FD8" w:rsidRDefault="00E57B38" w:rsidP="00E57B38">
            <w:pPr>
              <w:rPr>
                <w:b/>
                <w:bCs/>
                <w:sz w:val="26"/>
                <w:szCs w:val="26"/>
              </w:rPr>
            </w:pPr>
            <w:r w:rsidRPr="00BB6FD8">
              <w:rPr>
                <w:b/>
                <w:bCs/>
                <w:sz w:val="26"/>
                <w:szCs w:val="26"/>
              </w:rPr>
              <w:t>Finalidad</w:t>
            </w:r>
          </w:p>
          <w:p w14:paraId="160DA82E" w14:textId="0AFE3A74" w:rsidR="00E57B38" w:rsidRDefault="00E57B38" w:rsidP="00E91F4B">
            <w:pPr>
              <w:spacing w:before="160"/>
              <w:jc w:val="both"/>
              <w:rPr>
                <w:color w:val="000000"/>
                <w:lang w:val="es-ES"/>
              </w:rPr>
            </w:pPr>
            <w:r>
              <w:rPr>
                <w:color w:val="000000"/>
                <w:lang w:val="es-ES"/>
              </w:rPr>
              <w:t>El</w:t>
            </w:r>
            <w:r w:rsidRPr="00132191">
              <w:rPr>
                <w:color w:val="000000"/>
                <w:lang w:val="es-ES"/>
              </w:rPr>
              <w:t xml:space="preserve"> Consejo de la UIT aprobó la Carta de Supervisión Interna de la Unión en junio de 2024. En esta contribución se proponen medidas adicionales para facilitar la aplicación de dicha carta, en consonancia con la decisión del Consejo relativa a la mejora de la supervisión interna.</w:t>
            </w:r>
          </w:p>
          <w:p w14:paraId="07503A68" w14:textId="7DB4A43D" w:rsidR="00E57B38" w:rsidRPr="00BB6FD8" w:rsidRDefault="00E57B38" w:rsidP="00E57B38">
            <w:pPr>
              <w:rPr>
                <w:b/>
                <w:bCs/>
                <w:sz w:val="26"/>
                <w:szCs w:val="26"/>
              </w:rPr>
            </w:pPr>
            <w:r w:rsidRPr="00BB6FD8">
              <w:rPr>
                <w:b/>
                <w:bCs/>
                <w:sz w:val="26"/>
                <w:szCs w:val="26"/>
              </w:rPr>
              <w:t>Acción solicitada al Consejo</w:t>
            </w:r>
          </w:p>
          <w:p w14:paraId="55EFF132" w14:textId="77777777" w:rsidR="00E57B38" w:rsidRDefault="00E57B38" w:rsidP="00E91F4B">
            <w:pPr>
              <w:jc w:val="both"/>
              <w:rPr>
                <w:color w:val="000000"/>
                <w:lang w:val="es-ES"/>
              </w:rPr>
            </w:pPr>
            <w:r w:rsidRPr="00132191">
              <w:rPr>
                <w:color w:val="000000"/>
                <w:lang w:val="es-ES"/>
              </w:rPr>
              <w:t>Se invita al Consejo a examinar las propuestas establecidas en el presente documento y a tomar las medidas oportunas.</w:t>
            </w:r>
          </w:p>
          <w:p w14:paraId="521229A1" w14:textId="77777777" w:rsidR="00E57B38" w:rsidRPr="00BB6FD8" w:rsidRDefault="00E57B38" w:rsidP="00E57B38">
            <w:pPr>
              <w:spacing w:before="80"/>
              <w:rPr>
                <w:caps/>
                <w:sz w:val="22"/>
              </w:rPr>
            </w:pPr>
            <w:r w:rsidRPr="00BB6FD8">
              <w:rPr>
                <w:sz w:val="22"/>
              </w:rPr>
              <w:t>__________________</w:t>
            </w:r>
          </w:p>
          <w:p w14:paraId="1DD3F31C" w14:textId="77777777" w:rsidR="00E57B38" w:rsidRPr="00BB6FD8" w:rsidRDefault="00E57B38" w:rsidP="00E57B38">
            <w:pPr>
              <w:rPr>
                <w:b/>
                <w:bCs/>
                <w:sz w:val="26"/>
                <w:szCs w:val="26"/>
              </w:rPr>
            </w:pPr>
            <w:r w:rsidRPr="00BB6FD8">
              <w:rPr>
                <w:b/>
                <w:bCs/>
                <w:sz w:val="26"/>
                <w:szCs w:val="26"/>
              </w:rPr>
              <w:t>Referencia</w:t>
            </w:r>
            <w:r>
              <w:rPr>
                <w:b/>
                <w:bCs/>
                <w:sz w:val="26"/>
                <w:szCs w:val="26"/>
              </w:rPr>
              <w:t>s</w:t>
            </w:r>
            <w:r w:rsidRPr="00BB6FD8">
              <w:rPr>
                <w:sz w:val="26"/>
                <w:szCs w:val="26"/>
              </w:rPr>
              <w:t xml:space="preserve"> </w:t>
            </w:r>
          </w:p>
          <w:p w14:paraId="62CCBC54" w14:textId="77777777" w:rsidR="00E57B38" w:rsidRPr="00C7600C" w:rsidRDefault="00E57B38" w:rsidP="00FF3546">
            <w:pPr>
              <w:spacing w:before="80"/>
              <w:jc w:val="both"/>
              <w:rPr>
                <w:sz w:val="22"/>
                <w:szCs w:val="22"/>
                <w:lang w:val="es-ES"/>
              </w:rPr>
            </w:pPr>
            <w:r w:rsidRPr="00C7600C">
              <w:rPr>
                <w:i/>
                <w:iCs/>
                <w:color w:val="000000"/>
                <w:sz w:val="22"/>
                <w:szCs w:val="22"/>
                <w:lang w:val="es-ES"/>
              </w:rPr>
              <w:t xml:space="preserve">Resolución 1392 (C18) del Consejo, recogida en el Documento </w:t>
            </w:r>
            <w:hyperlink r:id="rId6" w:history="1">
              <w:r w:rsidRPr="00C7600C">
                <w:rPr>
                  <w:rStyle w:val="Hyperlink"/>
                  <w:i/>
                  <w:iCs/>
                  <w:sz w:val="22"/>
                  <w:szCs w:val="22"/>
                  <w:lang w:val="es-ES"/>
                </w:rPr>
                <w:t>C18/116</w:t>
              </w:r>
            </w:hyperlink>
            <w:r w:rsidRPr="00C7600C">
              <w:rPr>
                <w:color w:val="000000"/>
                <w:sz w:val="22"/>
                <w:szCs w:val="22"/>
                <w:lang w:val="es-ES"/>
              </w:rPr>
              <w:t>;</w:t>
            </w:r>
          </w:p>
          <w:p w14:paraId="6361C87E" w14:textId="3FAE492F" w:rsidR="00E57B38" w:rsidRPr="00C7600C" w:rsidRDefault="00E57B38" w:rsidP="00FF3546">
            <w:pPr>
              <w:spacing w:before="80"/>
              <w:jc w:val="both"/>
              <w:rPr>
                <w:rFonts w:ascii="Times New Roman" w:eastAsia="SimSun" w:hAnsi="Times New Roman"/>
                <w:i/>
                <w:iCs/>
                <w:sz w:val="22"/>
                <w:szCs w:val="22"/>
                <w:lang w:val="es-ES"/>
              </w:rPr>
            </w:pPr>
            <w:r w:rsidRPr="00C7600C">
              <w:rPr>
                <w:i/>
                <w:iCs/>
                <w:color w:val="000000"/>
                <w:sz w:val="22"/>
                <w:szCs w:val="22"/>
                <w:lang w:val="es-ES"/>
              </w:rPr>
              <w:t xml:space="preserve">Documentos del Consejo: </w:t>
            </w:r>
            <w:hyperlink r:id="rId7" w:history="1">
              <w:r w:rsidRPr="00C7600C">
                <w:rPr>
                  <w:rStyle w:val="Hyperlink"/>
                  <w:i/>
                  <w:iCs/>
                  <w:sz w:val="22"/>
                  <w:szCs w:val="22"/>
                  <w:lang w:val="es-ES"/>
                </w:rPr>
                <w:t>C24/109(Rev.1)</w:t>
              </w:r>
            </w:hyperlink>
            <w:r w:rsidRPr="00C7600C">
              <w:rPr>
                <w:i/>
                <w:iCs/>
                <w:sz w:val="22"/>
                <w:szCs w:val="22"/>
                <w:lang w:val="es-ES"/>
              </w:rPr>
              <w:t>,</w:t>
            </w:r>
            <w:r w:rsidRPr="00C7600C">
              <w:rPr>
                <w:rFonts w:ascii="Times New Roman" w:eastAsia="SimSun" w:hAnsi="Times New Roman"/>
                <w:i/>
                <w:iCs/>
                <w:sz w:val="22"/>
                <w:szCs w:val="22"/>
                <w:lang w:val="es-ES"/>
              </w:rPr>
              <w:t xml:space="preserve"> </w:t>
            </w:r>
            <w:hyperlink r:id="rId8" w:history="1">
              <w:r w:rsidRPr="00C7600C">
                <w:rPr>
                  <w:rStyle w:val="Hyperlink"/>
                  <w:rFonts w:asciiTheme="minorHAnsi" w:eastAsia="STKaiti" w:hAnsiTheme="minorHAnsi" w:cstheme="minorHAnsi"/>
                  <w:i/>
                  <w:iCs/>
                  <w:sz w:val="22"/>
                  <w:szCs w:val="22"/>
                  <w:lang w:val="es-ES" w:eastAsia="zh-CN"/>
                </w:rPr>
                <w:t>C24/120</w:t>
              </w:r>
            </w:hyperlink>
            <w:r w:rsidRPr="00C7600C">
              <w:rPr>
                <w:sz w:val="22"/>
                <w:szCs w:val="22"/>
                <w:lang w:val="es-ES"/>
              </w:rPr>
              <w:t xml:space="preserve"> y </w:t>
            </w:r>
            <w:hyperlink r:id="rId9" w:history="1">
              <w:r w:rsidRPr="00C7600C">
                <w:rPr>
                  <w:rStyle w:val="Hyperlink"/>
                  <w:rFonts w:asciiTheme="minorHAnsi" w:eastAsia="STKaiti" w:hAnsiTheme="minorHAnsi" w:cstheme="minorHAnsi"/>
                  <w:i/>
                  <w:iCs/>
                  <w:sz w:val="22"/>
                  <w:szCs w:val="22"/>
                  <w:lang w:val="es-ES" w:eastAsia="zh-CN"/>
                </w:rPr>
                <w:t>C22/57</w:t>
              </w:r>
            </w:hyperlink>
            <w:r w:rsidRPr="00C7600C">
              <w:rPr>
                <w:i/>
                <w:iCs/>
                <w:color w:val="000000"/>
                <w:sz w:val="22"/>
                <w:szCs w:val="22"/>
                <w:lang w:val="es-ES"/>
              </w:rPr>
              <w:t>;</w:t>
            </w:r>
          </w:p>
          <w:p w14:paraId="39556BC8" w14:textId="77777777" w:rsidR="00E57B38" w:rsidRPr="00C7600C" w:rsidRDefault="00E57B38" w:rsidP="00FF3546">
            <w:pPr>
              <w:spacing w:before="80"/>
              <w:jc w:val="both"/>
              <w:rPr>
                <w:i/>
                <w:iCs/>
                <w:sz w:val="22"/>
                <w:szCs w:val="22"/>
                <w:lang w:val="es-ES"/>
              </w:rPr>
            </w:pPr>
            <w:hyperlink r:id="rId10" w:history="1">
              <w:r w:rsidRPr="00C7600C">
                <w:rPr>
                  <w:rStyle w:val="Hyperlink"/>
                  <w:i/>
                  <w:iCs/>
                  <w:sz w:val="22"/>
                  <w:szCs w:val="22"/>
                  <w:lang w:val="es-ES"/>
                </w:rPr>
                <w:t>Estatutos y Reglamento del Personal</w:t>
              </w:r>
            </w:hyperlink>
            <w:r w:rsidRPr="00C7600C">
              <w:rPr>
                <w:i/>
                <w:iCs/>
                <w:color w:val="000000"/>
                <w:sz w:val="22"/>
                <w:szCs w:val="22"/>
                <w:lang w:val="es-ES"/>
              </w:rPr>
              <w:t xml:space="preserve"> (2024), Estatutos y Reglamento del Personal aplicables a los funcionarios de elección;</w:t>
            </w:r>
          </w:p>
          <w:p w14:paraId="1D14A19D" w14:textId="223D2710" w:rsidR="00E57B38" w:rsidRPr="00C7600C" w:rsidRDefault="00E57B38" w:rsidP="00FF3546">
            <w:pPr>
              <w:spacing w:before="80"/>
              <w:jc w:val="both"/>
              <w:rPr>
                <w:rFonts w:ascii="Times New Roman" w:eastAsia="SimSun" w:hAnsi="Times New Roman"/>
                <w:i/>
                <w:iCs/>
                <w:sz w:val="22"/>
                <w:szCs w:val="22"/>
                <w:lang w:val="es-ES"/>
              </w:rPr>
            </w:pPr>
            <w:r w:rsidRPr="00C7600C">
              <w:rPr>
                <w:i/>
                <w:iCs/>
                <w:color w:val="000000"/>
                <w:sz w:val="22"/>
                <w:szCs w:val="22"/>
                <w:lang w:val="es-ES"/>
              </w:rPr>
              <w:t>Supervisión interna: Carta de Supervisión Interna de la UIT (</w:t>
            </w:r>
            <w:hyperlink r:id="rId11" w:history="1">
              <w:r w:rsidRPr="00C7600C">
                <w:rPr>
                  <w:rStyle w:val="Hyperlink"/>
                  <w:rFonts w:asciiTheme="minorHAnsi" w:eastAsia="STKaiti" w:hAnsiTheme="minorHAnsi" w:cstheme="minorHAnsi"/>
                  <w:i/>
                  <w:iCs/>
                  <w:sz w:val="22"/>
                  <w:szCs w:val="22"/>
                  <w:lang w:val="es-ES" w:eastAsia="zh-CN"/>
                </w:rPr>
                <w:t>O</w:t>
              </w:r>
              <w:r w:rsidR="00EB4583">
                <w:rPr>
                  <w:rStyle w:val="Hyperlink"/>
                  <w:rFonts w:asciiTheme="minorHAnsi" w:eastAsia="STKaiti" w:hAnsiTheme="minorHAnsi" w:cstheme="minorHAnsi"/>
                  <w:i/>
                  <w:iCs/>
                  <w:sz w:val="22"/>
                  <w:szCs w:val="22"/>
                  <w:lang w:val="es-ES" w:eastAsia="zh-CN"/>
                </w:rPr>
                <w:t>S</w:t>
              </w:r>
              <w:r w:rsidRPr="00C7600C">
                <w:rPr>
                  <w:rStyle w:val="Hyperlink"/>
                  <w:rFonts w:asciiTheme="minorHAnsi" w:eastAsia="STKaiti" w:hAnsiTheme="minorHAnsi" w:cstheme="minorHAnsi"/>
                  <w:i/>
                  <w:iCs/>
                  <w:sz w:val="22"/>
                  <w:szCs w:val="22"/>
                  <w:lang w:val="es-ES" w:eastAsia="zh-CN"/>
                </w:rPr>
                <w:t> </w:t>
              </w:r>
              <w:r w:rsidR="00EB4583" w:rsidRPr="00EB4583">
                <w:rPr>
                  <w:rStyle w:val="Hyperlink"/>
                  <w:rFonts w:asciiTheme="minorHAnsi" w:eastAsia="STKaiti" w:hAnsiTheme="minorHAnsi" w:cstheme="minorHAnsi"/>
                  <w:i/>
                  <w:iCs/>
                  <w:sz w:val="22"/>
                  <w:szCs w:val="22"/>
                  <w:lang w:val="es-ES" w:eastAsia="zh-CN"/>
                </w:rPr>
                <w:t>núm. </w:t>
              </w:r>
              <w:r w:rsidRPr="00C7600C">
                <w:rPr>
                  <w:rStyle w:val="Hyperlink"/>
                  <w:rFonts w:asciiTheme="minorHAnsi" w:eastAsia="STKaiti" w:hAnsiTheme="minorHAnsi" w:cstheme="minorHAnsi"/>
                  <w:i/>
                  <w:iCs/>
                  <w:sz w:val="22"/>
                  <w:szCs w:val="22"/>
                  <w:lang w:val="es-ES" w:eastAsia="zh-CN"/>
                </w:rPr>
                <w:t>24/09</w:t>
              </w:r>
            </w:hyperlink>
            <w:r w:rsidRPr="00C7600C">
              <w:rPr>
                <w:i/>
                <w:iCs/>
                <w:color w:val="000000"/>
                <w:sz w:val="22"/>
                <w:szCs w:val="22"/>
                <w:lang w:val="es-ES"/>
              </w:rPr>
              <w:t>);</w:t>
            </w:r>
          </w:p>
          <w:p w14:paraId="3B88C23A" w14:textId="655B6602" w:rsidR="00E57B38" w:rsidRPr="00C7600C" w:rsidRDefault="00E57B38" w:rsidP="00FF3546">
            <w:pPr>
              <w:spacing w:before="80"/>
              <w:jc w:val="both"/>
              <w:rPr>
                <w:i/>
                <w:iCs/>
                <w:sz w:val="22"/>
                <w:szCs w:val="22"/>
                <w:lang w:val="es-ES"/>
              </w:rPr>
            </w:pPr>
            <w:r w:rsidRPr="00C7600C">
              <w:rPr>
                <w:i/>
                <w:iCs/>
                <w:color w:val="000000"/>
                <w:sz w:val="22"/>
                <w:szCs w:val="22"/>
                <w:lang w:val="es-ES"/>
              </w:rPr>
              <w:t>Código de Conducta: Normas de conducta de la administración pública internacional (</w:t>
            </w:r>
            <w:hyperlink r:id="rId12" w:history="1">
              <w:r w:rsidR="00EB4583" w:rsidRPr="00EB4583">
                <w:rPr>
                  <w:rStyle w:val="Hyperlink"/>
                  <w:rFonts w:asciiTheme="minorHAnsi" w:eastAsia="STKaiti" w:hAnsiTheme="minorHAnsi" w:cstheme="minorHAnsi"/>
                  <w:i/>
                  <w:iCs/>
                  <w:sz w:val="22"/>
                  <w:szCs w:val="22"/>
                  <w:lang w:val="es-ES" w:eastAsia="zh-CN"/>
                </w:rPr>
                <w:t>OS </w:t>
              </w:r>
              <w:r w:rsidR="00EB4583" w:rsidRPr="00EB4583">
                <w:rPr>
                  <w:rStyle w:val="Hyperlink"/>
                  <w:rFonts w:asciiTheme="minorHAnsi" w:hAnsiTheme="minorHAnsi" w:cstheme="minorHAnsi"/>
                  <w:i/>
                  <w:iCs/>
                  <w:sz w:val="22"/>
                  <w:szCs w:val="22"/>
                  <w:lang w:val="es-ES" w:eastAsia="zh-CN"/>
                </w:rPr>
                <w:t>núm. </w:t>
              </w:r>
              <w:r w:rsidRPr="00C7600C">
                <w:rPr>
                  <w:rStyle w:val="Hyperlink"/>
                  <w:rFonts w:asciiTheme="minorHAnsi" w:eastAsia="STKaiti" w:hAnsiTheme="minorHAnsi" w:cstheme="minorHAnsi"/>
                  <w:i/>
                  <w:iCs/>
                  <w:sz w:val="22"/>
                  <w:szCs w:val="22"/>
                  <w:lang w:val="es-ES" w:eastAsia="zh-CN"/>
                </w:rPr>
                <w:t>17/07</w:t>
              </w:r>
            </w:hyperlink>
            <w:r w:rsidRPr="00C7600C">
              <w:rPr>
                <w:i/>
                <w:iCs/>
                <w:color w:val="000000"/>
                <w:sz w:val="22"/>
                <w:szCs w:val="22"/>
                <w:lang w:val="es-ES"/>
              </w:rPr>
              <w:t>) y Código Ético de la UIT (</w:t>
            </w:r>
            <w:hyperlink r:id="rId13" w:history="1">
              <w:r w:rsidR="00EB4583" w:rsidRPr="00EB4583">
                <w:rPr>
                  <w:rStyle w:val="Hyperlink"/>
                  <w:rFonts w:asciiTheme="minorHAnsi" w:eastAsia="STKaiti" w:hAnsiTheme="minorHAnsi" w:cstheme="minorHAnsi"/>
                  <w:i/>
                  <w:iCs/>
                  <w:sz w:val="22"/>
                  <w:szCs w:val="22"/>
                  <w:lang w:val="es-ES" w:eastAsia="zh-CN"/>
                </w:rPr>
                <w:t>OS </w:t>
              </w:r>
              <w:r w:rsidR="00EB4583" w:rsidRPr="00EB4583">
                <w:rPr>
                  <w:rStyle w:val="Hyperlink"/>
                  <w:rFonts w:asciiTheme="minorHAnsi" w:hAnsiTheme="minorHAnsi" w:cstheme="minorHAnsi"/>
                  <w:i/>
                  <w:iCs/>
                  <w:sz w:val="22"/>
                  <w:szCs w:val="22"/>
                  <w:lang w:val="es-ES" w:eastAsia="zh-CN"/>
                </w:rPr>
                <w:t>núm. </w:t>
              </w:r>
              <w:r w:rsidRPr="00C7600C">
                <w:rPr>
                  <w:rStyle w:val="Hyperlink"/>
                  <w:rFonts w:asciiTheme="minorHAnsi" w:eastAsia="STKaiti" w:hAnsiTheme="minorHAnsi" w:cstheme="minorHAnsi"/>
                  <w:i/>
                  <w:iCs/>
                  <w:sz w:val="22"/>
                  <w:szCs w:val="22"/>
                  <w:lang w:val="es-ES" w:eastAsia="zh-CN"/>
                </w:rPr>
                <w:t>11/02</w:t>
              </w:r>
            </w:hyperlink>
            <w:r w:rsidRPr="00C7600C">
              <w:rPr>
                <w:i/>
                <w:iCs/>
                <w:color w:val="000000"/>
                <w:sz w:val="22"/>
                <w:szCs w:val="22"/>
                <w:lang w:val="es-ES"/>
              </w:rPr>
              <w:t>);</w:t>
            </w:r>
          </w:p>
          <w:p w14:paraId="088FFBC6" w14:textId="14850792" w:rsidR="00E57B38" w:rsidRPr="00C7600C" w:rsidRDefault="00E57B38" w:rsidP="00FF3546">
            <w:pPr>
              <w:spacing w:before="80"/>
              <w:jc w:val="both"/>
              <w:rPr>
                <w:i/>
                <w:iCs/>
                <w:sz w:val="22"/>
                <w:szCs w:val="22"/>
                <w:lang w:val="es-ES"/>
              </w:rPr>
            </w:pPr>
            <w:r w:rsidRPr="00C7600C">
              <w:rPr>
                <w:i/>
                <w:iCs/>
                <w:color w:val="000000"/>
                <w:sz w:val="22"/>
                <w:szCs w:val="22"/>
                <w:lang w:val="es-ES"/>
              </w:rPr>
              <w:t>Fraude y corrupción: Política de lucha contra el fraude, la corrupción y otras prácticas prohibidas (</w:t>
            </w:r>
            <w:hyperlink r:id="rId14" w:history="1">
              <w:r w:rsidR="00EB4583" w:rsidRPr="00EB4583">
                <w:rPr>
                  <w:rStyle w:val="Hyperlink"/>
                  <w:rFonts w:asciiTheme="minorHAnsi" w:eastAsia="STKaiti" w:hAnsiTheme="minorHAnsi" w:cstheme="minorHAnsi"/>
                  <w:i/>
                  <w:iCs/>
                  <w:sz w:val="22"/>
                  <w:szCs w:val="22"/>
                  <w:lang w:val="es-ES" w:eastAsia="zh-CN"/>
                </w:rPr>
                <w:t>OS </w:t>
              </w:r>
              <w:r w:rsidR="00EB4583" w:rsidRPr="00EB4583">
                <w:rPr>
                  <w:rStyle w:val="Hyperlink"/>
                  <w:rFonts w:asciiTheme="minorHAnsi" w:hAnsiTheme="minorHAnsi" w:cstheme="minorHAnsi"/>
                  <w:i/>
                  <w:iCs/>
                  <w:sz w:val="22"/>
                  <w:szCs w:val="22"/>
                  <w:lang w:val="es-ES" w:eastAsia="zh-CN"/>
                </w:rPr>
                <w:t>núm. </w:t>
              </w:r>
              <w:r w:rsidRPr="00C7600C">
                <w:rPr>
                  <w:rStyle w:val="Hyperlink"/>
                  <w:rFonts w:asciiTheme="minorHAnsi" w:eastAsia="STKaiti" w:hAnsiTheme="minorHAnsi" w:cstheme="minorHAnsi"/>
                  <w:i/>
                  <w:iCs/>
                  <w:sz w:val="22"/>
                  <w:szCs w:val="22"/>
                  <w:lang w:val="es-ES" w:eastAsia="zh-CN"/>
                </w:rPr>
                <w:t>19/09</w:t>
              </w:r>
            </w:hyperlink>
            <w:r w:rsidRPr="00C7600C">
              <w:rPr>
                <w:i/>
                <w:iCs/>
                <w:color w:val="000000"/>
                <w:sz w:val="22"/>
                <w:szCs w:val="22"/>
                <w:lang w:val="es-ES"/>
              </w:rPr>
              <w:t>);</w:t>
            </w:r>
          </w:p>
          <w:p w14:paraId="16BA8019" w14:textId="262F22E0" w:rsidR="00E57B38" w:rsidRPr="00C7600C" w:rsidRDefault="00E57B38" w:rsidP="00FF3546">
            <w:pPr>
              <w:spacing w:before="80"/>
              <w:jc w:val="both"/>
              <w:rPr>
                <w:i/>
                <w:iCs/>
                <w:sz w:val="22"/>
                <w:szCs w:val="22"/>
                <w:lang w:val="es-ES"/>
              </w:rPr>
            </w:pPr>
            <w:r w:rsidRPr="00C7600C">
              <w:rPr>
                <w:i/>
                <w:iCs/>
                <w:color w:val="000000"/>
                <w:sz w:val="22"/>
                <w:szCs w:val="22"/>
                <w:lang w:val="es-ES"/>
              </w:rPr>
              <w:t>Acoso y abuso de autoridad: Política de la UIT sobre el acoso, incluido el acoso sexual, el abuso de autoridad y la discriminación (</w:t>
            </w:r>
            <w:hyperlink r:id="rId15" w:history="1">
              <w:r w:rsidR="00EB4583" w:rsidRPr="00EB4583">
                <w:rPr>
                  <w:rStyle w:val="Hyperlink"/>
                  <w:rFonts w:asciiTheme="minorHAnsi" w:eastAsia="STKaiti" w:hAnsiTheme="minorHAnsi" w:cstheme="minorHAnsi"/>
                  <w:i/>
                  <w:iCs/>
                  <w:sz w:val="22"/>
                  <w:szCs w:val="22"/>
                  <w:lang w:val="es-ES" w:eastAsia="zh-CN"/>
                </w:rPr>
                <w:t>OS </w:t>
              </w:r>
              <w:r w:rsidR="00EB4583" w:rsidRPr="00EB4583">
                <w:rPr>
                  <w:rStyle w:val="Hyperlink"/>
                  <w:rFonts w:asciiTheme="minorHAnsi" w:hAnsiTheme="minorHAnsi" w:cstheme="minorHAnsi"/>
                  <w:i/>
                  <w:iCs/>
                  <w:sz w:val="22"/>
                  <w:szCs w:val="22"/>
                  <w:lang w:val="es-ES" w:eastAsia="zh-CN"/>
                </w:rPr>
                <w:t>núm. </w:t>
              </w:r>
              <w:r w:rsidRPr="00C7600C">
                <w:rPr>
                  <w:rStyle w:val="Hyperlink"/>
                  <w:rFonts w:asciiTheme="minorHAnsi" w:eastAsia="STKaiti" w:hAnsiTheme="minorHAnsi" w:cstheme="minorHAnsi"/>
                  <w:i/>
                  <w:iCs/>
                  <w:sz w:val="22"/>
                  <w:szCs w:val="22"/>
                  <w:lang w:val="es-ES" w:eastAsia="zh-CN"/>
                </w:rPr>
                <w:t>22/03</w:t>
              </w:r>
            </w:hyperlink>
            <w:r w:rsidRPr="00C7600C">
              <w:rPr>
                <w:i/>
                <w:iCs/>
                <w:color w:val="000000"/>
                <w:sz w:val="22"/>
                <w:szCs w:val="22"/>
                <w:lang w:val="es-ES"/>
              </w:rPr>
              <w:t>);</w:t>
            </w:r>
          </w:p>
          <w:p w14:paraId="0BD0F628" w14:textId="639ED882" w:rsidR="00E57B38" w:rsidRPr="00C7600C" w:rsidRDefault="00E57B38" w:rsidP="00FF3546">
            <w:pPr>
              <w:spacing w:before="80"/>
              <w:jc w:val="both"/>
              <w:rPr>
                <w:i/>
                <w:iCs/>
                <w:sz w:val="22"/>
                <w:szCs w:val="22"/>
                <w:lang w:val="es-ES"/>
              </w:rPr>
            </w:pPr>
            <w:r w:rsidRPr="00C7600C">
              <w:rPr>
                <w:i/>
                <w:iCs/>
                <w:color w:val="000000"/>
                <w:sz w:val="22"/>
                <w:szCs w:val="22"/>
                <w:lang w:val="es-ES"/>
              </w:rPr>
              <w:t>Denuncia de conductas indebidas: Política y protección para la denuncia de conductas indebidas (denuncia de irregularidades) (</w:t>
            </w:r>
            <w:hyperlink r:id="rId16" w:history="1">
              <w:r w:rsidR="00EB4583" w:rsidRPr="00EB4583">
                <w:rPr>
                  <w:rStyle w:val="Hyperlink"/>
                  <w:rFonts w:asciiTheme="minorHAnsi" w:eastAsia="STKaiti" w:hAnsiTheme="minorHAnsi" w:cstheme="minorHAnsi"/>
                  <w:i/>
                  <w:iCs/>
                  <w:sz w:val="22"/>
                  <w:szCs w:val="22"/>
                  <w:lang w:val="es-ES" w:eastAsia="zh-CN"/>
                </w:rPr>
                <w:t>OS </w:t>
              </w:r>
              <w:r w:rsidR="00EB4583" w:rsidRPr="00EB4583">
                <w:rPr>
                  <w:rStyle w:val="Hyperlink"/>
                  <w:rFonts w:asciiTheme="minorHAnsi" w:hAnsiTheme="minorHAnsi" w:cstheme="minorHAnsi"/>
                  <w:i/>
                  <w:iCs/>
                  <w:sz w:val="22"/>
                  <w:szCs w:val="22"/>
                  <w:lang w:val="es-ES" w:eastAsia="zh-CN"/>
                </w:rPr>
                <w:t>núm. </w:t>
              </w:r>
              <w:r w:rsidRPr="00C7600C">
                <w:rPr>
                  <w:rStyle w:val="Hyperlink"/>
                  <w:rFonts w:asciiTheme="minorHAnsi" w:eastAsia="STKaiti" w:hAnsiTheme="minorHAnsi" w:cstheme="minorHAnsi"/>
                  <w:i/>
                  <w:iCs/>
                  <w:sz w:val="22"/>
                  <w:szCs w:val="22"/>
                  <w:lang w:val="es-ES" w:eastAsia="zh-CN"/>
                </w:rPr>
                <w:t>20/06</w:t>
              </w:r>
            </w:hyperlink>
            <w:r w:rsidRPr="00C7600C">
              <w:rPr>
                <w:i/>
                <w:iCs/>
                <w:color w:val="000000"/>
                <w:sz w:val="22"/>
                <w:szCs w:val="22"/>
                <w:lang w:val="es-ES"/>
              </w:rPr>
              <w:t>);</w:t>
            </w:r>
          </w:p>
          <w:p w14:paraId="6A802369" w14:textId="7674E2F5" w:rsidR="00E57B38" w:rsidRPr="00C7600C" w:rsidRDefault="00E57B38" w:rsidP="00FF3546">
            <w:pPr>
              <w:spacing w:before="80"/>
              <w:jc w:val="both"/>
              <w:rPr>
                <w:i/>
                <w:iCs/>
                <w:sz w:val="22"/>
                <w:szCs w:val="22"/>
                <w:lang w:val="es-ES"/>
              </w:rPr>
            </w:pPr>
            <w:r w:rsidRPr="00C7600C">
              <w:rPr>
                <w:i/>
                <w:iCs/>
                <w:color w:val="000000"/>
                <w:sz w:val="22"/>
                <w:szCs w:val="22"/>
                <w:lang w:val="es-ES"/>
              </w:rPr>
              <w:t>Conflictos de intereses: Política de la UIT sobre declaración de intereses (</w:t>
            </w:r>
            <w:hyperlink r:id="rId17" w:history="1">
              <w:r w:rsidR="00EB4583" w:rsidRPr="00EB4583">
                <w:rPr>
                  <w:rStyle w:val="Hyperlink"/>
                  <w:rFonts w:asciiTheme="minorHAnsi" w:eastAsia="STKaiti" w:hAnsiTheme="minorHAnsi" w:cstheme="minorHAnsi"/>
                  <w:i/>
                  <w:iCs/>
                  <w:sz w:val="22"/>
                  <w:szCs w:val="22"/>
                  <w:lang w:val="es-ES" w:eastAsia="zh-CN"/>
                </w:rPr>
                <w:t>OS </w:t>
              </w:r>
              <w:r w:rsidR="00EB4583" w:rsidRPr="00EB4583">
                <w:rPr>
                  <w:rStyle w:val="Hyperlink"/>
                  <w:rFonts w:asciiTheme="minorHAnsi" w:hAnsiTheme="minorHAnsi" w:cstheme="minorHAnsi"/>
                  <w:i/>
                  <w:iCs/>
                  <w:sz w:val="22"/>
                  <w:szCs w:val="22"/>
                  <w:lang w:val="es-ES" w:eastAsia="zh-CN"/>
                </w:rPr>
                <w:t>núm. </w:t>
              </w:r>
              <w:r w:rsidRPr="00C7600C">
                <w:rPr>
                  <w:rStyle w:val="Hyperlink"/>
                  <w:rFonts w:asciiTheme="minorHAnsi" w:eastAsia="STKaiti" w:hAnsiTheme="minorHAnsi" w:cstheme="minorHAnsi"/>
                  <w:i/>
                  <w:iCs/>
                  <w:sz w:val="22"/>
                  <w:szCs w:val="22"/>
                  <w:lang w:val="es-ES" w:eastAsia="zh-CN"/>
                </w:rPr>
                <w:t>22/02</w:t>
              </w:r>
            </w:hyperlink>
            <w:r w:rsidRPr="00C7600C">
              <w:rPr>
                <w:i/>
                <w:iCs/>
                <w:color w:val="000000"/>
                <w:sz w:val="22"/>
                <w:szCs w:val="22"/>
                <w:lang w:val="es-ES"/>
              </w:rPr>
              <w:t>), Política de la UIT sobre divulgación financiera (</w:t>
            </w:r>
            <w:hyperlink r:id="rId18" w:history="1">
              <w:r w:rsidR="00EB4583" w:rsidRPr="00EB4583">
                <w:rPr>
                  <w:rStyle w:val="Hyperlink"/>
                  <w:rFonts w:asciiTheme="minorHAnsi" w:eastAsia="STKaiti" w:hAnsiTheme="minorHAnsi" w:cstheme="minorHAnsi"/>
                  <w:i/>
                  <w:iCs/>
                  <w:sz w:val="22"/>
                  <w:szCs w:val="22"/>
                  <w:lang w:val="es-ES" w:eastAsia="zh-CN"/>
                </w:rPr>
                <w:t>OS </w:t>
              </w:r>
              <w:r w:rsidR="00EB4583" w:rsidRPr="00EB4583">
                <w:rPr>
                  <w:rStyle w:val="Hyperlink"/>
                  <w:rFonts w:asciiTheme="minorHAnsi" w:hAnsiTheme="minorHAnsi" w:cstheme="minorHAnsi"/>
                  <w:i/>
                  <w:iCs/>
                  <w:sz w:val="22"/>
                  <w:szCs w:val="22"/>
                  <w:lang w:val="es-ES" w:eastAsia="zh-CN"/>
                </w:rPr>
                <w:t>núm. </w:t>
              </w:r>
              <w:r w:rsidRPr="00C7600C">
                <w:rPr>
                  <w:rStyle w:val="Hyperlink"/>
                  <w:rFonts w:asciiTheme="minorHAnsi" w:eastAsia="STKaiti" w:hAnsiTheme="minorHAnsi" w:cstheme="minorHAnsi"/>
                  <w:i/>
                  <w:iCs/>
                  <w:sz w:val="22"/>
                  <w:szCs w:val="22"/>
                  <w:lang w:val="es-ES" w:eastAsia="zh-CN"/>
                </w:rPr>
                <w:t>11/03</w:t>
              </w:r>
            </w:hyperlink>
            <w:r w:rsidRPr="00C7600C">
              <w:rPr>
                <w:i/>
                <w:iCs/>
                <w:color w:val="000000"/>
                <w:sz w:val="22"/>
                <w:szCs w:val="22"/>
                <w:lang w:val="es-ES"/>
              </w:rPr>
              <w:t>);</w:t>
            </w:r>
          </w:p>
          <w:p w14:paraId="50DB6CE7" w14:textId="3B1846CE" w:rsidR="00E57B38" w:rsidRPr="00C7600C" w:rsidRDefault="00E57B38" w:rsidP="00FF3546">
            <w:pPr>
              <w:spacing w:before="80"/>
              <w:jc w:val="both"/>
              <w:rPr>
                <w:i/>
                <w:iCs/>
                <w:sz w:val="22"/>
                <w:szCs w:val="22"/>
                <w:lang w:val="es-ES"/>
              </w:rPr>
            </w:pPr>
            <w:r w:rsidRPr="00C7600C">
              <w:rPr>
                <w:i/>
                <w:iCs/>
                <w:color w:val="000000"/>
                <w:sz w:val="22"/>
                <w:szCs w:val="22"/>
                <w:lang w:val="es-ES"/>
              </w:rPr>
              <w:t>Directrices de investigación: Directrices de la UIT para la investigación (</w:t>
            </w:r>
            <w:hyperlink r:id="rId19" w:history="1">
              <w:r w:rsidR="00EB4583" w:rsidRPr="00EB4583">
                <w:rPr>
                  <w:rStyle w:val="Hyperlink"/>
                  <w:rFonts w:asciiTheme="minorHAnsi" w:eastAsia="STKaiti" w:hAnsiTheme="minorHAnsi" w:cstheme="minorHAnsi"/>
                  <w:i/>
                  <w:iCs/>
                  <w:sz w:val="22"/>
                  <w:szCs w:val="22"/>
                  <w:lang w:val="es-ES" w:eastAsia="zh-CN"/>
                </w:rPr>
                <w:t>OS </w:t>
              </w:r>
              <w:r w:rsidR="00EB4583" w:rsidRPr="00EB4583">
                <w:rPr>
                  <w:rStyle w:val="Hyperlink"/>
                  <w:rFonts w:asciiTheme="minorHAnsi" w:hAnsiTheme="minorHAnsi" w:cstheme="minorHAnsi"/>
                  <w:i/>
                  <w:iCs/>
                  <w:sz w:val="22"/>
                  <w:szCs w:val="22"/>
                  <w:lang w:val="es-ES" w:eastAsia="zh-CN"/>
                </w:rPr>
                <w:t>núm. </w:t>
              </w:r>
              <w:r w:rsidRPr="00C7600C">
                <w:rPr>
                  <w:rStyle w:val="Hyperlink"/>
                  <w:rFonts w:asciiTheme="minorHAnsi" w:eastAsia="STKaiti" w:hAnsiTheme="minorHAnsi" w:cstheme="minorHAnsi"/>
                  <w:i/>
                  <w:iCs/>
                  <w:sz w:val="22"/>
                  <w:szCs w:val="22"/>
                  <w:lang w:val="es-ES" w:eastAsia="zh-CN"/>
                </w:rPr>
                <w:t>19/10</w:t>
              </w:r>
            </w:hyperlink>
            <w:r w:rsidRPr="00C7600C">
              <w:rPr>
                <w:i/>
                <w:iCs/>
                <w:color w:val="000000"/>
                <w:sz w:val="22"/>
                <w:szCs w:val="22"/>
                <w:lang w:val="es-ES"/>
              </w:rPr>
              <w:t>);</w:t>
            </w:r>
          </w:p>
          <w:p w14:paraId="6722490B" w14:textId="3564461F" w:rsidR="00E57B38" w:rsidRPr="004D3A3C" w:rsidRDefault="00E57B38" w:rsidP="00FF3546">
            <w:pPr>
              <w:tabs>
                <w:tab w:val="left" w:pos="8120"/>
              </w:tabs>
              <w:spacing w:before="80" w:after="120"/>
              <w:jc w:val="both"/>
              <w:rPr>
                <w:i/>
                <w:iCs/>
                <w:sz w:val="22"/>
                <w:szCs w:val="22"/>
              </w:rPr>
            </w:pPr>
            <w:r w:rsidRPr="00C7600C">
              <w:rPr>
                <w:i/>
                <w:iCs/>
                <w:color w:val="000000"/>
                <w:sz w:val="22"/>
                <w:szCs w:val="22"/>
                <w:lang w:val="es-ES"/>
              </w:rPr>
              <w:t>Informes de la DCI:</w:t>
            </w:r>
            <w:r w:rsidRPr="00C7600C">
              <w:rPr>
                <w:color w:val="000000"/>
                <w:sz w:val="22"/>
                <w:szCs w:val="22"/>
                <w:u w:val="single"/>
                <w:lang w:val="es-ES"/>
              </w:rPr>
              <w:t xml:space="preserve"> </w:t>
            </w:r>
            <w:hyperlink r:id="rId20" w:history="1">
              <w:r w:rsidRPr="00C7600C">
                <w:rPr>
                  <w:rStyle w:val="Hyperlink"/>
                  <w:rFonts w:asciiTheme="minorHAnsi" w:eastAsia="STKaiti" w:hAnsiTheme="minorHAnsi" w:cstheme="minorHAnsi"/>
                  <w:i/>
                  <w:iCs/>
                  <w:sz w:val="22"/>
                  <w:szCs w:val="22"/>
                  <w:lang w:val="es-ES" w:eastAsia="zh-CN"/>
                </w:rPr>
                <w:t>JIU/REP/2020/1</w:t>
              </w:r>
            </w:hyperlink>
            <w:r w:rsidRPr="00C7600C">
              <w:rPr>
                <w:rStyle w:val="Hyperlink"/>
                <w:rFonts w:asciiTheme="minorHAnsi" w:eastAsia="STKaiti" w:hAnsiTheme="minorHAnsi" w:cstheme="minorHAnsi"/>
                <w:i/>
                <w:iCs/>
                <w:sz w:val="22"/>
                <w:szCs w:val="22"/>
                <w:lang w:val="es-ES" w:eastAsia="zh-CN"/>
              </w:rPr>
              <w:t xml:space="preserve"> </w:t>
            </w:r>
            <w:r w:rsidRPr="00C7600C">
              <w:rPr>
                <w:rFonts w:ascii="Times New Roman" w:eastAsia="SimSun" w:hAnsi="Times New Roman"/>
                <w:i/>
                <w:iCs/>
                <w:sz w:val="22"/>
                <w:szCs w:val="22"/>
                <w:lang w:val="es-ES"/>
              </w:rPr>
              <w:t xml:space="preserve">y </w:t>
            </w:r>
            <w:hyperlink r:id="rId21" w:history="1">
              <w:proofErr w:type="spellStart"/>
              <w:r w:rsidRPr="00C7600C">
                <w:rPr>
                  <w:rStyle w:val="Hyperlink"/>
                  <w:rFonts w:asciiTheme="minorHAnsi" w:eastAsia="STKaiti" w:hAnsiTheme="minorHAnsi" w:cstheme="minorHAnsi"/>
                  <w:i/>
                  <w:iCs/>
                  <w:sz w:val="22"/>
                  <w:szCs w:val="22"/>
                  <w:lang w:val="es-ES" w:eastAsia="zh-CN"/>
                </w:rPr>
                <w:t>JIU</w:t>
              </w:r>
              <w:proofErr w:type="spellEnd"/>
              <w:r w:rsidRPr="00C7600C">
                <w:rPr>
                  <w:rStyle w:val="Hyperlink"/>
                  <w:rFonts w:asciiTheme="minorHAnsi" w:eastAsia="STKaiti" w:hAnsiTheme="minorHAnsi" w:cstheme="minorHAnsi"/>
                  <w:i/>
                  <w:iCs/>
                  <w:sz w:val="22"/>
                  <w:szCs w:val="22"/>
                  <w:lang w:val="es-ES" w:eastAsia="zh-CN"/>
                </w:rPr>
                <w:t>/</w:t>
              </w:r>
              <w:proofErr w:type="spellStart"/>
              <w:r w:rsidRPr="00C7600C">
                <w:rPr>
                  <w:rStyle w:val="Hyperlink"/>
                  <w:rFonts w:asciiTheme="minorHAnsi" w:eastAsia="STKaiti" w:hAnsiTheme="minorHAnsi" w:cstheme="minorHAnsi"/>
                  <w:i/>
                  <w:iCs/>
                  <w:sz w:val="22"/>
                  <w:szCs w:val="22"/>
                  <w:lang w:val="es-ES" w:eastAsia="zh-CN"/>
                </w:rPr>
                <w:t>REP</w:t>
              </w:r>
              <w:proofErr w:type="spellEnd"/>
              <w:r w:rsidRPr="00C7600C">
                <w:rPr>
                  <w:rStyle w:val="Hyperlink"/>
                  <w:rFonts w:asciiTheme="minorHAnsi" w:eastAsia="STKaiti" w:hAnsiTheme="minorHAnsi" w:cstheme="minorHAnsi"/>
                  <w:i/>
                  <w:iCs/>
                  <w:sz w:val="22"/>
                  <w:szCs w:val="22"/>
                  <w:lang w:val="es-ES" w:eastAsia="zh-CN"/>
                </w:rPr>
                <w:t>/2023/2</w:t>
              </w:r>
            </w:hyperlink>
            <w:r w:rsidRPr="00C7600C">
              <w:rPr>
                <w:i/>
                <w:iCs/>
                <w:color w:val="000000"/>
                <w:sz w:val="22"/>
                <w:szCs w:val="22"/>
                <w:lang w:val="es-ES"/>
              </w:rPr>
              <w:t>.</w:t>
            </w:r>
          </w:p>
        </w:tc>
      </w:tr>
    </w:tbl>
    <w:bookmarkEnd w:id="0"/>
    <w:p w14:paraId="0A8579D1" w14:textId="77777777" w:rsidR="00E57B38" w:rsidRPr="00132191" w:rsidRDefault="00E57B38" w:rsidP="0010684D">
      <w:pPr>
        <w:pStyle w:val="Heading1"/>
        <w:jc w:val="both"/>
        <w:rPr>
          <w:lang w:val="es-ES"/>
        </w:rPr>
      </w:pPr>
      <w:r w:rsidRPr="00132191">
        <w:rPr>
          <w:bCs/>
          <w:lang w:val="es-ES"/>
        </w:rPr>
        <w:lastRenderedPageBreak/>
        <w:t>1</w:t>
      </w:r>
      <w:r w:rsidRPr="00132191">
        <w:rPr>
          <w:lang w:val="es-ES"/>
        </w:rPr>
        <w:tab/>
      </w:r>
      <w:r w:rsidRPr="00132191">
        <w:rPr>
          <w:bCs/>
          <w:lang w:val="es-ES"/>
        </w:rPr>
        <w:t>Antecedentes</w:t>
      </w:r>
    </w:p>
    <w:p w14:paraId="3D9EFB3A" w14:textId="76DFC3F8" w:rsidR="00E57B38" w:rsidRPr="00132191" w:rsidRDefault="00E57B38" w:rsidP="0010684D">
      <w:pPr>
        <w:jc w:val="both"/>
        <w:rPr>
          <w:lang w:val="es-ES"/>
        </w:rPr>
      </w:pPr>
      <w:r w:rsidRPr="00132191">
        <w:rPr>
          <w:lang w:val="es-ES"/>
        </w:rPr>
        <w:t>Desde 2023, el Consejo de la UIT y su Grupo de Trabajo sobre Recursos Humanos y Financieros han estado examinando, entre otras cosas, el sistema de supervisión interna de la UIT. En junio de 2024, el Consejo aprobó la Carta de Supervisión Interna de la UIT, que consolida las funciones de investigación y auditoría interna existentes de la Secretaría General en la Unidad de Supervisión, de nueva creación. Entretanto, la Oficina de Ética, como función independiente, sigue colaborando estrechamente con la Unidad de Supervisión en el marco de su mandato (</w:t>
      </w:r>
      <w:r w:rsidR="00EA3C18">
        <w:rPr>
          <w:lang w:val="es-ES"/>
        </w:rPr>
        <w:t xml:space="preserve">Documento </w:t>
      </w:r>
      <w:hyperlink r:id="rId22" w:history="1">
        <w:proofErr w:type="spellStart"/>
        <w:r w:rsidRPr="00355B6C">
          <w:rPr>
            <w:rStyle w:val="Hyperlink"/>
            <w:rFonts w:asciiTheme="minorHAnsi" w:eastAsia="STKaiti" w:hAnsiTheme="minorHAnsi" w:cstheme="minorHAnsi"/>
            <w:lang w:val="es-ES" w:eastAsia="zh-CN"/>
          </w:rPr>
          <w:t>C24</w:t>
        </w:r>
        <w:proofErr w:type="spellEnd"/>
        <w:r w:rsidRPr="00355B6C">
          <w:rPr>
            <w:rStyle w:val="Hyperlink"/>
            <w:rFonts w:asciiTheme="minorHAnsi" w:eastAsia="STKaiti" w:hAnsiTheme="minorHAnsi" w:cstheme="minorHAnsi"/>
            <w:lang w:val="es-ES" w:eastAsia="zh-CN"/>
          </w:rPr>
          <w:t>/120</w:t>
        </w:r>
      </w:hyperlink>
      <w:r w:rsidRPr="00132191">
        <w:rPr>
          <w:lang w:val="es-ES"/>
        </w:rPr>
        <w:t xml:space="preserve">). Se revisó el artículo 29 del Reglamento Financiero y las Reglas Financieras y se publicó consecuentemente la </w:t>
      </w:r>
      <w:hyperlink r:id="rId23" w:history="1">
        <w:r w:rsidRPr="000A3D76">
          <w:rPr>
            <w:rStyle w:val="Hyperlink"/>
            <w:lang w:val="es-ES"/>
          </w:rPr>
          <w:t>Orden de Servicio núm.</w:t>
        </w:r>
        <w:r w:rsidR="0010684D">
          <w:rPr>
            <w:rStyle w:val="Hyperlink"/>
            <w:lang w:val="es-ES"/>
          </w:rPr>
          <w:t> </w:t>
        </w:r>
        <w:r w:rsidRPr="000A3D76">
          <w:rPr>
            <w:rStyle w:val="Hyperlink"/>
            <w:lang w:val="es-ES"/>
          </w:rPr>
          <w:t>24/09</w:t>
        </w:r>
      </w:hyperlink>
      <w:r w:rsidRPr="00132191">
        <w:rPr>
          <w:lang w:val="es-ES"/>
        </w:rPr>
        <w:t>.</w:t>
      </w:r>
    </w:p>
    <w:p w14:paraId="1718B1AC" w14:textId="400E8A10" w:rsidR="00E57B38" w:rsidRPr="00132191" w:rsidRDefault="00E57B38" w:rsidP="0010684D">
      <w:pPr>
        <w:jc w:val="both"/>
        <w:rPr>
          <w:lang w:val="es-ES"/>
        </w:rPr>
      </w:pPr>
      <w:r w:rsidRPr="00132191">
        <w:rPr>
          <w:lang w:val="es-ES"/>
        </w:rPr>
        <w:t>Como se refleja en el acta de la sesión de 2024 del Consejo, deben aportarse mejoras adicionales a la Carta de Supervisión Interna (</w:t>
      </w:r>
      <w:r w:rsidR="00EA3C18">
        <w:rPr>
          <w:lang w:val="es-ES"/>
        </w:rPr>
        <w:t xml:space="preserve">Documento </w:t>
      </w:r>
      <w:hyperlink r:id="rId24" w:history="1">
        <w:proofErr w:type="spellStart"/>
        <w:r w:rsidRPr="00CD7800">
          <w:rPr>
            <w:rStyle w:val="Hyperlink"/>
            <w:lang w:val="es-ES"/>
          </w:rPr>
          <w:t>C24</w:t>
        </w:r>
        <w:proofErr w:type="spellEnd"/>
        <w:r w:rsidRPr="00CD7800">
          <w:rPr>
            <w:rStyle w:val="Hyperlink"/>
            <w:lang w:val="es-ES"/>
          </w:rPr>
          <w:t>/109(</w:t>
        </w:r>
        <w:proofErr w:type="spellStart"/>
        <w:r w:rsidRPr="00CD7800">
          <w:rPr>
            <w:rStyle w:val="Hyperlink"/>
            <w:lang w:val="es-ES"/>
          </w:rPr>
          <w:t>Rev.1</w:t>
        </w:r>
        <w:proofErr w:type="spellEnd"/>
        <w:r w:rsidRPr="00CD7800">
          <w:rPr>
            <w:rStyle w:val="Hyperlink"/>
            <w:lang w:val="es-ES"/>
          </w:rPr>
          <w:t>)</w:t>
        </w:r>
      </w:hyperlink>
      <w:r w:rsidRPr="00CD7800">
        <w:rPr>
          <w:lang w:val="es-ES"/>
        </w:rPr>
        <w:t>),</w:t>
      </w:r>
      <w:r w:rsidRPr="00132191">
        <w:rPr>
          <w:lang w:val="es-ES"/>
        </w:rPr>
        <w:t xml:space="preserve"> en particular respecto de los párrs. 25 a 27 sobre la independencia:</w:t>
      </w:r>
    </w:p>
    <w:p w14:paraId="2964BF8B" w14:textId="51E477C1" w:rsidR="00E57B38" w:rsidRPr="00C7600C" w:rsidRDefault="00E57B38" w:rsidP="0010684D">
      <w:pPr>
        <w:pStyle w:val="enumlev1"/>
        <w:jc w:val="both"/>
        <w:rPr>
          <w:spacing w:val="-2"/>
          <w:lang w:val="es-ES"/>
        </w:rPr>
      </w:pPr>
      <w:r w:rsidRPr="00C7600C">
        <w:rPr>
          <w:spacing w:val="-2"/>
          <w:lang w:val="es-ES"/>
        </w:rPr>
        <w:t>"25</w:t>
      </w:r>
      <w:r w:rsidRPr="00C7600C">
        <w:rPr>
          <w:spacing w:val="-2"/>
          <w:lang w:val="es-ES"/>
        </w:rPr>
        <w:tab/>
        <w:t xml:space="preserve">Con objeto de preservar su independencia para llevar a cabo la labor de auditoría de forma </w:t>
      </w:r>
      <w:r w:rsidRPr="00EA3C18">
        <w:t>objetiva</w:t>
      </w:r>
      <w:r w:rsidRPr="00C7600C">
        <w:rPr>
          <w:spacing w:val="-2"/>
          <w:lang w:val="es-ES"/>
        </w:rPr>
        <w:t xml:space="preserve"> y emitir juicios imparciales, el personal de la Unidad de Supervisión no tendrá ni autoridad de gestión ni responsabilidad sobre ninguna de las actividades que audite, investigue o evalúe, y no desempeñará ninguna otra función operativa para la UIT.</w:t>
      </w:r>
    </w:p>
    <w:p w14:paraId="191509D8" w14:textId="4ED1A286" w:rsidR="00E57B38" w:rsidRPr="00132191" w:rsidRDefault="00E57B38" w:rsidP="0010684D">
      <w:pPr>
        <w:pStyle w:val="enumlev1"/>
        <w:jc w:val="both"/>
        <w:rPr>
          <w:lang w:val="es-ES"/>
        </w:rPr>
      </w:pPr>
      <w:r w:rsidRPr="00132191">
        <w:rPr>
          <w:lang w:val="es-ES"/>
        </w:rPr>
        <w:t>26</w:t>
      </w:r>
      <w:r w:rsidRPr="00132191">
        <w:rPr>
          <w:lang w:val="es-ES"/>
        </w:rPr>
        <w:tab/>
        <w:t xml:space="preserve">Las denuncias de falta de conducta presentadas contra el Jefe o el personal de la Unidad de Supervisión no serán investigadas por dicha Unidad. Toda denuncia de esa índole que deba </w:t>
      </w:r>
      <w:r w:rsidRPr="00EA3C18">
        <w:t>ser</w:t>
      </w:r>
      <w:r w:rsidRPr="00132191">
        <w:rPr>
          <w:lang w:val="es-ES"/>
        </w:rPr>
        <w:t xml:space="preserve"> objeto de investigación se remitirá al Secretario General, quien solicitará asesoramiento al CAIG al respecto. Por su parte, el CAIG establecerá los procedimientos de remisión exhaustivos y adecuados para el examen preliminar independiente de la denuncia o denuncias y, en caso necesario, un mecanismo de investigación independiente.</w:t>
      </w:r>
    </w:p>
    <w:p w14:paraId="57276ED8" w14:textId="5B54D2B5" w:rsidR="00E57B38" w:rsidRPr="00132191" w:rsidRDefault="00E57B38" w:rsidP="00EA3C18">
      <w:pPr>
        <w:pStyle w:val="enumlev1"/>
        <w:jc w:val="both"/>
        <w:rPr>
          <w:lang w:val="es-ES"/>
        </w:rPr>
      </w:pPr>
      <w:r w:rsidRPr="00132191">
        <w:rPr>
          <w:lang w:val="es-ES"/>
        </w:rPr>
        <w:t>27</w:t>
      </w:r>
      <w:r w:rsidRPr="00132191">
        <w:rPr>
          <w:lang w:val="es-ES"/>
        </w:rPr>
        <w:tab/>
        <w:t>Las denuncias de falta de conducta presentadas contra el Secretario General o los demás funcionarios de elección tampoco serán investigadas por la Unidad de Supervisión. Dichas denuncias se remitirán al Presidente del Consejo y al Presidente del CAIG. Por su parte, la Unidad de Supervisión establecerá los procedimientos de remisión exhaustivos y adecuados para el examen preliminar independiente de la denuncia o denuncias y, en caso necesario, un mecanismo de investigación independiente. Esos procedimientos se basarán en prácticas idóneas de las Naciones Unidas, y serán examinados por el CAIG y sometidos al Consejo de la UIT para su estudio, y en su caso, adopción de las medidas pertinentes".</w:t>
      </w:r>
    </w:p>
    <w:p w14:paraId="1ED44A55" w14:textId="77777777" w:rsidR="00E57B38" w:rsidRPr="00132191" w:rsidRDefault="00E57B38" w:rsidP="00FE5864">
      <w:pPr>
        <w:pStyle w:val="Heading1"/>
        <w:spacing w:before="240"/>
        <w:jc w:val="both"/>
        <w:rPr>
          <w:lang w:val="es-ES"/>
        </w:rPr>
      </w:pPr>
      <w:r w:rsidRPr="00132191">
        <w:rPr>
          <w:bCs/>
          <w:lang w:val="es-ES"/>
        </w:rPr>
        <w:t>2</w:t>
      </w:r>
      <w:r w:rsidRPr="00132191">
        <w:rPr>
          <w:lang w:val="es-ES"/>
        </w:rPr>
        <w:tab/>
      </w:r>
      <w:r w:rsidRPr="00132191">
        <w:rPr>
          <w:bCs/>
          <w:lang w:val="es-ES"/>
        </w:rPr>
        <w:t>Propuestas</w:t>
      </w:r>
    </w:p>
    <w:p w14:paraId="51346E01" w14:textId="2C90C3ED" w:rsidR="00E57B38" w:rsidRPr="00132191" w:rsidRDefault="00E57B38" w:rsidP="0010684D">
      <w:pPr>
        <w:jc w:val="both"/>
        <w:rPr>
          <w:lang w:val="es-ES"/>
        </w:rPr>
      </w:pPr>
      <w:r w:rsidRPr="00132191">
        <w:rPr>
          <w:lang w:val="es-ES"/>
        </w:rPr>
        <w:t>1</w:t>
      </w:r>
      <w:r w:rsidRPr="00132191">
        <w:rPr>
          <w:lang w:val="es-ES"/>
        </w:rPr>
        <w:tab/>
        <w:t xml:space="preserve">A fin de aplicar la decisión del Consejo respecto de la mejora de la supervisión interna, y facilitar la aplicación de la Carta de Supervisión Interna, el Comité Asesor Independiente sobre la Gestión (CAIG) y la Unidad de Supervisión </w:t>
      </w:r>
      <w:r w:rsidRPr="00CD7800">
        <w:rPr>
          <w:lang w:val="es-ES"/>
        </w:rPr>
        <w:t xml:space="preserve">elaborarán </w:t>
      </w:r>
      <w:r w:rsidR="00043B9A" w:rsidRPr="00CD7800">
        <w:rPr>
          <w:lang w:val="es-ES"/>
        </w:rPr>
        <w:t xml:space="preserve">e informarán al Consejo, </w:t>
      </w:r>
      <w:r w:rsidRPr="00CD7800">
        <w:rPr>
          <w:lang w:val="es-ES"/>
        </w:rPr>
        <w:t>respectivamente</w:t>
      </w:r>
      <w:r w:rsidR="00043B9A" w:rsidRPr="00CD7800">
        <w:rPr>
          <w:lang w:val="es-ES"/>
        </w:rPr>
        <w:t>, sobre</w:t>
      </w:r>
      <w:r w:rsidRPr="00CD7800">
        <w:rPr>
          <w:lang w:val="es-ES"/>
        </w:rPr>
        <w:t xml:space="preserve"> los dos documentos de procedimien</w:t>
      </w:r>
      <w:r w:rsidRPr="00132191">
        <w:rPr>
          <w:lang w:val="es-ES"/>
        </w:rPr>
        <w:t>to señalados a continuación:</w:t>
      </w:r>
    </w:p>
    <w:p w14:paraId="636CEF02" w14:textId="77777777" w:rsidR="00E57B38" w:rsidRPr="00132191" w:rsidRDefault="00E57B38" w:rsidP="00EA3C18">
      <w:pPr>
        <w:pStyle w:val="enumlev1"/>
        <w:jc w:val="both"/>
        <w:rPr>
          <w:lang w:val="es-ES"/>
        </w:rPr>
      </w:pPr>
      <w:r w:rsidRPr="00132191">
        <w:rPr>
          <w:lang w:val="es-ES"/>
        </w:rPr>
        <w:t>–</w:t>
      </w:r>
      <w:r w:rsidRPr="00132191">
        <w:rPr>
          <w:lang w:val="es-ES"/>
        </w:rPr>
        <w:tab/>
        <w:t xml:space="preserve">un procedimiento de remisión detallado para el examen preliminar independiente de las denuncias de falta de conducta presentadas contra el Jefe o el personal de la Unidad de </w:t>
      </w:r>
      <w:r w:rsidRPr="00EA3C18">
        <w:t>Supervisión</w:t>
      </w:r>
      <w:r w:rsidRPr="00132191">
        <w:rPr>
          <w:lang w:val="es-ES"/>
        </w:rPr>
        <w:t>, junto con un mecanismo de investigación independiente conexo, que deberá preparar el CAIG;</w:t>
      </w:r>
    </w:p>
    <w:p w14:paraId="651A06FA" w14:textId="77777777" w:rsidR="00E57B38" w:rsidRPr="00132191" w:rsidRDefault="00E57B38" w:rsidP="00EA3C18">
      <w:pPr>
        <w:pStyle w:val="enumlev1"/>
        <w:jc w:val="both"/>
        <w:rPr>
          <w:lang w:val="es-ES"/>
        </w:rPr>
      </w:pPr>
      <w:r w:rsidRPr="00132191">
        <w:rPr>
          <w:lang w:val="es-ES"/>
        </w:rPr>
        <w:t>–</w:t>
      </w:r>
      <w:r w:rsidRPr="00132191">
        <w:rPr>
          <w:lang w:val="es-ES"/>
        </w:rPr>
        <w:tab/>
        <w:t xml:space="preserve">un </w:t>
      </w:r>
      <w:r w:rsidRPr="00EA3C18">
        <w:t>procedimiento</w:t>
      </w:r>
      <w:r w:rsidRPr="00132191">
        <w:rPr>
          <w:lang w:val="es-ES"/>
        </w:rPr>
        <w:t xml:space="preserve"> de remisión detallado para el examen preliminar independiente de las denuncias de falta de conducta presentadas contra el Secretario General o los demás </w:t>
      </w:r>
      <w:r w:rsidRPr="00132191">
        <w:rPr>
          <w:lang w:val="es-ES"/>
        </w:rPr>
        <w:lastRenderedPageBreak/>
        <w:t>funcionarios de elección, junto con un mecanismo de investigación independiente conexo, que deberá preparar la Unidad de Supervisión.</w:t>
      </w:r>
    </w:p>
    <w:p w14:paraId="328A8A33" w14:textId="77777777" w:rsidR="00E57B38" w:rsidRPr="00132191" w:rsidRDefault="00E57B38" w:rsidP="0010684D">
      <w:pPr>
        <w:keepNext/>
        <w:jc w:val="both"/>
        <w:rPr>
          <w:lang w:val="es-ES"/>
        </w:rPr>
      </w:pPr>
      <w:r w:rsidRPr="00132191">
        <w:rPr>
          <w:lang w:val="es-ES"/>
        </w:rPr>
        <w:t>2</w:t>
      </w:r>
      <w:r w:rsidRPr="00132191">
        <w:rPr>
          <w:lang w:val="es-ES"/>
        </w:rPr>
        <w:tab/>
        <w:t>En la elaboración de los procedimientos pertinentes, el CAIG y la Unidad de Supervisión deberán:</w:t>
      </w:r>
    </w:p>
    <w:p w14:paraId="07E49727" w14:textId="77777777" w:rsidR="00E57B38" w:rsidRPr="00132191" w:rsidRDefault="00E57B38" w:rsidP="00EA3C18">
      <w:pPr>
        <w:pStyle w:val="enumlev1"/>
        <w:jc w:val="both"/>
        <w:rPr>
          <w:lang w:val="es-ES"/>
        </w:rPr>
      </w:pPr>
      <w:r w:rsidRPr="00132191">
        <w:rPr>
          <w:lang w:val="es-ES"/>
        </w:rPr>
        <w:t>–</w:t>
      </w:r>
      <w:r w:rsidRPr="00132191">
        <w:rPr>
          <w:lang w:val="es-ES"/>
        </w:rPr>
        <w:tab/>
        <w:t xml:space="preserve">definir claramente las funciones y responsabilidades del Secretario General, el Consejo, el CAIG, la Unidad de Supervisión, la Oficina de Ética y la Junta de Reclamaciones Internas en las distintas etapas de la tramitación de las denuncias de falta de conducta, desde la </w:t>
      </w:r>
      <w:r w:rsidRPr="00EA3C18">
        <w:t>recepción</w:t>
      </w:r>
      <w:r w:rsidRPr="00132191">
        <w:rPr>
          <w:lang w:val="es-ES"/>
        </w:rPr>
        <w:t xml:space="preserve"> y el registro de las denuncias hasta la investigación y el examen de los casos, el establecimiento de conclusiones y la aplicación de medidas de reparación o correctivas apropiadas; y garantizar una división inequívoca de las responsabilidades y una coordinación eficaz entre la Oficina de Ética y la Unidad de Supervisión respecto de la tramitación de las denuncias de falta de conducta;</w:t>
      </w:r>
    </w:p>
    <w:p w14:paraId="678777BA" w14:textId="0E75B04D" w:rsidR="00E57B38" w:rsidRPr="00132191" w:rsidRDefault="00E57B38" w:rsidP="00EA3C18">
      <w:pPr>
        <w:pStyle w:val="enumlev1"/>
        <w:jc w:val="both"/>
        <w:rPr>
          <w:lang w:val="es-ES"/>
        </w:rPr>
      </w:pPr>
      <w:r w:rsidRPr="00132191">
        <w:rPr>
          <w:lang w:val="es-ES"/>
        </w:rPr>
        <w:t>–</w:t>
      </w:r>
      <w:r w:rsidRPr="00132191">
        <w:rPr>
          <w:lang w:val="es-ES"/>
        </w:rPr>
        <w:tab/>
        <w:t xml:space="preserve">al examinar casos habituales de conducta indebida, como los de fraude y corrupción, acoso y abuso de autoridad, conflictos de interés y represalias, debe utilizarse eficazmente el </w:t>
      </w:r>
      <w:r w:rsidRPr="00EA3C18">
        <w:t>marco</w:t>
      </w:r>
      <w:r w:rsidRPr="00132191">
        <w:rPr>
          <w:lang w:val="es-ES"/>
        </w:rPr>
        <w:t xml:space="preserve"> reglamentario en vigor de la UIT, en particular los Estatutos y el Reglamento del Personal, los Estatutos y el Reglamento del Personal aplicables a los funcionarios de elección, y las órdenes de servicio pertinentes (</w:t>
      </w:r>
      <w:hyperlink r:id="rId25" w:history="1">
        <w:r w:rsidR="00EA3C18" w:rsidRPr="00EA3C18">
          <w:rPr>
            <w:rStyle w:val="Hyperlink"/>
            <w:rFonts w:asciiTheme="minorHAnsi" w:eastAsia="STKaiti" w:hAnsiTheme="minorHAnsi" w:cstheme="minorHAnsi"/>
            <w:lang w:val="es-ES" w:eastAsia="zh-CN"/>
          </w:rPr>
          <w:t>OS </w:t>
        </w:r>
        <w:r w:rsidR="00EA3C18" w:rsidRPr="00EA3C18">
          <w:rPr>
            <w:rStyle w:val="Hyperlink"/>
            <w:rFonts w:asciiTheme="minorHAnsi" w:hAnsiTheme="minorHAnsi" w:cstheme="minorHAnsi"/>
            <w:lang w:val="es-ES" w:eastAsia="zh-CN"/>
          </w:rPr>
          <w:t>núm</w:t>
        </w:r>
        <w:r w:rsidR="00EA3C18">
          <w:rPr>
            <w:rStyle w:val="Hyperlink"/>
            <w:rFonts w:asciiTheme="minorHAnsi" w:hAnsiTheme="minorHAnsi" w:cstheme="minorHAnsi"/>
            <w:lang w:val="es-ES" w:eastAsia="zh-CN"/>
          </w:rPr>
          <w:t>eros</w:t>
        </w:r>
        <w:r w:rsidRPr="00355B6C">
          <w:rPr>
            <w:rStyle w:val="Hyperlink"/>
            <w:rFonts w:asciiTheme="minorHAnsi" w:eastAsia="STKaiti" w:hAnsiTheme="minorHAnsi" w:cstheme="minorHAnsi"/>
            <w:lang w:val="es-ES" w:eastAsia="zh-CN"/>
          </w:rPr>
          <w:t> 17/07</w:t>
        </w:r>
      </w:hyperlink>
      <w:r w:rsidRPr="00355B6C">
        <w:rPr>
          <w:lang w:val="es-ES"/>
        </w:rPr>
        <w:t xml:space="preserve">, </w:t>
      </w:r>
      <w:hyperlink r:id="rId26" w:history="1">
        <w:r w:rsidRPr="00355B6C">
          <w:rPr>
            <w:rStyle w:val="Hyperlink"/>
            <w:rFonts w:asciiTheme="minorHAnsi" w:eastAsia="STKaiti" w:hAnsiTheme="minorHAnsi" w:cstheme="minorHAnsi"/>
            <w:lang w:val="es-ES" w:eastAsia="zh-CN"/>
          </w:rPr>
          <w:t>11/02</w:t>
        </w:r>
      </w:hyperlink>
      <w:r w:rsidRPr="00355B6C">
        <w:rPr>
          <w:lang w:val="es-ES"/>
        </w:rPr>
        <w:t xml:space="preserve">, </w:t>
      </w:r>
      <w:hyperlink r:id="rId27" w:history="1">
        <w:r w:rsidRPr="00355B6C">
          <w:rPr>
            <w:rStyle w:val="Hyperlink"/>
            <w:rFonts w:asciiTheme="minorHAnsi" w:eastAsia="STKaiti" w:hAnsiTheme="minorHAnsi" w:cstheme="minorHAnsi"/>
            <w:lang w:val="es-ES" w:eastAsia="zh-CN"/>
          </w:rPr>
          <w:t>19/09</w:t>
        </w:r>
      </w:hyperlink>
      <w:r w:rsidRPr="00355B6C">
        <w:rPr>
          <w:lang w:val="es-ES"/>
        </w:rPr>
        <w:t xml:space="preserve">, </w:t>
      </w:r>
      <w:hyperlink r:id="rId28" w:history="1">
        <w:r w:rsidRPr="00355B6C">
          <w:rPr>
            <w:rStyle w:val="Hyperlink"/>
            <w:rFonts w:asciiTheme="minorHAnsi" w:eastAsia="STKaiti" w:hAnsiTheme="minorHAnsi" w:cstheme="minorHAnsi"/>
            <w:lang w:val="es-ES" w:eastAsia="zh-CN"/>
          </w:rPr>
          <w:t>22/03</w:t>
        </w:r>
      </w:hyperlink>
      <w:r w:rsidRPr="00355B6C">
        <w:rPr>
          <w:lang w:val="es-ES"/>
        </w:rPr>
        <w:t xml:space="preserve"> y </w:t>
      </w:r>
      <w:hyperlink r:id="rId29" w:history="1">
        <w:r w:rsidRPr="00355B6C">
          <w:rPr>
            <w:rStyle w:val="Hyperlink"/>
            <w:rFonts w:asciiTheme="minorHAnsi" w:eastAsia="STKaiti" w:hAnsiTheme="minorHAnsi" w:cstheme="minorHAnsi"/>
            <w:lang w:val="es-ES" w:eastAsia="zh-CN"/>
          </w:rPr>
          <w:t>20/06</w:t>
        </w:r>
      </w:hyperlink>
      <w:r w:rsidRPr="00132191">
        <w:rPr>
          <w:lang w:val="es-ES"/>
        </w:rPr>
        <w:t>) a fin de</w:t>
      </w:r>
      <w:r w:rsidR="00043B9A">
        <w:rPr>
          <w:lang w:val="es-ES"/>
        </w:rPr>
        <w:t xml:space="preserve"> </w:t>
      </w:r>
      <w:r w:rsidR="00043B9A" w:rsidRPr="00133E95">
        <w:rPr>
          <w:lang w:val="es-ES"/>
        </w:rPr>
        <w:t>garantizar la coherencia entre los instrumentos jurídicos existentes</w:t>
      </w:r>
      <w:r w:rsidRPr="00133E95">
        <w:rPr>
          <w:lang w:val="es-ES"/>
        </w:rPr>
        <w:t>;</w:t>
      </w:r>
    </w:p>
    <w:p w14:paraId="5308FC20" w14:textId="77777777" w:rsidR="00E57B38" w:rsidRPr="00132191" w:rsidRDefault="00E57B38" w:rsidP="00EA3C18">
      <w:pPr>
        <w:pStyle w:val="enumlev1"/>
        <w:jc w:val="both"/>
        <w:rPr>
          <w:lang w:val="es-ES"/>
        </w:rPr>
      </w:pPr>
      <w:r w:rsidRPr="00132191">
        <w:rPr>
          <w:lang w:val="es-ES"/>
        </w:rPr>
        <w:t>–</w:t>
      </w:r>
      <w:r w:rsidRPr="00132191">
        <w:rPr>
          <w:lang w:val="es-ES"/>
        </w:rPr>
        <w:tab/>
        <w:t>estudiar las prácticas idóneas del sistema de las Naciones Unidas y adaptarlas al contexto de la UIT cuando proceda.</w:t>
      </w:r>
    </w:p>
    <w:p w14:paraId="1ABD4480" w14:textId="77777777" w:rsidR="00E57B38" w:rsidRDefault="00E57B38" w:rsidP="00FE5864">
      <w:pPr>
        <w:jc w:val="both"/>
        <w:rPr>
          <w:lang w:val="es-ES"/>
        </w:rPr>
      </w:pPr>
      <w:r w:rsidRPr="00132191">
        <w:rPr>
          <w:lang w:val="es-ES"/>
        </w:rPr>
        <w:t>Por ejemplo:</w:t>
      </w:r>
    </w:p>
    <w:p w14:paraId="69F9930D" w14:textId="047C81EE" w:rsidR="00E57B38" w:rsidRDefault="00E57B38" w:rsidP="00EA3C18">
      <w:pPr>
        <w:pStyle w:val="enumlev1"/>
        <w:jc w:val="both"/>
        <w:rPr>
          <w:lang w:val="es-ES"/>
        </w:rPr>
      </w:pPr>
      <w:r w:rsidRPr="00132191">
        <w:rPr>
          <w:lang w:val="es-ES"/>
        </w:rPr>
        <w:t>•</w:t>
      </w:r>
      <w:r w:rsidRPr="00132191">
        <w:rPr>
          <w:lang w:val="es-ES"/>
        </w:rPr>
        <w:tab/>
        <w:t xml:space="preserve">si una denuncia de falta de conducta se refiere al </w:t>
      </w:r>
      <w:r w:rsidRPr="00132191">
        <w:rPr>
          <w:b/>
          <w:bCs/>
          <w:lang w:val="es-ES"/>
        </w:rPr>
        <w:t>personal de la Unidad de Supervisión</w:t>
      </w:r>
      <w:r w:rsidRPr="00133E95">
        <w:rPr>
          <w:lang w:val="es-ES"/>
        </w:rPr>
        <w:t>,</w:t>
      </w:r>
      <w:r w:rsidRPr="00132191">
        <w:rPr>
          <w:lang w:val="es-ES"/>
        </w:rPr>
        <w:t xml:space="preserve"> el Jefe de dicha unidad debe consultar con el CAIG</w:t>
      </w:r>
      <w:r w:rsidR="00043B9A">
        <w:rPr>
          <w:lang w:val="es-ES"/>
        </w:rPr>
        <w:t xml:space="preserve"> </w:t>
      </w:r>
      <w:r w:rsidR="00043B9A" w:rsidRPr="00133E95">
        <w:rPr>
          <w:lang w:val="es-ES"/>
        </w:rPr>
        <w:t>sobre el proceso de remisión</w:t>
      </w:r>
      <w:r w:rsidRPr="00132191">
        <w:rPr>
          <w:lang w:val="es-ES"/>
        </w:rPr>
        <w:t>;</w:t>
      </w:r>
    </w:p>
    <w:p w14:paraId="268B4E8A" w14:textId="77777777" w:rsidR="00E57B38" w:rsidRPr="00132191" w:rsidRDefault="00E57B38" w:rsidP="00EA3C18">
      <w:pPr>
        <w:pStyle w:val="enumlev1"/>
        <w:jc w:val="both"/>
        <w:rPr>
          <w:lang w:val="es-ES"/>
        </w:rPr>
      </w:pPr>
      <w:r w:rsidRPr="00132191">
        <w:rPr>
          <w:lang w:val="es-ES"/>
        </w:rPr>
        <w:t>•</w:t>
      </w:r>
      <w:r w:rsidRPr="00132191">
        <w:rPr>
          <w:lang w:val="es-ES"/>
        </w:rPr>
        <w:tab/>
        <w:t xml:space="preserve">si la denuncia se refiere al </w:t>
      </w:r>
      <w:r w:rsidRPr="00132191">
        <w:rPr>
          <w:b/>
          <w:bCs/>
          <w:lang w:val="es-ES"/>
        </w:rPr>
        <w:t>Jefe de la Unidad de Supervisión,</w:t>
      </w:r>
      <w:r w:rsidRPr="00132191">
        <w:rPr>
          <w:lang w:val="es-ES"/>
        </w:rPr>
        <w:t xml:space="preserve"> deberá remitirse al Secretario </w:t>
      </w:r>
      <w:r w:rsidRPr="00EA3C18">
        <w:t>General</w:t>
      </w:r>
      <w:r w:rsidRPr="00132191">
        <w:rPr>
          <w:lang w:val="es-ES"/>
        </w:rPr>
        <w:t xml:space="preserve"> y al Vicesecretario General, que a continuación deberán trasladar el asunto al Presidente del Consejo lo antes posible y, a más tardar, en un plazo de un mes desde la fecha de recepción de la denuncia y consultar con el CAIG para saber cómo han de proceder; No deben iniciarse investigaciones sobre denuncias contra el Jefe de la Unidad de Supervisión sin el consentimiento previo del Consejo;</w:t>
      </w:r>
    </w:p>
    <w:p w14:paraId="4950BE6D" w14:textId="0712CDDF" w:rsidR="00E57B38" w:rsidRPr="00132191" w:rsidRDefault="00E57B38" w:rsidP="00EA3C18">
      <w:pPr>
        <w:pStyle w:val="enumlev1"/>
        <w:jc w:val="both"/>
        <w:rPr>
          <w:lang w:val="es-ES"/>
        </w:rPr>
      </w:pPr>
      <w:r w:rsidRPr="00132191">
        <w:rPr>
          <w:lang w:val="es-ES"/>
        </w:rPr>
        <w:t>•</w:t>
      </w:r>
      <w:r w:rsidRPr="00132191">
        <w:rPr>
          <w:lang w:val="es-ES"/>
        </w:rPr>
        <w:tab/>
        <w:t xml:space="preserve">si la denuncia se refiere a un </w:t>
      </w:r>
      <w:r w:rsidRPr="00132191">
        <w:rPr>
          <w:b/>
          <w:bCs/>
          <w:lang w:val="es-ES"/>
        </w:rPr>
        <w:t xml:space="preserve">funcionario de elección, </w:t>
      </w:r>
      <w:r w:rsidRPr="00132191">
        <w:rPr>
          <w:lang w:val="es-ES"/>
        </w:rPr>
        <w:t xml:space="preserve">deberá remitirse al Jefe de la Unidad de </w:t>
      </w:r>
      <w:r w:rsidRPr="00EA3C18">
        <w:t>Supervisión</w:t>
      </w:r>
      <w:r w:rsidRPr="00132191">
        <w:rPr>
          <w:lang w:val="es-ES"/>
        </w:rPr>
        <w:t xml:space="preserve">, que deberá avisar inmediatamente al Presidente del Consejo y </w:t>
      </w:r>
      <w:r w:rsidRPr="00EA3C18">
        <w:t>consultar</w:t>
      </w:r>
      <w:r w:rsidRPr="00132191">
        <w:rPr>
          <w:lang w:val="es-ES"/>
        </w:rPr>
        <w:t xml:space="preserve"> con el </w:t>
      </w:r>
      <w:proofErr w:type="spellStart"/>
      <w:r w:rsidRPr="00132191">
        <w:rPr>
          <w:lang w:val="es-ES"/>
        </w:rPr>
        <w:t>CAIG</w:t>
      </w:r>
      <w:proofErr w:type="spellEnd"/>
      <w:r w:rsidRPr="00132191">
        <w:rPr>
          <w:lang w:val="es-ES"/>
        </w:rPr>
        <w:t xml:space="preserve"> para conocer el camino que se debe seguir. El CAIG debe asesorar al Jefe de Unidad de Supervisión, ya sea respecto de la realización de una evaluación preliminar o de la contratación de una entidad de investigación independiente y externa para que realice dicha evaluación. Sobre la base de los resultados de la evaluación preliminar, el Jefe de la Unidad de Supervisión debe informar al Presidente del Consejo, indicándole si la Unidad de Supervisión ha de cerrar el caso o remitirlo a una entidad independiente y externa para su plena investigación</w:t>
      </w:r>
      <w:r w:rsidRPr="00133E95">
        <w:rPr>
          <w:lang w:val="es-ES"/>
        </w:rPr>
        <w:t>.</w:t>
      </w:r>
      <w:r w:rsidR="00043B9A" w:rsidRPr="00133E95">
        <w:rPr>
          <w:lang w:val="es-ES"/>
        </w:rPr>
        <w:t xml:space="preserve"> En tales casos, el Consejo tomará su decisión basándose en el resultado de la investigación.</w:t>
      </w:r>
    </w:p>
    <w:p w14:paraId="2DA9579E" w14:textId="14537294" w:rsidR="00FE5864" w:rsidRDefault="00E57B38" w:rsidP="00EA3C18">
      <w:pPr>
        <w:jc w:val="both"/>
      </w:pPr>
      <w:r w:rsidRPr="00132191">
        <w:rPr>
          <w:lang w:val="es-ES"/>
        </w:rPr>
        <w:t>3</w:t>
      </w:r>
      <w:r w:rsidRPr="00132191">
        <w:rPr>
          <w:lang w:val="es-ES"/>
        </w:rPr>
        <w:tab/>
        <w:t>Los dos proyectos de procedimiento señalados en la Propuesta 1 anterior deben presentarse al Consejo para su examen y aprobación oportunos de conformidad con los procedimientos establecidos.</w:t>
      </w:r>
    </w:p>
    <w:p w14:paraId="549325AF" w14:textId="77777777" w:rsidR="00FE5864" w:rsidRDefault="00FE5864">
      <w:pPr>
        <w:jc w:val="center"/>
      </w:pPr>
      <w:r>
        <w:t>______________</w:t>
      </w:r>
    </w:p>
    <w:sectPr w:rsidR="00FE5864" w:rsidSect="00C538FC">
      <w:headerReference w:type="even" r:id="rId30"/>
      <w:headerReference w:type="default" r:id="rId31"/>
      <w:footerReference w:type="even" r:id="rId32"/>
      <w:footerReference w:type="default" r:id="rId33"/>
      <w:headerReference w:type="first" r:id="rId34"/>
      <w:footerReference w:type="first" r:id="rId3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052E6" w14:textId="77777777" w:rsidR="00E57B38" w:rsidRDefault="00E57B38">
      <w:r>
        <w:separator/>
      </w:r>
    </w:p>
  </w:endnote>
  <w:endnote w:type="continuationSeparator" w:id="0">
    <w:p w14:paraId="2B987482" w14:textId="77777777" w:rsidR="00E57B38" w:rsidRDefault="00E5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BEA80" w14:textId="77777777" w:rsidR="00FF3546" w:rsidRDefault="00FF35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1A644377" w14:textId="77777777" w:rsidTr="00E31DCE">
      <w:trPr>
        <w:jc w:val="center"/>
      </w:trPr>
      <w:tc>
        <w:tcPr>
          <w:tcW w:w="1803" w:type="dxa"/>
          <w:vAlign w:val="center"/>
        </w:tcPr>
        <w:p w14:paraId="74182855" w14:textId="37913312" w:rsidR="003273A4" w:rsidRDefault="002946E2" w:rsidP="003273A4">
          <w:pPr>
            <w:pStyle w:val="Header"/>
            <w:jc w:val="left"/>
            <w:rPr>
              <w:noProof/>
            </w:rPr>
          </w:pPr>
          <w:r>
            <w:rPr>
              <w:noProof/>
            </w:rPr>
            <w:t xml:space="preserve">gDoc </w:t>
          </w:r>
          <w:r w:rsidR="00043B9A" w:rsidRPr="00CD7800">
            <w:rPr>
              <w:noProof/>
            </w:rPr>
            <w:t>2501473</w:t>
          </w:r>
        </w:p>
      </w:tc>
      <w:tc>
        <w:tcPr>
          <w:tcW w:w="8261" w:type="dxa"/>
        </w:tcPr>
        <w:p w14:paraId="5DD047ED" w14:textId="32082986" w:rsidR="003273A4" w:rsidRPr="00E06FD5" w:rsidRDefault="003273A4" w:rsidP="00FF3546">
          <w:pPr>
            <w:pStyle w:val="Header"/>
            <w:tabs>
              <w:tab w:val="left" w:pos="6172"/>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79496C">
            <w:rPr>
              <w:bCs/>
            </w:rPr>
            <w:t>87</w:t>
          </w:r>
          <w:r w:rsidR="00043B9A" w:rsidRPr="00CD7800">
            <w:rPr>
              <w:bCs/>
            </w:rPr>
            <w:t>(Rev.1)</w:t>
          </w:r>
          <w:r w:rsidRPr="00CD7800">
            <w:rPr>
              <w:bCs/>
            </w:rPr>
            <w:t>-S</w:t>
          </w:r>
          <w:r>
            <w:rPr>
              <w:bCs/>
            </w:rPr>
            <w:tab/>
          </w:r>
          <w:r>
            <w:fldChar w:fldCharType="begin"/>
          </w:r>
          <w:r>
            <w:instrText>PAGE</w:instrText>
          </w:r>
          <w:r>
            <w:fldChar w:fldCharType="separate"/>
          </w:r>
          <w:r>
            <w:t>1</w:t>
          </w:r>
          <w:r>
            <w:rPr>
              <w:noProof/>
            </w:rPr>
            <w:fldChar w:fldCharType="end"/>
          </w:r>
        </w:p>
      </w:tc>
    </w:tr>
  </w:tbl>
  <w:p w14:paraId="137CE315" w14:textId="77777777" w:rsidR="00760F1C" w:rsidRPr="003273A4" w:rsidRDefault="00760F1C" w:rsidP="003273A4">
    <w:pPr>
      <w:pStyle w:val="Footer"/>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5614F972" w14:textId="77777777" w:rsidTr="00E31DCE">
      <w:trPr>
        <w:jc w:val="center"/>
      </w:trPr>
      <w:tc>
        <w:tcPr>
          <w:tcW w:w="1803" w:type="dxa"/>
          <w:vAlign w:val="center"/>
        </w:tcPr>
        <w:p w14:paraId="0578C7CC"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0595922A" w14:textId="06C4E641" w:rsidR="00F24B71" w:rsidRPr="00E06FD5" w:rsidRDefault="00F24B71" w:rsidP="00FF3546">
          <w:pPr>
            <w:pStyle w:val="Header"/>
            <w:tabs>
              <w:tab w:val="left" w:pos="6172"/>
              <w:tab w:val="right" w:pos="8505"/>
              <w:tab w:val="right" w:pos="9639"/>
            </w:tabs>
            <w:jc w:val="left"/>
            <w:rPr>
              <w:rFonts w:ascii="Arial" w:hAnsi="Arial" w:cs="Arial"/>
              <w:b/>
              <w:bCs/>
              <w:szCs w:val="18"/>
            </w:rPr>
          </w:pPr>
          <w:r>
            <w:rPr>
              <w:bCs/>
            </w:rPr>
            <w:tab/>
          </w:r>
          <w:r w:rsidRPr="00CD7800">
            <w:rPr>
              <w:bCs/>
            </w:rPr>
            <w:t>C2</w:t>
          </w:r>
          <w:r w:rsidR="00BB6FD8" w:rsidRPr="00CD7800">
            <w:rPr>
              <w:bCs/>
            </w:rPr>
            <w:t>5</w:t>
          </w:r>
          <w:r w:rsidRPr="00CD7800">
            <w:rPr>
              <w:bCs/>
            </w:rPr>
            <w:t>/</w:t>
          </w:r>
          <w:r w:rsidR="0079496C" w:rsidRPr="00CD7800">
            <w:rPr>
              <w:bCs/>
            </w:rPr>
            <w:t>87</w:t>
          </w:r>
          <w:r w:rsidR="00043B9A" w:rsidRPr="00CD7800">
            <w:rPr>
              <w:bCs/>
            </w:rPr>
            <w:t>(Rev.1)</w:t>
          </w:r>
          <w:r w:rsidRPr="00CD7800">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7DB28059"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A69E9" w14:textId="77777777" w:rsidR="00E57B38" w:rsidRDefault="00E57B38">
      <w:r>
        <w:t>____________________</w:t>
      </w:r>
    </w:p>
  </w:footnote>
  <w:footnote w:type="continuationSeparator" w:id="0">
    <w:p w14:paraId="79635C96" w14:textId="77777777" w:rsidR="00E57B38" w:rsidRDefault="00E57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8A064" w14:textId="77777777" w:rsidR="00FF3546" w:rsidRDefault="00FF35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35AC6" w14:textId="77777777" w:rsidR="00FF3546" w:rsidRDefault="00FF35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3AAEA013" w14:textId="77777777" w:rsidTr="00666D09">
      <w:trPr>
        <w:trHeight w:val="1104"/>
        <w:jc w:val="center"/>
      </w:trPr>
      <w:tc>
        <w:tcPr>
          <w:tcW w:w="5998" w:type="dxa"/>
          <w:vAlign w:val="center"/>
        </w:tcPr>
        <w:p w14:paraId="27747012"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2B5B54C8" wp14:editId="69D03407">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38FC1B43" w14:textId="77777777" w:rsidR="00666D09" w:rsidRDefault="00666D09" w:rsidP="001559F5">
          <w:pPr>
            <w:pStyle w:val="Header"/>
            <w:jc w:val="right"/>
            <w:rPr>
              <w:rFonts w:ascii="Arial" w:hAnsi="Arial" w:cs="Arial"/>
              <w:b/>
              <w:bCs/>
              <w:color w:val="009CD6"/>
              <w:szCs w:val="18"/>
            </w:rPr>
          </w:pPr>
        </w:p>
      </w:tc>
    </w:tr>
  </w:tbl>
  <w:p w14:paraId="583FBE5C"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368D34C" wp14:editId="177EF3E3">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2F14F"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B38"/>
    <w:rsid w:val="000007D1"/>
    <w:rsid w:val="00043B9A"/>
    <w:rsid w:val="0006007D"/>
    <w:rsid w:val="00093EEB"/>
    <w:rsid w:val="000B0D00"/>
    <w:rsid w:val="000B7C15"/>
    <w:rsid w:val="000D1D0F"/>
    <w:rsid w:val="000E3F07"/>
    <w:rsid w:val="000F5290"/>
    <w:rsid w:val="0010165C"/>
    <w:rsid w:val="0010684D"/>
    <w:rsid w:val="00133E95"/>
    <w:rsid w:val="00146BFB"/>
    <w:rsid w:val="001559F5"/>
    <w:rsid w:val="00157AC4"/>
    <w:rsid w:val="0016169C"/>
    <w:rsid w:val="001B6E2B"/>
    <w:rsid w:val="001D622A"/>
    <w:rsid w:val="001F14A2"/>
    <w:rsid w:val="001F3277"/>
    <w:rsid w:val="002801AA"/>
    <w:rsid w:val="002946E2"/>
    <w:rsid w:val="002C3F32"/>
    <w:rsid w:val="002C4676"/>
    <w:rsid w:val="002C70B0"/>
    <w:rsid w:val="002F3CC4"/>
    <w:rsid w:val="003032E2"/>
    <w:rsid w:val="0031300A"/>
    <w:rsid w:val="003273A4"/>
    <w:rsid w:val="0034796E"/>
    <w:rsid w:val="0044460C"/>
    <w:rsid w:val="00473962"/>
    <w:rsid w:val="004B5D49"/>
    <w:rsid w:val="004D3A3C"/>
    <w:rsid w:val="00513630"/>
    <w:rsid w:val="00560125"/>
    <w:rsid w:val="00585553"/>
    <w:rsid w:val="005B34D9"/>
    <w:rsid w:val="005C341E"/>
    <w:rsid w:val="005D0CCF"/>
    <w:rsid w:val="005F3BCB"/>
    <w:rsid w:val="005F410F"/>
    <w:rsid w:val="0060149A"/>
    <w:rsid w:val="00601924"/>
    <w:rsid w:val="006447EA"/>
    <w:rsid w:val="0064481D"/>
    <w:rsid w:val="0064731F"/>
    <w:rsid w:val="00664572"/>
    <w:rsid w:val="00666D09"/>
    <w:rsid w:val="006710F6"/>
    <w:rsid w:val="00677A97"/>
    <w:rsid w:val="006C1B56"/>
    <w:rsid w:val="006D4761"/>
    <w:rsid w:val="00726872"/>
    <w:rsid w:val="00760F1C"/>
    <w:rsid w:val="007657F0"/>
    <w:rsid w:val="0077110E"/>
    <w:rsid w:val="0077252D"/>
    <w:rsid w:val="00783078"/>
    <w:rsid w:val="0079496C"/>
    <w:rsid w:val="007955DA"/>
    <w:rsid w:val="007E5DD3"/>
    <w:rsid w:val="007F350B"/>
    <w:rsid w:val="00813D27"/>
    <w:rsid w:val="00820BE4"/>
    <w:rsid w:val="008451E8"/>
    <w:rsid w:val="008F6ABC"/>
    <w:rsid w:val="00913B9C"/>
    <w:rsid w:val="00927F93"/>
    <w:rsid w:val="00940622"/>
    <w:rsid w:val="00956E77"/>
    <w:rsid w:val="009A338E"/>
    <w:rsid w:val="009F4811"/>
    <w:rsid w:val="00A94438"/>
    <w:rsid w:val="00AA390C"/>
    <w:rsid w:val="00B0200A"/>
    <w:rsid w:val="00B060DF"/>
    <w:rsid w:val="00B574DB"/>
    <w:rsid w:val="00B73C5E"/>
    <w:rsid w:val="00B826C2"/>
    <w:rsid w:val="00B8298E"/>
    <w:rsid w:val="00BB6FD8"/>
    <w:rsid w:val="00BC1EFE"/>
    <w:rsid w:val="00BD0723"/>
    <w:rsid w:val="00BD2518"/>
    <w:rsid w:val="00BF1D1C"/>
    <w:rsid w:val="00C20C59"/>
    <w:rsid w:val="00C2727F"/>
    <w:rsid w:val="00C538FC"/>
    <w:rsid w:val="00C55B1F"/>
    <w:rsid w:val="00C7600C"/>
    <w:rsid w:val="00C850D7"/>
    <w:rsid w:val="00CD7800"/>
    <w:rsid w:val="00CF1A67"/>
    <w:rsid w:val="00D2750E"/>
    <w:rsid w:val="00D375E0"/>
    <w:rsid w:val="00D50A36"/>
    <w:rsid w:val="00D62446"/>
    <w:rsid w:val="00DA4EA2"/>
    <w:rsid w:val="00DC3D3E"/>
    <w:rsid w:val="00DE2C90"/>
    <w:rsid w:val="00DE3B24"/>
    <w:rsid w:val="00E06947"/>
    <w:rsid w:val="00E11319"/>
    <w:rsid w:val="00E21444"/>
    <w:rsid w:val="00E34072"/>
    <w:rsid w:val="00E3592D"/>
    <w:rsid w:val="00E50D76"/>
    <w:rsid w:val="00E57B38"/>
    <w:rsid w:val="00E8018B"/>
    <w:rsid w:val="00E91F4B"/>
    <w:rsid w:val="00E92DE8"/>
    <w:rsid w:val="00EA3C18"/>
    <w:rsid w:val="00EB1212"/>
    <w:rsid w:val="00EB4583"/>
    <w:rsid w:val="00ED65AB"/>
    <w:rsid w:val="00F12850"/>
    <w:rsid w:val="00F24B71"/>
    <w:rsid w:val="00F33BF4"/>
    <w:rsid w:val="00F7105E"/>
    <w:rsid w:val="00F75F57"/>
    <w:rsid w:val="00F82FEE"/>
    <w:rsid w:val="00F92BED"/>
    <w:rsid w:val="00F95CAB"/>
    <w:rsid w:val="00FD57D3"/>
    <w:rsid w:val="00FE57F6"/>
    <w:rsid w:val="00FE5864"/>
    <w:rsid w:val="00FF11BD"/>
    <w:rsid w:val="00FF3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7E783"/>
  <w15:docId w15:val="{6FF35C5D-2EB1-4553-8D76-79EC6781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qFormat/>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C7600C"/>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paragraph" w:styleId="Revision">
    <w:name w:val="Revision"/>
    <w:hidden/>
    <w:uiPriority w:val="99"/>
    <w:semiHidden/>
    <w:rsid w:val="00043B9A"/>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ethics/Documents/SO-2011-002-en.pdf" TargetMode="External"/><Relationship Id="rId18" Type="http://schemas.openxmlformats.org/officeDocument/2006/relationships/hyperlink" Target="https://www.itu.int/en/ethics/Documents/SO-2011-003-en.pdf" TargetMode="External"/><Relationship Id="rId26" Type="http://schemas.openxmlformats.org/officeDocument/2006/relationships/hyperlink" Target="https://www.itu.int/en/ethics/Documents/SO-2011-002-en.pdf" TargetMode="External"/><Relationship Id="rId21" Type="http://schemas.openxmlformats.org/officeDocument/2006/relationships/hyperlink" Target="https://www.unjiu.org/sites/www.unjiu.org/files/jiu_rep_2023_2_english_0.pdf" TargetMode="External"/><Relationship Id="rId34" Type="http://schemas.openxmlformats.org/officeDocument/2006/relationships/header" Target="header3.xml"/><Relationship Id="rId7" Type="http://schemas.openxmlformats.org/officeDocument/2006/relationships/hyperlink" Target="https://www.itu.int/md/S24-CL-C-0109/es" TargetMode="External"/><Relationship Id="rId12" Type="http://schemas.openxmlformats.org/officeDocument/2006/relationships/hyperlink" Target="https://www.itu.int/en/ethics/Documents/SO-2017-007-en.pdf" TargetMode="External"/><Relationship Id="rId17" Type="http://schemas.openxmlformats.org/officeDocument/2006/relationships/hyperlink" Target="https://www.itu.int/en/ethics/Documents/SO-2022-002-en.pdf" TargetMode="External"/><Relationship Id="rId25" Type="http://schemas.openxmlformats.org/officeDocument/2006/relationships/hyperlink" Target="https://www.itu.int/en/ethics/Documents/SO-2017-007-en.pdf" TargetMode="External"/><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www.itu.int/en/ethics/Documents/SO-2020-006-en.pdf" TargetMode="External"/><Relationship Id="rId20" Type="http://schemas.openxmlformats.org/officeDocument/2006/relationships/hyperlink" Target="https://www.unjiu.org/sites/www.unjiu.org/files/jiu_rep_2020_1_english_0.pdf" TargetMode="External"/><Relationship Id="rId29" Type="http://schemas.openxmlformats.org/officeDocument/2006/relationships/hyperlink" Target="https://www.itu.int/en/ethics/Documents/SO-2020-006-en.pdf" TargetMode="External"/><Relationship Id="rId1" Type="http://schemas.openxmlformats.org/officeDocument/2006/relationships/styles" Target="styles.xml"/><Relationship Id="rId6" Type="http://schemas.openxmlformats.org/officeDocument/2006/relationships/hyperlink" Target="https://www.itu.int/md/S18-CL-C-0116/es" TargetMode="External"/><Relationship Id="rId11" Type="http://schemas.openxmlformats.org/officeDocument/2006/relationships/hyperlink" Target="https://www.itu.int/en/ethics/Documents/SO-2024-009-OU-E.pdf" TargetMode="External"/><Relationship Id="rId24" Type="http://schemas.openxmlformats.org/officeDocument/2006/relationships/hyperlink" Target="https://www.itu.int/md/S24-CL-C-0109/es"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itu.int/en/ethics/Documents/SO-2022-003-en.pdf" TargetMode="External"/><Relationship Id="rId23" Type="http://schemas.openxmlformats.org/officeDocument/2006/relationships/hyperlink" Target="https://www.itu.int/en/ethics/Documents/SO-2024-009-OU-E.pdf" TargetMode="External"/><Relationship Id="rId28" Type="http://schemas.openxmlformats.org/officeDocument/2006/relationships/hyperlink" Target="https://www.itu.int/en/ethics/Documents/SO-2022-003-en.pdf" TargetMode="External"/><Relationship Id="rId36" Type="http://schemas.openxmlformats.org/officeDocument/2006/relationships/fontTable" Target="fontTable.xml"/><Relationship Id="rId10" Type="http://schemas.openxmlformats.org/officeDocument/2006/relationships/hyperlink" Target="https://council.itu.int/2024/wp-content/uploads/sites/4/2024/05/Staff-Regulations-and-Staff-Rules-2024-secured-E.pdf" TargetMode="External"/><Relationship Id="rId19" Type="http://schemas.openxmlformats.org/officeDocument/2006/relationships/hyperlink" Target="https://www.itu.int/en/ethics/Documents/SO-2019-010-en.pdf" TargetMode="External"/><Relationship Id="rId31"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www.itu.int/md/S22-CL-C-0057/es" TargetMode="External"/><Relationship Id="rId14" Type="http://schemas.openxmlformats.org/officeDocument/2006/relationships/hyperlink" Target="https://www.itu.int/en/ethics/Documents/SO-2019-009-en.pdf" TargetMode="External"/><Relationship Id="rId22" Type="http://schemas.openxmlformats.org/officeDocument/2006/relationships/hyperlink" Target="https://www.itu.int/md/S24-CL-C-0120/es" TargetMode="External"/><Relationship Id="rId27" Type="http://schemas.openxmlformats.org/officeDocument/2006/relationships/hyperlink" Target="https://www.itu.int/en/ethics/Documents/SO-2019-009-en.pdf"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www.itu.int/md/S24-CL-C-0120/es" TargetMode="External"/><Relationship Id="rId3"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da\AppData\Roaming\Microsoft\Templates\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1</TotalTime>
  <Pages>3</Pages>
  <Words>1335</Words>
  <Characters>7171</Characters>
  <Application>Microsoft Office Word</Application>
  <DocSecurity>0</DocSecurity>
  <Lines>125</Lines>
  <Paragraphs>43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8472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multipaís - Propuestas de nuevas mejoras del sistema de supervisión interna de la UIT</dc:title>
  <dc:subject>Consejo 2025 de la UIT</dc:subject>
  <cp:keywords>C2025, C25, Council-25</cp:keywords>
  <dc:description/>
  <cp:lastPrinted>2006-03-24T09:51:00Z</cp:lastPrinted>
  <dcterms:created xsi:type="dcterms:W3CDTF">2025-06-17T14:50:00Z</dcterms:created>
  <dcterms:modified xsi:type="dcterms:W3CDTF">2025-06-17T14:50:00Z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