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D1330" w14:paraId="310401B9" w14:textId="77777777" w:rsidTr="00D72F49">
        <w:trPr>
          <w:cantSplit/>
          <w:trHeight w:val="23"/>
        </w:trPr>
        <w:tc>
          <w:tcPr>
            <w:tcW w:w="3969" w:type="dxa"/>
            <w:vMerge w:val="restart"/>
            <w:tcMar>
              <w:left w:w="0" w:type="dxa"/>
            </w:tcMar>
          </w:tcPr>
          <w:p w14:paraId="6431062D" w14:textId="72111C07" w:rsidR="00D72F49" w:rsidRPr="006D1330" w:rsidRDefault="00D72F49" w:rsidP="00D72F49">
            <w:pPr>
              <w:tabs>
                <w:tab w:val="left" w:pos="851"/>
              </w:tabs>
              <w:spacing w:before="0" w:line="240" w:lineRule="atLeast"/>
              <w:rPr>
                <w:b/>
              </w:rPr>
            </w:pPr>
            <w:r w:rsidRPr="006D1330">
              <w:rPr>
                <w:b/>
              </w:rPr>
              <w:t>Point de l'ordre du jour:</w:t>
            </w:r>
            <w:r w:rsidR="001F5DED" w:rsidRPr="006D1330">
              <w:rPr>
                <w:b/>
              </w:rPr>
              <w:t xml:space="preserve"> </w:t>
            </w:r>
            <w:r w:rsidR="00515E8A" w:rsidRPr="006D1330">
              <w:rPr>
                <w:b/>
              </w:rPr>
              <w:t>ADM</w:t>
            </w:r>
            <w:r w:rsidR="00390905" w:rsidRPr="006D1330">
              <w:rPr>
                <w:b/>
              </w:rPr>
              <w:t xml:space="preserve"> </w:t>
            </w:r>
            <w:r w:rsidR="00515E8A" w:rsidRPr="006D1330">
              <w:rPr>
                <w:b/>
              </w:rPr>
              <w:t>2</w:t>
            </w:r>
          </w:p>
        </w:tc>
        <w:tc>
          <w:tcPr>
            <w:tcW w:w="5245" w:type="dxa"/>
          </w:tcPr>
          <w:p w14:paraId="47C6CF1A" w14:textId="40D97959" w:rsidR="00D72F49" w:rsidRPr="006D1330" w:rsidRDefault="00390905" w:rsidP="00D72F49">
            <w:pPr>
              <w:tabs>
                <w:tab w:val="left" w:pos="851"/>
              </w:tabs>
              <w:spacing w:before="0" w:line="240" w:lineRule="atLeast"/>
              <w:jc w:val="right"/>
              <w:rPr>
                <w:b/>
              </w:rPr>
            </w:pPr>
            <w:r w:rsidRPr="006D1330">
              <w:rPr>
                <w:b/>
              </w:rPr>
              <w:t>Révision 1 du</w:t>
            </w:r>
            <w:r w:rsidRPr="006D1330">
              <w:rPr>
                <w:b/>
              </w:rPr>
              <w:br/>
            </w:r>
            <w:r w:rsidR="00D72F49" w:rsidRPr="006D1330">
              <w:rPr>
                <w:b/>
              </w:rPr>
              <w:t>Document C2</w:t>
            </w:r>
            <w:r w:rsidR="00FC6D7D" w:rsidRPr="006D1330">
              <w:rPr>
                <w:b/>
              </w:rPr>
              <w:t>5</w:t>
            </w:r>
            <w:r w:rsidR="00D72F49" w:rsidRPr="006D1330">
              <w:rPr>
                <w:b/>
              </w:rPr>
              <w:t>/</w:t>
            </w:r>
            <w:r w:rsidR="00240CAD" w:rsidRPr="006D1330">
              <w:rPr>
                <w:b/>
              </w:rPr>
              <w:t>87</w:t>
            </w:r>
            <w:r w:rsidR="00D72F49" w:rsidRPr="006D1330">
              <w:rPr>
                <w:b/>
              </w:rPr>
              <w:t>-F</w:t>
            </w:r>
          </w:p>
        </w:tc>
      </w:tr>
      <w:tr w:rsidR="00D72F49" w:rsidRPr="006D1330" w14:paraId="261D88CD" w14:textId="77777777" w:rsidTr="00D72F49">
        <w:trPr>
          <w:cantSplit/>
        </w:trPr>
        <w:tc>
          <w:tcPr>
            <w:tcW w:w="3969" w:type="dxa"/>
            <w:vMerge/>
          </w:tcPr>
          <w:p w14:paraId="01C2D18E" w14:textId="77777777" w:rsidR="00D72F49" w:rsidRPr="006D1330" w:rsidRDefault="00D72F49" w:rsidP="00D72F49">
            <w:pPr>
              <w:tabs>
                <w:tab w:val="left" w:pos="851"/>
              </w:tabs>
              <w:spacing w:line="240" w:lineRule="atLeast"/>
              <w:rPr>
                <w:b/>
              </w:rPr>
            </w:pPr>
          </w:p>
        </w:tc>
        <w:tc>
          <w:tcPr>
            <w:tcW w:w="5245" w:type="dxa"/>
          </w:tcPr>
          <w:p w14:paraId="29EDE2AB" w14:textId="7E019EC4" w:rsidR="00D72F49" w:rsidRPr="006D1330" w:rsidRDefault="00515E8A" w:rsidP="00D72F49">
            <w:pPr>
              <w:tabs>
                <w:tab w:val="left" w:pos="851"/>
              </w:tabs>
              <w:spacing w:before="0"/>
              <w:jc w:val="right"/>
              <w:rPr>
                <w:b/>
              </w:rPr>
            </w:pPr>
            <w:r w:rsidRPr="006D1330">
              <w:rPr>
                <w:b/>
              </w:rPr>
              <w:t>1</w:t>
            </w:r>
            <w:r w:rsidR="00240CAD" w:rsidRPr="006D1330">
              <w:rPr>
                <w:b/>
              </w:rPr>
              <w:t>3 juin 2025</w:t>
            </w:r>
          </w:p>
        </w:tc>
      </w:tr>
      <w:tr w:rsidR="00D72F49" w:rsidRPr="006D1330" w14:paraId="7F219D9F" w14:textId="77777777" w:rsidTr="00D72F49">
        <w:trPr>
          <w:cantSplit/>
          <w:trHeight w:val="23"/>
        </w:trPr>
        <w:tc>
          <w:tcPr>
            <w:tcW w:w="3969" w:type="dxa"/>
            <w:vMerge/>
          </w:tcPr>
          <w:p w14:paraId="5615E04F" w14:textId="77777777" w:rsidR="00D72F49" w:rsidRPr="006D1330" w:rsidRDefault="00D72F49" w:rsidP="00D72F49">
            <w:pPr>
              <w:tabs>
                <w:tab w:val="left" w:pos="851"/>
              </w:tabs>
              <w:spacing w:line="240" w:lineRule="atLeast"/>
              <w:rPr>
                <w:b/>
              </w:rPr>
            </w:pPr>
          </w:p>
        </w:tc>
        <w:tc>
          <w:tcPr>
            <w:tcW w:w="5245" w:type="dxa"/>
          </w:tcPr>
          <w:p w14:paraId="204B2D9D" w14:textId="18030AE0" w:rsidR="00D72F49" w:rsidRPr="006D1330" w:rsidRDefault="00D72F49" w:rsidP="00D72F49">
            <w:pPr>
              <w:tabs>
                <w:tab w:val="left" w:pos="851"/>
              </w:tabs>
              <w:spacing w:before="0" w:line="240" w:lineRule="atLeast"/>
              <w:jc w:val="right"/>
              <w:rPr>
                <w:b/>
              </w:rPr>
            </w:pPr>
            <w:r w:rsidRPr="006D1330">
              <w:rPr>
                <w:b/>
              </w:rPr>
              <w:t xml:space="preserve">Original: </w:t>
            </w:r>
            <w:r w:rsidR="00240CAD" w:rsidRPr="006D1330">
              <w:rPr>
                <w:b/>
              </w:rPr>
              <w:t>chinois</w:t>
            </w:r>
          </w:p>
        </w:tc>
      </w:tr>
      <w:tr w:rsidR="00D72F49" w:rsidRPr="006D1330" w14:paraId="034DA068" w14:textId="77777777" w:rsidTr="00D72F49">
        <w:trPr>
          <w:cantSplit/>
          <w:trHeight w:val="23"/>
        </w:trPr>
        <w:tc>
          <w:tcPr>
            <w:tcW w:w="3969" w:type="dxa"/>
          </w:tcPr>
          <w:p w14:paraId="47A8E8CD" w14:textId="77777777" w:rsidR="00D72F49" w:rsidRPr="006D1330" w:rsidRDefault="00D72F49" w:rsidP="00B40EC0">
            <w:pPr>
              <w:tabs>
                <w:tab w:val="left" w:pos="851"/>
              </w:tabs>
              <w:spacing w:before="0" w:line="240" w:lineRule="atLeast"/>
              <w:rPr>
                <w:b/>
              </w:rPr>
            </w:pPr>
          </w:p>
        </w:tc>
        <w:tc>
          <w:tcPr>
            <w:tcW w:w="5245" w:type="dxa"/>
          </w:tcPr>
          <w:p w14:paraId="35F7ED0B" w14:textId="77777777" w:rsidR="00D72F49" w:rsidRPr="006D1330" w:rsidRDefault="00D72F49" w:rsidP="00B40EC0">
            <w:pPr>
              <w:tabs>
                <w:tab w:val="left" w:pos="851"/>
              </w:tabs>
              <w:spacing w:before="0" w:line="240" w:lineRule="atLeast"/>
              <w:jc w:val="right"/>
              <w:rPr>
                <w:b/>
              </w:rPr>
            </w:pPr>
          </w:p>
        </w:tc>
      </w:tr>
      <w:tr w:rsidR="00D72F49" w:rsidRPr="006D1330" w14:paraId="6F0951DB" w14:textId="77777777" w:rsidTr="00D72F49">
        <w:trPr>
          <w:cantSplit/>
        </w:trPr>
        <w:tc>
          <w:tcPr>
            <w:tcW w:w="9214" w:type="dxa"/>
            <w:gridSpan w:val="2"/>
            <w:tcMar>
              <w:left w:w="0" w:type="dxa"/>
            </w:tcMar>
          </w:tcPr>
          <w:p w14:paraId="540F6E5A" w14:textId="5EAE041F" w:rsidR="00D72F49" w:rsidRPr="006D1330" w:rsidRDefault="00240CAD" w:rsidP="00B40EC0">
            <w:pPr>
              <w:pStyle w:val="Source"/>
              <w:spacing w:before="600"/>
              <w:jc w:val="left"/>
              <w:rPr>
                <w:sz w:val="34"/>
                <w:szCs w:val="34"/>
              </w:rPr>
            </w:pPr>
            <w:r w:rsidRPr="006D1330">
              <w:rPr>
                <w:rFonts w:cstheme="minorHAnsi"/>
                <w:color w:val="000000"/>
                <w:sz w:val="34"/>
                <w:szCs w:val="34"/>
              </w:rPr>
              <w:t>Contribution de la Chine (République populaire de)</w:t>
            </w:r>
            <w:r w:rsidR="00515E8A" w:rsidRPr="006D1330">
              <w:rPr>
                <w:rFonts w:cstheme="minorHAnsi"/>
                <w:color w:val="000000"/>
                <w:sz w:val="34"/>
                <w:szCs w:val="34"/>
              </w:rPr>
              <w:t xml:space="preserve"> et</w:t>
            </w:r>
            <w:r w:rsidR="00B8708B" w:rsidRPr="006D1330">
              <w:rPr>
                <w:rFonts w:cstheme="minorHAnsi"/>
                <w:color w:val="000000"/>
                <w:sz w:val="34"/>
                <w:szCs w:val="34"/>
              </w:rPr>
              <w:t xml:space="preserve"> de Cuba</w:t>
            </w:r>
          </w:p>
        </w:tc>
      </w:tr>
      <w:tr w:rsidR="00D72F49" w:rsidRPr="006D1330" w14:paraId="41D39FF9" w14:textId="77777777" w:rsidTr="00D72F49">
        <w:trPr>
          <w:cantSplit/>
        </w:trPr>
        <w:tc>
          <w:tcPr>
            <w:tcW w:w="9214" w:type="dxa"/>
            <w:gridSpan w:val="2"/>
            <w:tcMar>
              <w:left w:w="0" w:type="dxa"/>
            </w:tcMar>
          </w:tcPr>
          <w:p w14:paraId="53962343" w14:textId="60BECD76" w:rsidR="00D72F49" w:rsidRPr="006D1330" w:rsidRDefault="00240CAD" w:rsidP="0025663C">
            <w:pPr>
              <w:pStyle w:val="Subtitle"/>
              <w:framePr w:hSpace="0" w:wrap="auto" w:hAnchor="text" w:xAlign="left" w:yAlign="inline"/>
              <w:spacing w:after="120"/>
              <w:rPr>
                <w:sz w:val="32"/>
                <w:szCs w:val="32"/>
                <w:lang w:val="fr-FR"/>
              </w:rPr>
            </w:pPr>
            <w:r w:rsidRPr="006D1330">
              <w:rPr>
                <w:rFonts w:cstheme="minorHAnsi"/>
                <w:sz w:val="32"/>
                <w:szCs w:val="32"/>
                <w:lang w:val="fr-FR"/>
              </w:rPr>
              <w:t xml:space="preserve">PROPOSITIONS VISANT À AMÉLIORER ENCORE LE SYSTÈME DE CONTRÔLE INTERNE </w:t>
            </w:r>
            <w:r w:rsidR="008C5338" w:rsidRPr="006D1330">
              <w:rPr>
                <w:rFonts w:cstheme="minorHAnsi"/>
                <w:sz w:val="32"/>
                <w:szCs w:val="32"/>
                <w:lang w:val="fr-FR"/>
              </w:rPr>
              <w:t>À</w:t>
            </w:r>
            <w:r w:rsidRPr="006D1330">
              <w:rPr>
                <w:rFonts w:cstheme="minorHAnsi"/>
                <w:sz w:val="32"/>
                <w:szCs w:val="32"/>
                <w:lang w:val="fr-FR"/>
              </w:rPr>
              <w:t xml:space="preserve"> L</w:t>
            </w:r>
            <w:r w:rsidR="005457F0" w:rsidRPr="006D1330">
              <w:rPr>
                <w:rFonts w:cstheme="minorHAnsi"/>
                <w:sz w:val="32"/>
                <w:szCs w:val="32"/>
                <w:lang w:val="fr-FR"/>
              </w:rPr>
              <w:t>'</w:t>
            </w:r>
            <w:r w:rsidRPr="006D1330">
              <w:rPr>
                <w:rFonts w:cstheme="minorHAnsi"/>
                <w:sz w:val="32"/>
                <w:szCs w:val="32"/>
                <w:lang w:val="fr-FR"/>
              </w:rPr>
              <w:t>UIT</w:t>
            </w:r>
          </w:p>
        </w:tc>
      </w:tr>
      <w:tr w:rsidR="00D72F49" w:rsidRPr="006D1330" w14:paraId="12F35B6D" w14:textId="77777777" w:rsidTr="00D72F49">
        <w:trPr>
          <w:cantSplit/>
        </w:trPr>
        <w:tc>
          <w:tcPr>
            <w:tcW w:w="9214" w:type="dxa"/>
            <w:gridSpan w:val="2"/>
            <w:tcBorders>
              <w:top w:val="single" w:sz="4" w:space="0" w:color="auto"/>
              <w:bottom w:val="single" w:sz="4" w:space="0" w:color="auto"/>
            </w:tcBorders>
            <w:tcMar>
              <w:left w:w="0" w:type="dxa"/>
            </w:tcMar>
          </w:tcPr>
          <w:p w14:paraId="6EACFD1A" w14:textId="77777777" w:rsidR="00D72F49" w:rsidRPr="006D1330" w:rsidRDefault="00F37FE5" w:rsidP="0025663C">
            <w:pPr>
              <w:rPr>
                <w:b/>
                <w:bCs/>
                <w:sz w:val="26"/>
                <w:szCs w:val="26"/>
              </w:rPr>
            </w:pPr>
            <w:r w:rsidRPr="006D1330">
              <w:rPr>
                <w:b/>
                <w:bCs/>
                <w:sz w:val="26"/>
                <w:szCs w:val="26"/>
              </w:rPr>
              <w:t>Objet</w:t>
            </w:r>
          </w:p>
          <w:p w14:paraId="7D76D2FD" w14:textId="28C50E2C" w:rsidR="00D72F49" w:rsidRPr="006D1330" w:rsidRDefault="00240CAD" w:rsidP="00B40EC0">
            <w:pPr>
              <w:jc w:val="both"/>
            </w:pPr>
            <w:r w:rsidRPr="006D1330">
              <w:t>Le Conseil de l'UIT a adopté la Charte du contrôle interne de l'UIT en juin 2024. La présente contribution contient des propositions de nouvelles mesures visant à faciliter la mise en</w:t>
            </w:r>
            <w:r w:rsidR="001F5DED" w:rsidRPr="006D1330">
              <w:t> </w:t>
            </w:r>
            <w:r w:rsidRPr="006D1330">
              <w:t>œuvre de cette charte, conformément à la décision du Conseil d</w:t>
            </w:r>
            <w:r w:rsidR="005457F0" w:rsidRPr="006D1330">
              <w:t>'</w:t>
            </w:r>
            <w:r w:rsidRPr="006D1330">
              <w:t>améliorer le contrôle</w:t>
            </w:r>
            <w:r w:rsidR="001F5DED" w:rsidRPr="006D1330">
              <w:t> </w:t>
            </w:r>
            <w:r w:rsidRPr="006D1330">
              <w:t>interne.</w:t>
            </w:r>
          </w:p>
          <w:p w14:paraId="5289408D" w14:textId="77777777" w:rsidR="00D72F49" w:rsidRPr="006D1330" w:rsidRDefault="00D72F49" w:rsidP="0025663C">
            <w:pPr>
              <w:rPr>
                <w:b/>
                <w:bCs/>
                <w:sz w:val="26"/>
                <w:szCs w:val="26"/>
              </w:rPr>
            </w:pPr>
            <w:r w:rsidRPr="006D1330">
              <w:rPr>
                <w:b/>
                <w:bCs/>
                <w:sz w:val="26"/>
                <w:szCs w:val="26"/>
              </w:rPr>
              <w:t>Suite à donner par le Conseil</w:t>
            </w:r>
          </w:p>
          <w:p w14:paraId="767E38D0" w14:textId="52794C24" w:rsidR="00D72F49" w:rsidRPr="006D1330" w:rsidRDefault="00240CAD" w:rsidP="00D72F49">
            <w:r w:rsidRPr="006D1330">
              <w:t>Le Conseil est invité à examiner les propositions contenues dans la présente contribution et à prendre les mesures qui s'imposent.</w:t>
            </w:r>
          </w:p>
          <w:p w14:paraId="7C7C8B9F" w14:textId="77777777" w:rsidR="00D72F49" w:rsidRPr="006D1330" w:rsidRDefault="00D72F49" w:rsidP="00B40EC0">
            <w:pPr>
              <w:spacing w:before="0"/>
              <w:rPr>
                <w:caps/>
                <w:sz w:val="22"/>
              </w:rPr>
            </w:pPr>
            <w:r w:rsidRPr="006D1330">
              <w:rPr>
                <w:sz w:val="22"/>
              </w:rPr>
              <w:t>__________________</w:t>
            </w:r>
          </w:p>
          <w:p w14:paraId="5105482C" w14:textId="77777777" w:rsidR="00D72F49" w:rsidRPr="006D1330" w:rsidRDefault="00D72F49" w:rsidP="0025663C">
            <w:pPr>
              <w:rPr>
                <w:b/>
                <w:bCs/>
                <w:sz w:val="26"/>
                <w:szCs w:val="26"/>
              </w:rPr>
            </w:pPr>
            <w:r w:rsidRPr="006D1330">
              <w:rPr>
                <w:b/>
                <w:bCs/>
                <w:sz w:val="26"/>
                <w:szCs w:val="26"/>
              </w:rPr>
              <w:t>Références</w:t>
            </w:r>
          </w:p>
          <w:p w14:paraId="40383C7C" w14:textId="33AF923A" w:rsidR="00240CAD" w:rsidRPr="00B40EC0" w:rsidRDefault="00240CAD" w:rsidP="00B40EC0">
            <w:pPr>
              <w:spacing w:before="80"/>
              <w:rPr>
                <w:i/>
                <w:iCs/>
                <w:sz w:val="22"/>
                <w:szCs w:val="22"/>
              </w:rPr>
            </w:pPr>
            <w:r w:rsidRPr="00B40EC0">
              <w:rPr>
                <w:i/>
                <w:iCs/>
                <w:sz w:val="22"/>
                <w:szCs w:val="22"/>
              </w:rPr>
              <w:t xml:space="preserve">Résolution 1392 (C18) du Conseil, telle que reproduite dans le </w:t>
            </w:r>
            <w:hyperlink r:id="rId7" w:history="1">
              <w:r w:rsidRPr="00B40EC0">
                <w:rPr>
                  <w:rStyle w:val="Hyperlink"/>
                  <w:rFonts w:eastAsia="Times New Roman" w:cs="Times New Roman"/>
                  <w:i/>
                  <w:iCs/>
                  <w:sz w:val="22"/>
                </w:rPr>
                <w:t>Document C18/116</w:t>
              </w:r>
            </w:hyperlink>
            <w:r w:rsidRPr="00B40EC0">
              <w:rPr>
                <w:i/>
                <w:iCs/>
                <w:sz w:val="22"/>
                <w:szCs w:val="22"/>
              </w:rPr>
              <w:t>;</w:t>
            </w:r>
          </w:p>
          <w:p w14:paraId="48753C29" w14:textId="242C8F66" w:rsidR="00240CAD" w:rsidRPr="00B40EC0" w:rsidRDefault="00240CAD" w:rsidP="00B40EC0">
            <w:pPr>
              <w:spacing w:before="80"/>
              <w:rPr>
                <w:i/>
                <w:iCs/>
                <w:sz w:val="22"/>
                <w:szCs w:val="22"/>
              </w:rPr>
            </w:pPr>
            <w:r w:rsidRPr="00B40EC0">
              <w:rPr>
                <w:i/>
                <w:iCs/>
                <w:sz w:val="22"/>
                <w:szCs w:val="22"/>
              </w:rPr>
              <w:t xml:space="preserve">Documents </w:t>
            </w:r>
            <w:hyperlink r:id="rId8" w:history="1">
              <w:r w:rsidRPr="00B40EC0">
                <w:rPr>
                  <w:rStyle w:val="Hyperlink"/>
                  <w:rFonts w:eastAsia="Times New Roman" w:cs="Times New Roman"/>
                  <w:i/>
                  <w:iCs/>
                  <w:sz w:val="22"/>
                </w:rPr>
                <w:t>C24/109(Rév.1)</w:t>
              </w:r>
            </w:hyperlink>
            <w:r w:rsidRPr="00B40EC0">
              <w:rPr>
                <w:i/>
                <w:iCs/>
                <w:sz w:val="22"/>
                <w:szCs w:val="22"/>
              </w:rPr>
              <w:t xml:space="preserve">, </w:t>
            </w:r>
            <w:hyperlink r:id="rId9" w:history="1">
              <w:r w:rsidRPr="00B40EC0">
                <w:rPr>
                  <w:rStyle w:val="Hyperlink"/>
                  <w:rFonts w:eastAsia="Times New Roman" w:cs="Times New Roman"/>
                  <w:i/>
                  <w:iCs/>
                  <w:sz w:val="22"/>
                </w:rPr>
                <w:t>C24/120</w:t>
              </w:r>
            </w:hyperlink>
            <w:r w:rsidRPr="00B40EC0">
              <w:rPr>
                <w:i/>
                <w:iCs/>
                <w:sz w:val="22"/>
                <w:szCs w:val="22"/>
              </w:rPr>
              <w:t xml:space="preserve"> et </w:t>
            </w:r>
            <w:hyperlink r:id="rId10" w:history="1">
              <w:r w:rsidRPr="00B40EC0">
                <w:rPr>
                  <w:rStyle w:val="Hyperlink"/>
                  <w:rFonts w:eastAsia="Times New Roman" w:cs="Times New Roman"/>
                  <w:i/>
                  <w:iCs/>
                  <w:sz w:val="22"/>
                </w:rPr>
                <w:t>C22/57</w:t>
              </w:r>
            </w:hyperlink>
            <w:r w:rsidRPr="00B40EC0">
              <w:rPr>
                <w:i/>
                <w:iCs/>
                <w:sz w:val="22"/>
                <w:szCs w:val="22"/>
              </w:rPr>
              <w:t xml:space="preserve"> du Conseil;</w:t>
            </w:r>
          </w:p>
          <w:p w14:paraId="5491C5F0" w14:textId="360C9AF4" w:rsidR="00240CAD" w:rsidRPr="00B40EC0" w:rsidRDefault="00240CAD" w:rsidP="00B40EC0">
            <w:pPr>
              <w:spacing w:before="80"/>
              <w:rPr>
                <w:i/>
                <w:iCs/>
                <w:sz w:val="22"/>
                <w:szCs w:val="22"/>
              </w:rPr>
            </w:pPr>
            <w:hyperlink r:id="rId11" w:history="1">
              <w:r w:rsidRPr="00B40EC0">
                <w:rPr>
                  <w:rStyle w:val="Hyperlink"/>
                  <w:rFonts w:eastAsia="Times New Roman" w:cs="Times New Roman"/>
                  <w:i/>
                  <w:iCs/>
                  <w:sz w:val="22"/>
                </w:rPr>
                <w:t>Statut et Règlement du personnel</w:t>
              </w:r>
            </w:hyperlink>
            <w:r w:rsidRPr="00B40EC0">
              <w:rPr>
                <w:i/>
                <w:iCs/>
                <w:sz w:val="22"/>
                <w:szCs w:val="22"/>
              </w:rPr>
              <w:t xml:space="preserve"> (2024), Statut et Règlement du personnel applicables aux fonctionnaires élus;</w:t>
            </w:r>
          </w:p>
          <w:p w14:paraId="7763683E" w14:textId="610D1AB1" w:rsidR="00240CAD" w:rsidRPr="00B40EC0" w:rsidRDefault="00240CAD" w:rsidP="00B40EC0">
            <w:pPr>
              <w:spacing w:before="80"/>
              <w:rPr>
                <w:i/>
                <w:iCs/>
                <w:sz w:val="22"/>
                <w:szCs w:val="22"/>
              </w:rPr>
            </w:pPr>
            <w:r w:rsidRPr="00B40EC0">
              <w:rPr>
                <w:i/>
                <w:iCs/>
                <w:sz w:val="22"/>
                <w:szCs w:val="22"/>
              </w:rPr>
              <w:t>Contrôle interne: Charte du contrôle interne à l</w:t>
            </w:r>
            <w:r w:rsidR="005457F0" w:rsidRPr="00B40EC0">
              <w:rPr>
                <w:i/>
                <w:iCs/>
                <w:sz w:val="22"/>
                <w:szCs w:val="22"/>
              </w:rPr>
              <w:t>'</w:t>
            </w:r>
            <w:r w:rsidRPr="00B40EC0">
              <w:rPr>
                <w:i/>
                <w:iCs/>
                <w:sz w:val="22"/>
                <w:szCs w:val="22"/>
              </w:rPr>
              <w:t>UIT (</w:t>
            </w:r>
            <w:hyperlink r:id="rId12" w:history="1">
              <w:r w:rsidRPr="00B40EC0">
                <w:rPr>
                  <w:rStyle w:val="Hyperlink"/>
                  <w:rFonts w:eastAsia="Times New Roman" w:cs="Times New Roman"/>
                  <w:i/>
                  <w:iCs/>
                  <w:sz w:val="22"/>
                </w:rPr>
                <w:t>Ordre de service N° 24/09</w:t>
              </w:r>
            </w:hyperlink>
            <w:r w:rsidRPr="00B40EC0">
              <w:rPr>
                <w:i/>
                <w:iCs/>
                <w:sz w:val="22"/>
                <w:szCs w:val="22"/>
              </w:rPr>
              <w:t>);</w:t>
            </w:r>
          </w:p>
          <w:p w14:paraId="3BA30D7B" w14:textId="3E6A6E64" w:rsidR="00240CAD" w:rsidRPr="00B40EC0" w:rsidRDefault="00240CAD" w:rsidP="00B40EC0">
            <w:pPr>
              <w:spacing w:before="80"/>
              <w:rPr>
                <w:i/>
                <w:iCs/>
                <w:sz w:val="22"/>
                <w:szCs w:val="22"/>
              </w:rPr>
            </w:pPr>
            <w:r w:rsidRPr="00B40EC0">
              <w:rPr>
                <w:i/>
                <w:iCs/>
                <w:sz w:val="22"/>
                <w:szCs w:val="22"/>
              </w:rPr>
              <w:t>Code de conduite: Normes de conduite de la fonction publique internationale (</w:t>
            </w:r>
            <w:hyperlink r:id="rId13" w:history="1">
              <w:r w:rsidRPr="00B40EC0">
                <w:rPr>
                  <w:rStyle w:val="Hyperlink"/>
                  <w:rFonts w:eastAsia="Times New Roman" w:cs="Times New Roman"/>
                  <w:i/>
                  <w:iCs/>
                  <w:sz w:val="22"/>
                </w:rPr>
                <w:t>Ordre de service N°</w:t>
              </w:r>
              <w:r w:rsidR="00B40EC0">
                <w:rPr>
                  <w:rStyle w:val="Hyperlink"/>
                  <w:rFonts w:eastAsia="Times New Roman" w:cs="Times New Roman"/>
                  <w:i/>
                  <w:iCs/>
                  <w:sz w:val="22"/>
                </w:rPr>
                <w:t> </w:t>
              </w:r>
              <w:r w:rsidRPr="00B40EC0">
                <w:rPr>
                  <w:rStyle w:val="Hyperlink"/>
                  <w:rFonts w:eastAsia="Times New Roman" w:cs="Times New Roman"/>
                  <w:i/>
                  <w:iCs/>
                  <w:sz w:val="22"/>
                </w:rPr>
                <w:t>17/07</w:t>
              </w:r>
            </w:hyperlink>
            <w:r w:rsidRPr="00B40EC0">
              <w:rPr>
                <w:i/>
                <w:iCs/>
                <w:sz w:val="22"/>
                <w:szCs w:val="22"/>
              </w:rPr>
              <w:t>), Code d'éthique de l</w:t>
            </w:r>
            <w:r w:rsidR="005457F0" w:rsidRPr="00B40EC0">
              <w:rPr>
                <w:i/>
                <w:iCs/>
                <w:sz w:val="22"/>
                <w:szCs w:val="22"/>
              </w:rPr>
              <w:t>'</w:t>
            </w:r>
            <w:r w:rsidRPr="00B40EC0">
              <w:rPr>
                <w:i/>
                <w:iCs/>
                <w:sz w:val="22"/>
                <w:szCs w:val="22"/>
              </w:rPr>
              <w:t>UIT (</w:t>
            </w:r>
            <w:hyperlink r:id="rId14" w:history="1">
              <w:r w:rsidRPr="00B40EC0">
                <w:rPr>
                  <w:rStyle w:val="Hyperlink"/>
                  <w:rFonts w:eastAsia="Times New Roman" w:cs="Times New Roman"/>
                  <w:i/>
                  <w:iCs/>
                  <w:sz w:val="22"/>
                </w:rPr>
                <w:t>Ordre de service N° 11/02</w:t>
              </w:r>
            </w:hyperlink>
            <w:r w:rsidRPr="00B40EC0">
              <w:rPr>
                <w:i/>
                <w:iCs/>
                <w:sz w:val="22"/>
                <w:szCs w:val="22"/>
              </w:rPr>
              <w:t>);</w:t>
            </w:r>
          </w:p>
          <w:p w14:paraId="7949045E" w14:textId="65F91938" w:rsidR="00240CAD" w:rsidRPr="00B40EC0" w:rsidRDefault="00240CAD" w:rsidP="00B40EC0">
            <w:pPr>
              <w:spacing w:before="80"/>
              <w:rPr>
                <w:i/>
                <w:iCs/>
                <w:sz w:val="22"/>
                <w:szCs w:val="22"/>
              </w:rPr>
            </w:pPr>
            <w:r w:rsidRPr="00B40EC0">
              <w:rPr>
                <w:i/>
                <w:iCs/>
                <w:sz w:val="22"/>
                <w:szCs w:val="22"/>
              </w:rPr>
              <w:t>Fraude et corruption: Politique de lutte contre la fraude, la corruption et d'autres pratiques prohibées (</w:t>
            </w:r>
            <w:hyperlink r:id="rId15" w:history="1">
              <w:r w:rsidRPr="00B40EC0">
                <w:rPr>
                  <w:rStyle w:val="Hyperlink"/>
                  <w:rFonts w:eastAsia="Times New Roman" w:cs="Times New Roman"/>
                  <w:i/>
                  <w:iCs/>
                  <w:sz w:val="22"/>
                </w:rPr>
                <w:t>Ordre de service N° 19/09</w:t>
              </w:r>
            </w:hyperlink>
            <w:r w:rsidRPr="00B40EC0">
              <w:rPr>
                <w:i/>
                <w:iCs/>
                <w:sz w:val="22"/>
                <w:szCs w:val="22"/>
              </w:rPr>
              <w:t>);</w:t>
            </w:r>
          </w:p>
          <w:p w14:paraId="01397E71" w14:textId="3373D7DB" w:rsidR="00240CAD" w:rsidRPr="00B40EC0" w:rsidRDefault="00240CAD" w:rsidP="00B40EC0">
            <w:pPr>
              <w:spacing w:before="80"/>
              <w:rPr>
                <w:i/>
                <w:iCs/>
                <w:sz w:val="22"/>
                <w:szCs w:val="22"/>
              </w:rPr>
            </w:pPr>
            <w:r w:rsidRPr="00B40EC0">
              <w:rPr>
                <w:i/>
                <w:iCs/>
                <w:sz w:val="22"/>
                <w:szCs w:val="22"/>
              </w:rPr>
              <w:t>Harcèlement et abus de pouvoir: Politique de l'UIT relative à la lutte contre le harcèlement, y compris le harcèlement sexuel, l'abus de pouvoir et la discrimination (</w:t>
            </w:r>
            <w:hyperlink r:id="rId16" w:history="1">
              <w:r w:rsidRPr="00B40EC0">
                <w:rPr>
                  <w:rStyle w:val="Hyperlink"/>
                  <w:rFonts w:eastAsia="Times New Roman" w:cs="Times New Roman"/>
                  <w:i/>
                  <w:iCs/>
                  <w:sz w:val="22"/>
                </w:rPr>
                <w:t>Ordre de service N° 22/03</w:t>
              </w:r>
            </w:hyperlink>
            <w:r w:rsidRPr="00B40EC0">
              <w:rPr>
                <w:i/>
                <w:iCs/>
                <w:sz w:val="22"/>
                <w:szCs w:val="22"/>
              </w:rPr>
              <w:t>);</w:t>
            </w:r>
          </w:p>
          <w:p w14:paraId="15B464EF" w14:textId="4667BE8E" w:rsidR="00240CAD" w:rsidRPr="00B40EC0" w:rsidRDefault="00240CAD" w:rsidP="00B40EC0">
            <w:pPr>
              <w:spacing w:before="80"/>
              <w:rPr>
                <w:i/>
                <w:iCs/>
                <w:sz w:val="22"/>
                <w:szCs w:val="22"/>
              </w:rPr>
            </w:pPr>
            <w:r w:rsidRPr="00B40EC0">
              <w:rPr>
                <w:i/>
                <w:iCs/>
                <w:sz w:val="22"/>
                <w:szCs w:val="22"/>
              </w:rPr>
              <w:t>Signalement des manquements: Politique et protection en cas de signalement d'un manquement (dénonciation d'un manquement) (</w:t>
            </w:r>
            <w:hyperlink r:id="rId17" w:history="1">
              <w:r w:rsidRPr="00B40EC0">
                <w:rPr>
                  <w:rStyle w:val="Hyperlink"/>
                  <w:rFonts w:eastAsia="Times New Roman" w:cs="Times New Roman"/>
                  <w:i/>
                  <w:iCs/>
                  <w:sz w:val="22"/>
                </w:rPr>
                <w:t>Ordre de service N° 20/06</w:t>
              </w:r>
            </w:hyperlink>
            <w:r w:rsidRPr="00B40EC0">
              <w:rPr>
                <w:i/>
                <w:iCs/>
                <w:sz w:val="22"/>
                <w:szCs w:val="22"/>
              </w:rPr>
              <w:t>);</w:t>
            </w:r>
          </w:p>
          <w:p w14:paraId="4490DAEC" w14:textId="7E2CBB61" w:rsidR="00240CAD" w:rsidRPr="00B40EC0" w:rsidRDefault="00240CAD" w:rsidP="00B40EC0">
            <w:pPr>
              <w:spacing w:before="80" w:after="160"/>
              <w:rPr>
                <w:i/>
                <w:iCs/>
                <w:sz w:val="22"/>
                <w:szCs w:val="22"/>
              </w:rPr>
            </w:pPr>
            <w:r w:rsidRPr="00B40EC0">
              <w:rPr>
                <w:i/>
                <w:iCs/>
                <w:sz w:val="22"/>
                <w:szCs w:val="22"/>
              </w:rPr>
              <w:t>Conflits d</w:t>
            </w:r>
            <w:r w:rsidR="005457F0" w:rsidRPr="00B40EC0">
              <w:rPr>
                <w:i/>
                <w:iCs/>
                <w:sz w:val="22"/>
                <w:szCs w:val="22"/>
              </w:rPr>
              <w:t>'</w:t>
            </w:r>
            <w:r w:rsidRPr="00B40EC0">
              <w:rPr>
                <w:i/>
                <w:iCs/>
                <w:sz w:val="22"/>
                <w:szCs w:val="22"/>
              </w:rPr>
              <w:t>intérêts: Politique de l</w:t>
            </w:r>
            <w:r w:rsidR="005457F0" w:rsidRPr="00B40EC0">
              <w:rPr>
                <w:i/>
                <w:iCs/>
                <w:sz w:val="22"/>
                <w:szCs w:val="22"/>
              </w:rPr>
              <w:t>'</w:t>
            </w:r>
            <w:r w:rsidRPr="00B40EC0">
              <w:rPr>
                <w:i/>
                <w:iCs/>
                <w:sz w:val="22"/>
                <w:szCs w:val="22"/>
              </w:rPr>
              <w:t>UIT relative aux déclarations d</w:t>
            </w:r>
            <w:r w:rsidR="005457F0" w:rsidRPr="00B40EC0">
              <w:rPr>
                <w:i/>
                <w:iCs/>
                <w:sz w:val="22"/>
                <w:szCs w:val="22"/>
              </w:rPr>
              <w:t>'</w:t>
            </w:r>
            <w:r w:rsidRPr="00B40EC0">
              <w:rPr>
                <w:i/>
                <w:iCs/>
                <w:sz w:val="22"/>
                <w:szCs w:val="22"/>
              </w:rPr>
              <w:t>intérêts (</w:t>
            </w:r>
            <w:hyperlink r:id="rId18" w:history="1">
              <w:r w:rsidRPr="00B40EC0">
                <w:rPr>
                  <w:rStyle w:val="Hyperlink"/>
                  <w:rFonts w:eastAsia="Times New Roman" w:cs="Times New Roman"/>
                  <w:i/>
                  <w:iCs/>
                  <w:sz w:val="22"/>
                </w:rPr>
                <w:t>Ordre de service N° 22/02</w:t>
              </w:r>
            </w:hyperlink>
            <w:r w:rsidRPr="00B40EC0">
              <w:rPr>
                <w:i/>
                <w:iCs/>
                <w:sz w:val="22"/>
                <w:szCs w:val="22"/>
              </w:rPr>
              <w:t>), Politique de l</w:t>
            </w:r>
            <w:r w:rsidR="005457F0" w:rsidRPr="00B40EC0">
              <w:rPr>
                <w:i/>
                <w:iCs/>
                <w:sz w:val="22"/>
                <w:szCs w:val="22"/>
              </w:rPr>
              <w:t>'</w:t>
            </w:r>
            <w:r w:rsidRPr="00B40EC0">
              <w:rPr>
                <w:i/>
                <w:iCs/>
                <w:sz w:val="22"/>
                <w:szCs w:val="22"/>
              </w:rPr>
              <w:t>UIT relative à la déclaration de situation financière (</w:t>
            </w:r>
            <w:hyperlink r:id="rId19" w:history="1">
              <w:r w:rsidRPr="00B40EC0">
                <w:rPr>
                  <w:rStyle w:val="Hyperlink"/>
                  <w:rFonts w:eastAsia="Times New Roman" w:cs="Times New Roman"/>
                  <w:i/>
                  <w:iCs/>
                  <w:sz w:val="22"/>
                </w:rPr>
                <w:t>Ordre de service N° 11/03</w:t>
              </w:r>
            </w:hyperlink>
            <w:r w:rsidRPr="00B40EC0">
              <w:rPr>
                <w:i/>
                <w:iCs/>
                <w:sz w:val="22"/>
                <w:szCs w:val="22"/>
              </w:rPr>
              <w:t>);</w:t>
            </w:r>
          </w:p>
          <w:p w14:paraId="042B7AA0" w14:textId="009CCFEE" w:rsidR="00240CAD" w:rsidRPr="00B40EC0" w:rsidRDefault="00240CAD" w:rsidP="00B40EC0">
            <w:pPr>
              <w:spacing w:before="80" w:after="160"/>
              <w:rPr>
                <w:i/>
                <w:iCs/>
                <w:sz w:val="22"/>
                <w:szCs w:val="22"/>
              </w:rPr>
            </w:pPr>
            <w:r w:rsidRPr="00B40EC0">
              <w:rPr>
                <w:i/>
                <w:iCs/>
                <w:sz w:val="22"/>
                <w:szCs w:val="22"/>
              </w:rPr>
              <w:t xml:space="preserve">Lignes directrices relatives </w:t>
            </w:r>
            <w:proofErr w:type="gramStart"/>
            <w:r w:rsidRPr="00B40EC0">
              <w:rPr>
                <w:i/>
                <w:iCs/>
                <w:sz w:val="22"/>
                <w:szCs w:val="22"/>
              </w:rPr>
              <w:t>aux enquête</w:t>
            </w:r>
            <w:proofErr w:type="gramEnd"/>
            <w:r w:rsidRPr="00B40EC0">
              <w:rPr>
                <w:i/>
                <w:iCs/>
                <w:sz w:val="22"/>
                <w:szCs w:val="22"/>
              </w:rPr>
              <w:t>: Lignes directrices de l</w:t>
            </w:r>
            <w:r w:rsidR="005457F0" w:rsidRPr="00B40EC0">
              <w:rPr>
                <w:i/>
                <w:iCs/>
                <w:sz w:val="22"/>
                <w:szCs w:val="22"/>
              </w:rPr>
              <w:t>'</w:t>
            </w:r>
            <w:r w:rsidRPr="00B40EC0">
              <w:rPr>
                <w:i/>
                <w:iCs/>
                <w:sz w:val="22"/>
                <w:szCs w:val="22"/>
              </w:rPr>
              <w:t>UIT relatives aux enquêtes (</w:t>
            </w:r>
            <w:hyperlink r:id="rId20" w:history="1">
              <w:r w:rsidRPr="00B40EC0">
                <w:rPr>
                  <w:rStyle w:val="Hyperlink"/>
                  <w:rFonts w:eastAsia="Times New Roman" w:cs="Times New Roman"/>
                  <w:i/>
                  <w:iCs/>
                  <w:sz w:val="22"/>
                </w:rPr>
                <w:t>Ordre de service N°19/10</w:t>
              </w:r>
            </w:hyperlink>
            <w:r w:rsidRPr="00B40EC0">
              <w:rPr>
                <w:i/>
                <w:iCs/>
                <w:sz w:val="22"/>
                <w:szCs w:val="22"/>
              </w:rPr>
              <w:t>);</w:t>
            </w:r>
          </w:p>
          <w:p w14:paraId="52AEB219" w14:textId="20CC2A95" w:rsidR="00D72F49" w:rsidRPr="006D1330" w:rsidRDefault="00240CAD" w:rsidP="00B40EC0">
            <w:pPr>
              <w:spacing w:before="80" w:after="120"/>
              <w:rPr>
                <w:i/>
                <w:iCs/>
                <w:sz w:val="22"/>
                <w:szCs w:val="22"/>
              </w:rPr>
            </w:pPr>
            <w:r w:rsidRPr="00B40EC0">
              <w:rPr>
                <w:i/>
                <w:iCs/>
                <w:sz w:val="22"/>
                <w:szCs w:val="22"/>
              </w:rPr>
              <w:t xml:space="preserve">Rapports du CCI: Documents </w:t>
            </w:r>
            <w:hyperlink r:id="rId21" w:history="1">
              <w:r w:rsidRPr="00B40EC0">
                <w:rPr>
                  <w:rStyle w:val="Hyperlink"/>
                  <w:rFonts w:eastAsia="Times New Roman" w:cs="Times New Roman"/>
                  <w:i/>
                  <w:iCs/>
                  <w:sz w:val="22"/>
                </w:rPr>
                <w:t>JIU/REP/2020/1</w:t>
              </w:r>
            </w:hyperlink>
            <w:r w:rsidRPr="00B40EC0">
              <w:rPr>
                <w:i/>
                <w:iCs/>
                <w:sz w:val="22"/>
                <w:szCs w:val="22"/>
              </w:rPr>
              <w:t xml:space="preserve"> et </w:t>
            </w:r>
            <w:hyperlink r:id="rId22" w:history="1">
              <w:r w:rsidRPr="00B40EC0">
                <w:rPr>
                  <w:rStyle w:val="Hyperlink"/>
                  <w:rFonts w:eastAsia="Times New Roman" w:cs="Times New Roman"/>
                  <w:i/>
                  <w:iCs/>
                  <w:sz w:val="22"/>
                </w:rPr>
                <w:t>JIU/REP/2023/2</w:t>
              </w:r>
            </w:hyperlink>
            <w:r w:rsidRPr="00B40EC0">
              <w:rPr>
                <w:i/>
                <w:iCs/>
                <w:sz w:val="22"/>
                <w:szCs w:val="22"/>
              </w:rPr>
              <w:t>.</w:t>
            </w:r>
          </w:p>
        </w:tc>
      </w:tr>
    </w:tbl>
    <w:p w14:paraId="3541966B" w14:textId="77777777" w:rsidR="00A51849" w:rsidRPr="006D1330" w:rsidRDefault="00A51849">
      <w:pPr>
        <w:tabs>
          <w:tab w:val="clear" w:pos="567"/>
          <w:tab w:val="clear" w:pos="1134"/>
          <w:tab w:val="clear" w:pos="1701"/>
          <w:tab w:val="clear" w:pos="2268"/>
          <w:tab w:val="clear" w:pos="2835"/>
        </w:tabs>
        <w:overflowPunct/>
        <w:autoSpaceDE/>
        <w:autoSpaceDN/>
        <w:adjustRightInd/>
        <w:spacing w:before="0"/>
        <w:textAlignment w:val="auto"/>
      </w:pPr>
      <w:r w:rsidRPr="006D1330">
        <w:br w:type="page"/>
      </w:r>
    </w:p>
    <w:p w14:paraId="57C4446D" w14:textId="332932A2" w:rsidR="00D77380" w:rsidRPr="006D1330" w:rsidRDefault="00D77380" w:rsidP="00345DE5">
      <w:pPr>
        <w:pStyle w:val="Heading1"/>
      </w:pPr>
      <w:r w:rsidRPr="006D1330">
        <w:lastRenderedPageBreak/>
        <w:t>1</w:t>
      </w:r>
      <w:r w:rsidRPr="006D1330">
        <w:tab/>
        <w:t>Considérations générales</w:t>
      </w:r>
    </w:p>
    <w:p w14:paraId="1F81E982" w14:textId="4D470901" w:rsidR="00D77380" w:rsidRPr="006D1330" w:rsidRDefault="00D77380" w:rsidP="0025663C">
      <w:pPr>
        <w:jc w:val="both"/>
      </w:pPr>
      <w:r w:rsidRPr="006D1330">
        <w:t>Depuis 2023, le Conseil de l</w:t>
      </w:r>
      <w:r w:rsidR="007D0BFF" w:rsidRPr="006D1330">
        <w:t>'</w:t>
      </w:r>
      <w:r w:rsidRPr="006D1330">
        <w:t>UIT et son Groupe de travail sur les ressources financières et les ressources humaines mène à bien un examen du système de contrôle interne de l</w:t>
      </w:r>
      <w:r w:rsidR="007D0BFF" w:rsidRPr="006D1330">
        <w:t>'</w:t>
      </w:r>
      <w:r w:rsidRPr="006D1330">
        <w:t>UIT, entre autres mécanismes. En juin 2024, le Conseil a approuvé la Charte du contrôle interne de l</w:t>
      </w:r>
      <w:r w:rsidR="007D0BFF" w:rsidRPr="006D1330">
        <w:t>'</w:t>
      </w:r>
      <w:r w:rsidRPr="006D1330">
        <w:t>UIT, qui regroupe les fonctions d</w:t>
      </w:r>
      <w:r w:rsidR="007D0BFF" w:rsidRPr="006D1330">
        <w:t>'</w:t>
      </w:r>
      <w:r w:rsidRPr="006D1330">
        <w:t>audit interne et d'enquête existantes du Secrétariat général au sein de l</w:t>
      </w:r>
      <w:r w:rsidR="007D0BFF" w:rsidRPr="006D1330">
        <w:t>'</w:t>
      </w:r>
      <w:r w:rsidRPr="006D1330">
        <w:t>Unité du contrôle interne, nouvellement créée. Dans l</w:t>
      </w:r>
      <w:r w:rsidR="007D0BFF" w:rsidRPr="006D1330">
        <w:t>'</w:t>
      </w:r>
      <w:r w:rsidRPr="006D1330">
        <w:t>intervalle, le Bureau de l</w:t>
      </w:r>
      <w:r w:rsidR="007D0BFF" w:rsidRPr="006D1330">
        <w:t>'</w:t>
      </w:r>
      <w:r w:rsidRPr="006D1330">
        <w:t>éthique, en tant que fonction indépendante, continue de collaborer étroitement avec l</w:t>
      </w:r>
      <w:r w:rsidR="007D0BFF" w:rsidRPr="006D1330">
        <w:t>'</w:t>
      </w:r>
      <w:r w:rsidRPr="006D1330">
        <w:t>Unité du contrôle interne dans le cadre de son mandat (</w:t>
      </w:r>
      <w:hyperlink r:id="rId23" w:history="1">
        <w:r w:rsidRPr="006D1330">
          <w:rPr>
            <w:rStyle w:val="Hyperlink"/>
            <w:rFonts w:eastAsia="Times New Roman" w:cs="Times New Roman"/>
            <w:szCs w:val="20"/>
          </w:rPr>
          <w:t>Document C24/120</w:t>
        </w:r>
      </w:hyperlink>
      <w:r w:rsidRPr="006D1330">
        <w:t>). L</w:t>
      </w:r>
      <w:r w:rsidR="007D0BFF" w:rsidRPr="006D1330">
        <w:t>'</w:t>
      </w:r>
      <w:r w:rsidRPr="006D1330">
        <w:t>Article 29 du Règlement financier et des Règles financières a été révisé et l</w:t>
      </w:r>
      <w:r w:rsidR="007D0BFF" w:rsidRPr="006D1330">
        <w:t>'</w:t>
      </w:r>
      <w:hyperlink r:id="rId24" w:history="1">
        <w:r w:rsidRPr="006D1330">
          <w:rPr>
            <w:rStyle w:val="Hyperlink"/>
            <w:rFonts w:eastAsia="Times New Roman" w:cs="Times New Roman"/>
            <w:szCs w:val="20"/>
          </w:rPr>
          <w:t>Ordre de service N° 24/09</w:t>
        </w:r>
      </w:hyperlink>
      <w:r w:rsidRPr="006D1330">
        <w:t xml:space="preserve"> a été publié en conséquence.</w:t>
      </w:r>
    </w:p>
    <w:p w14:paraId="55E7E6E2" w14:textId="2125C7A6" w:rsidR="00D77380" w:rsidRPr="006D1330" w:rsidRDefault="00D77380" w:rsidP="0025663C">
      <w:pPr>
        <w:jc w:val="both"/>
      </w:pPr>
      <w:r w:rsidRPr="006D1330">
        <w:t>Comme indiqué dans le procès-verbal de la session de 2024 du Conseil, de nouvelles améliorations doivent être apportées à la Charte du contrôle interne (</w:t>
      </w:r>
      <w:hyperlink r:id="rId25" w:history="1">
        <w:r w:rsidRPr="006D1330">
          <w:rPr>
            <w:rStyle w:val="Hyperlink"/>
            <w:rFonts w:eastAsia="Times New Roman" w:cs="Times New Roman"/>
            <w:szCs w:val="20"/>
          </w:rPr>
          <w:t>C24/109(Rév.1)</w:t>
        </w:r>
      </w:hyperlink>
      <w:r w:rsidRPr="006D1330">
        <w:t>), en particulier en ce qui concerne les paragraphes 25 à 27, relatifs à l</w:t>
      </w:r>
      <w:r w:rsidR="007D0BFF" w:rsidRPr="006D1330">
        <w:t>'</w:t>
      </w:r>
      <w:r w:rsidRPr="006D1330">
        <w:t>indépendance:</w:t>
      </w:r>
    </w:p>
    <w:p w14:paraId="3C9150F5" w14:textId="77777777" w:rsidR="00D77380" w:rsidRPr="006D1330" w:rsidRDefault="00D77380" w:rsidP="0025663C">
      <w:pPr>
        <w:jc w:val="both"/>
      </w:pPr>
      <w:r w:rsidRPr="006D1330">
        <w:t>"25</w:t>
      </w:r>
      <w:r w:rsidRPr="006D1330">
        <w:tab/>
        <w:t>Afin que leur indépendance soit préservée et que le travail d'audit puisse être effectué en toute objectivité et aboutir à des jugements impartiaux, les membres de l'Unité du contrôle interne ne doivent exercer aucune autorité ou responsabilité sur des activités pour lesquelles ils effectuent une vérification, une enquête ou une évaluation; ils ne doivent pas non plus exercer au sein de l'UIT de fonctions liées aux opérations.</w:t>
      </w:r>
    </w:p>
    <w:p w14:paraId="2DDB8D37" w14:textId="5D14E687" w:rsidR="00D77380" w:rsidRPr="006D1330" w:rsidRDefault="00D77380" w:rsidP="0025663C">
      <w:pPr>
        <w:jc w:val="both"/>
      </w:pPr>
      <w:r w:rsidRPr="006D1330">
        <w:t>26</w:t>
      </w:r>
      <w:r w:rsidRPr="006D1330">
        <w:tab/>
        <w:t xml:space="preserve">Les allégations de manquements à l'encontre du chef ou du personnel de l'Unité du contrôle interne ne font pas l'objet d'une enquête de la part de ladite </w:t>
      </w:r>
      <w:r w:rsidR="00312169" w:rsidRPr="006D1330">
        <w:t>u</w:t>
      </w:r>
      <w:r w:rsidRPr="006D1330">
        <w:t>nité. Toute allégation de cette nature nécessitant une enquête est transmise au Secrétaire général, qui sollicite l'avis du CCIG. Ce dernier établit des procédures de renvoi détaillées appropriées aux fins de l'examen préliminaire indépendant desdites allégations et, si nécessaire, met en place un mécanisme d'enquête indépendant.</w:t>
      </w:r>
    </w:p>
    <w:p w14:paraId="5AC53206" w14:textId="6C26FCA1" w:rsidR="00D77380" w:rsidRPr="006D1330" w:rsidRDefault="00D77380" w:rsidP="0025663C">
      <w:pPr>
        <w:jc w:val="both"/>
      </w:pPr>
      <w:r w:rsidRPr="006D1330">
        <w:t>27</w:t>
      </w:r>
      <w:r w:rsidRPr="006D1330">
        <w:tab/>
        <w:t>Les allégations de manquements à l'encontre du Secrétaire général et des autres fonctionnaires élus ne font pas l'objet d'une enquête de la part de l'Unité du contrôle interne. Ces allégations devraient être signalées au Président du Conseil et au Président du CCIG. L'Unité du contrôle interne élabore les procédures de renvoi détaillées appropriées aux fins de l'examen préliminaire indépendant desdites allégations et, si nécessaire, met en place un mécanisme d'enquête indépendant. Ces procédures seront fondées sur les bonnes pratiques de l'ONU, examinées par le CCIG et soumises au Conseil de l'UIT pour examen et suite à donner, le cas échéant</w:t>
      </w:r>
      <w:r w:rsidR="004E501F" w:rsidRPr="006D1330">
        <w:t>.</w:t>
      </w:r>
      <w:r w:rsidRPr="006D1330">
        <w:t>"</w:t>
      </w:r>
    </w:p>
    <w:p w14:paraId="5A1CEF1D" w14:textId="3F4036D5" w:rsidR="00D77380" w:rsidRPr="00345DE5" w:rsidRDefault="00D77380" w:rsidP="00345DE5">
      <w:pPr>
        <w:pStyle w:val="Heading1"/>
      </w:pPr>
      <w:r w:rsidRPr="006D1330">
        <w:t>2</w:t>
      </w:r>
      <w:r w:rsidRPr="006D1330">
        <w:tab/>
        <w:t>Propositions</w:t>
      </w:r>
    </w:p>
    <w:p w14:paraId="230E0AB2" w14:textId="1AC08406" w:rsidR="00D77380" w:rsidRPr="00345DE5" w:rsidRDefault="00D77380" w:rsidP="00345DE5">
      <w:pPr>
        <w:jc w:val="both"/>
        <w:rPr>
          <w:spacing w:val="-2"/>
        </w:rPr>
      </w:pPr>
      <w:r w:rsidRPr="00345DE5">
        <w:rPr>
          <w:spacing w:val="-2"/>
        </w:rPr>
        <w:t>1</w:t>
      </w:r>
      <w:r w:rsidRPr="00345DE5">
        <w:rPr>
          <w:spacing w:val="-2"/>
        </w:rPr>
        <w:tab/>
        <w:t>Afin d</w:t>
      </w:r>
      <w:r w:rsidR="007D0BFF" w:rsidRPr="00345DE5">
        <w:rPr>
          <w:spacing w:val="-2"/>
        </w:rPr>
        <w:t>'</w:t>
      </w:r>
      <w:r w:rsidRPr="00345DE5">
        <w:rPr>
          <w:spacing w:val="-2"/>
        </w:rPr>
        <w:t>appliquer la décision du Conseil visant à améliorer le contrôle interne et de faciliter la mise en œuvre de la Charte du contrôle interne, le Comité consultatif indépendant pour les questions de gestion (CCIG) et l</w:t>
      </w:r>
      <w:r w:rsidR="007D0BFF" w:rsidRPr="00345DE5">
        <w:rPr>
          <w:spacing w:val="-2"/>
        </w:rPr>
        <w:t>'</w:t>
      </w:r>
      <w:r w:rsidRPr="00345DE5">
        <w:rPr>
          <w:spacing w:val="-2"/>
        </w:rPr>
        <w:t>Unité du contrôle interne devraient rédiger respectivement les deux documents de procédure suivants</w:t>
      </w:r>
      <w:r w:rsidR="00F67F0D" w:rsidRPr="00345DE5">
        <w:rPr>
          <w:spacing w:val="-2"/>
        </w:rPr>
        <w:t xml:space="preserve"> </w:t>
      </w:r>
      <w:r w:rsidR="000734AD" w:rsidRPr="00345DE5">
        <w:rPr>
          <w:spacing w:val="-2"/>
        </w:rPr>
        <w:t xml:space="preserve">et </w:t>
      </w:r>
      <w:r w:rsidR="00D5798F" w:rsidRPr="00345DE5">
        <w:rPr>
          <w:spacing w:val="-2"/>
        </w:rPr>
        <w:t>faire rapport au Conseil sur ceux-ci</w:t>
      </w:r>
      <w:r w:rsidRPr="00345DE5">
        <w:rPr>
          <w:spacing w:val="-2"/>
        </w:rPr>
        <w:t>:</w:t>
      </w:r>
    </w:p>
    <w:p w14:paraId="6CBD1C5D" w14:textId="3734ADDD" w:rsidR="00D77380" w:rsidRPr="006D1330" w:rsidRDefault="00D77380" w:rsidP="00345DE5">
      <w:pPr>
        <w:pStyle w:val="enumlev1"/>
        <w:jc w:val="both"/>
      </w:pPr>
      <w:r w:rsidRPr="006D1330">
        <w:t>–</w:t>
      </w:r>
      <w:r w:rsidRPr="006D1330">
        <w:tab/>
        <w:t>une procédure de renvoi détaillée aux fins de l</w:t>
      </w:r>
      <w:r w:rsidR="007D0BFF" w:rsidRPr="006D1330">
        <w:t>'</w:t>
      </w:r>
      <w:r w:rsidRPr="006D1330">
        <w:t>examen préliminaire indépendant des allégations de faute à l</w:t>
      </w:r>
      <w:r w:rsidR="007D0BFF" w:rsidRPr="006D1330">
        <w:t>'</w:t>
      </w:r>
      <w:r w:rsidRPr="006D1330">
        <w:t>encontre du Chef ou du personnel de l</w:t>
      </w:r>
      <w:r w:rsidR="007D0BFF" w:rsidRPr="006D1330">
        <w:t>'</w:t>
      </w:r>
      <w:r w:rsidRPr="006D1330">
        <w:t>Unité du contrôle interne, ainsi qu</w:t>
      </w:r>
      <w:r w:rsidR="007D0BFF" w:rsidRPr="006D1330">
        <w:t>'</w:t>
      </w:r>
      <w:r w:rsidRPr="006D1330">
        <w:t>un mécanisme d</w:t>
      </w:r>
      <w:r w:rsidR="007D0BFF" w:rsidRPr="006D1330">
        <w:t>'</w:t>
      </w:r>
      <w:r w:rsidRPr="006D1330">
        <w:t>enquête indépendant correspondant, qui devront être élaborés par le CCIG;</w:t>
      </w:r>
    </w:p>
    <w:p w14:paraId="2DF6037D" w14:textId="095E212C" w:rsidR="00D77380" w:rsidRPr="006D1330" w:rsidRDefault="00D77380" w:rsidP="0025663C">
      <w:pPr>
        <w:pStyle w:val="enumlev1"/>
        <w:jc w:val="both"/>
      </w:pPr>
      <w:r w:rsidRPr="006D1330">
        <w:t>–</w:t>
      </w:r>
      <w:r w:rsidRPr="006D1330">
        <w:tab/>
        <w:t>une procédure de renvoi détaillée aux fins de l'examen préliminaire indépendant des allégations de faute à l</w:t>
      </w:r>
      <w:r w:rsidR="007D0BFF" w:rsidRPr="006D1330">
        <w:t>'</w:t>
      </w:r>
      <w:r w:rsidRPr="006D1330">
        <w:t xml:space="preserve">encontre du Secrétaire général ou des autres fonctionnaires élus, </w:t>
      </w:r>
      <w:r w:rsidRPr="006D1330">
        <w:lastRenderedPageBreak/>
        <w:t>ainsi qu</w:t>
      </w:r>
      <w:r w:rsidR="007D0BFF" w:rsidRPr="006D1330">
        <w:t>'</w:t>
      </w:r>
      <w:r w:rsidRPr="006D1330">
        <w:t>un mécanisme d</w:t>
      </w:r>
      <w:r w:rsidR="007D0BFF" w:rsidRPr="006D1330">
        <w:t>'</w:t>
      </w:r>
      <w:r w:rsidRPr="006D1330">
        <w:t>enquête indépendant correspondant, qui seront élaborés par l</w:t>
      </w:r>
      <w:r w:rsidR="007D0BFF" w:rsidRPr="006D1330">
        <w:t>'</w:t>
      </w:r>
      <w:r w:rsidRPr="006D1330">
        <w:t>Unité du contrôle interne.</w:t>
      </w:r>
    </w:p>
    <w:p w14:paraId="51F094DF" w14:textId="43CD8BFD" w:rsidR="00D77380" w:rsidRPr="006D1330" w:rsidRDefault="00D77380" w:rsidP="0025663C">
      <w:pPr>
        <w:spacing w:before="100"/>
        <w:jc w:val="both"/>
      </w:pPr>
      <w:r w:rsidRPr="006D1330">
        <w:t>2</w:t>
      </w:r>
      <w:r w:rsidRPr="006D1330">
        <w:tab/>
        <w:t>Lorsqu</w:t>
      </w:r>
      <w:r w:rsidR="007D0BFF" w:rsidRPr="006D1330">
        <w:t>'</w:t>
      </w:r>
      <w:r w:rsidRPr="006D1330">
        <w:t>ils élaboreront les procédures pertinentes, le CCIG et l</w:t>
      </w:r>
      <w:r w:rsidR="007D0BFF" w:rsidRPr="006D1330">
        <w:t>'</w:t>
      </w:r>
      <w:r w:rsidRPr="006D1330">
        <w:t>Unité du contrôle devraient:</w:t>
      </w:r>
    </w:p>
    <w:p w14:paraId="158C0D46" w14:textId="45BE924B" w:rsidR="00D77380" w:rsidRPr="006D1330" w:rsidRDefault="00D77380" w:rsidP="0025663C">
      <w:pPr>
        <w:pStyle w:val="enumlev1"/>
        <w:spacing w:before="60"/>
        <w:jc w:val="both"/>
      </w:pPr>
      <w:r w:rsidRPr="006D1330">
        <w:t>–</w:t>
      </w:r>
      <w:r w:rsidRPr="006D1330">
        <w:tab/>
        <w:t>définir clairement les rôles et les responsabilités du Secrétaire général, du Conseil, du</w:t>
      </w:r>
      <w:r w:rsidR="002E5A7D" w:rsidRPr="006D1330">
        <w:t> </w:t>
      </w:r>
      <w:r w:rsidRPr="006D1330">
        <w:t>CCIG, de l</w:t>
      </w:r>
      <w:r w:rsidR="007D0BFF" w:rsidRPr="006D1330">
        <w:t>'</w:t>
      </w:r>
      <w:r w:rsidRPr="006D1330">
        <w:t>Unité de contrôle, du Bureau de l</w:t>
      </w:r>
      <w:r w:rsidR="007D0BFF" w:rsidRPr="006D1330">
        <w:t>'</w:t>
      </w:r>
      <w:r w:rsidRPr="006D1330">
        <w:t>éthique et du Comité d'appel interne aux différents stades du traitement des allégations de faute, de la réception et de l</w:t>
      </w:r>
      <w:r w:rsidR="007D0BFF" w:rsidRPr="006D1330">
        <w:t>'</w:t>
      </w:r>
      <w:r w:rsidRPr="006D1330">
        <w:t>enregistrement des plaintes aux enquêtes à l</w:t>
      </w:r>
      <w:r w:rsidR="007D0BFF" w:rsidRPr="006D1330">
        <w:t>'</w:t>
      </w:r>
      <w:r w:rsidRPr="006D1330">
        <w:t>examen des cas, la formulation de conclusions et la mise en œuvre des mesures correctives appropriées; et assurer une répartition claire des responsabilités et une coordination efficace entre le Bureau de l</w:t>
      </w:r>
      <w:r w:rsidR="007D0BFF" w:rsidRPr="006D1330">
        <w:t>'</w:t>
      </w:r>
      <w:r w:rsidRPr="006D1330">
        <w:t>éthique et l</w:t>
      </w:r>
      <w:r w:rsidR="007D0BFF" w:rsidRPr="006D1330">
        <w:t>'</w:t>
      </w:r>
      <w:r w:rsidRPr="006D1330">
        <w:t>Unité du contrôle interne dans le traitement des allégations de faute</w:t>
      </w:r>
      <w:r w:rsidR="00155B0E" w:rsidRPr="006D1330">
        <w:t>;</w:t>
      </w:r>
    </w:p>
    <w:p w14:paraId="38E5FD3D" w14:textId="11902938" w:rsidR="00D77380" w:rsidRPr="00345DE5" w:rsidRDefault="00D77380" w:rsidP="0025663C">
      <w:pPr>
        <w:pStyle w:val="enumlev1"/>
        <w:spacing w:before="60"/>
        <w:jc w:val="both"/>
        <w:rPr>
          <w:spacing w:val="-2"/>
        </w:rPr>
      </w:pPr>
      <w:r w:rsidRPr="00345DE5">
        <w:rPr>
          <w:spacing w:val="-2"/>
        </w:rPr>
        <w:t>–</w:t>
      </w:r>
      <w:r w:rsidRPr="00345DE5">
        <w:rPr>
          <w:spacing w:val="-2"/>
        </w:rPr>
        <w:tab/>
        <w:t>appliquer efficacement, lorsqu'ils traitent des cas types de faute, tels que la fraude et la corruption, le harcèlement et l</w:t>
      </w:r>
      <w:r w:rsidR="007D0BFF" w:rsidRPr="00345DE5">
        <w:rPr>
          <w:spacing w:val="-2"/>
        </w:rPr>
        <w:t>'</w:t>
      </w:r>
      <w:r w:rsidRPr="00345DE5">
        <w:rPr>
          <w:spacing w:val="-2"/>
        </w:rPr>
        <w:t>abus de pouvoir, les conflits d</w:t>
      </w:r>
      <w:r w:rsidR="007D0BFF" w:rsidRPr="00345DE5">
        <w:rPr>
          <w:spacing w:val="-2"/>
        </w:rPr>
        <w:t>'</w:t>
      </w:r>
      <w:r w:rsidRPr="00345DE5">
        <w:rPr>
          <w:spacing w:val="-2"/>
        </w:rPr>
        <w:t>intérêts et les représailles, le cadre réglementaire existant de l</w:t>
      </w:r>
      <w:r w:rsidR="007D0BFF" w:rsidRPr="00345DE5">
        <w:rPr>
          <w:spacing w:val="-2"/>
        </w:rPr>
        <w:t>'</w:t>
      </w:r>
      <w:r w:rsidRPr="00345DE5">
        <w:rPr>
          <w:spacing w:val="-2"/>
        </w:rPr>
        <w:t>UIT, notamment les Statut et Règlement du personnel, les Statut et Règlement du personnel applicables aux fonctionnaires élus et les ordres de service pertinents (</w:t>
      </w:r>
      <w:r w:rsidR="00524935" w:rsidRPr="00345DE5">
        <w:rPr>
          <w:spacing w:val="-2"/>
        </w:rPr>
        <w:t>par exemple</w:t>
      </w:r>
      <w:r w:rsidR="00B814A8" w:rsidRPr="00345DE5">
        <w:rPr>
          <w:spacing w:val="-2"/>
        </w:rPr>
        <w:t xml:space="preserve"> les </w:t>
      </w:r>
      <w:r w:rsidR="00B37999" w:rsidRPr="00345DE5">
        <w:rPr>
          <w:spacing w:val="-2"/>
        </w:rPr>
        <w:t>O</w:t>
      </w:r>
      <w:r w:rsidR="00B814A8" w:rsidRPr="00345DE5">
        <w:rPr>
          <w:spacing w:val="-2"/>
        </w:rPr>
        <w:t xml:space="preserve">rdres de service </w:t>
      </w:r>
      <w:r w:rsidRPr="00345DE5">
        <w:rPr>
          <w:spacing w:val="-2"/>
        </w:rPr>
        <w:t>N</w:t>
      </w:r>
      <w:r w:rsidR="00D80867" w:rsidRPr="00345DE5">
        <w:rPr>
          <w:spacing w:val="-2"/>
        </w:rPr>
        <w:t>°</w:t>
      </w:r>
      <w:r w:rsidRPr="00345DE5">
        <w:rPr>
          <w:spacing w:val="-2"/>
        </w:rPr>
        <w:t xml:space="preserve"> </w:t>
      </w:r>
      <w:hyperlink r:id="rId26" w:history="1">
        <w:r w:rsidRPr="00345DE5">
          <w:rPr>
            <w:rStyle w:val="Hyperlink"/>
            <w:rFonts w:eastAsia="Times New Roman" w:cs="Times New Roman"/>
            <w:spacing w:val="-2"/>
            <w:szCs w:val="20"/>
          </w:rPr>
          <w:t>17/07</w:t>
        </w:r>
      </w:hyperlink>
      <w:r w:rsidRPr="00345DE5">
        <w:rPr>
          <w:spacing w:val="-2"/>
        </w:rPr>
        <w:t xml:space="preserve">, </w:t>
      </w:r>
      <w:hyperlink r:id="rId27" w:history="1">
        <w:r w:rsidRPr="00345DE5">
          <w:rPr>
            <w:rStyle w:val="Hyperlink"/>
            <w:rFonts w:eastAsia="Times New Roman" w:cs="Times New Roman"/>
            <w:spacing w:val="-2"/>
            <w:szCs w:val="20"/>
          </w:rPr>
          <w:t>11/02</w:t>
        </w:r>
      </w:hyperlink>
      <w:r w:rsidRPr="00345DE5">
        <w:rPr>
          <w:spacing w:val="-2"/>
        </w:rPr>
        <w:t xml:space="preserve">, </w:t>
      </w:r>
      <w:hyperlink r:id="rId28" w:history="1">
        <w:r w:rsidRPr="00345DE5">
          <w:rPr>
            <w:rStyle w:val="Hyperlink"/>
            <w:rFonts w:eastAsia="Times New Roman" w:cs="Times New Roman"/>
            <w:spacing w:val="-2"/>
            <w:szCs w:val="20"/>
          </w:rPr>
          <w:t>19/09</w:t>
        </w:r>
      </w:hyperlink>
      <w:r w:rsidRPr="00345DE5">
        <w:rPr>
          <w:spacing w:val="-2"/>
        </w:rPr>
        <w:t xml:space="preserve">, </w:t>
      </w:r>
      <w:hyperlink r:id="rId29" w:history="1">
        <w:r w:rsidRPr="00345DE5">
          <w:rPr>
            <w:rStyle w:val="Hyperlink"/>
            <w:rFonts w:eastAsia="Times New Roman" w:cs="Times New Roman"/>
            <w:spacing w:val="-2"/>
            <w:szCs w:val="20"/>
          </w:rPr>
          <w:t>22/03</w:t>
        </w:r>
      </w:hyperlink>
      <w:r w:rsidRPr="00345DE5">
        <w:rPr>
          <w:spacing w:val="-2"/>
        </w:rPr>
        <w:t xml:space="preserve"> et </w:t>
      </w:r>
      <w:hyperlink r:id="rId30" w:history="1">
        <w:r w:rsidRPr="00345DE5">
          <w:rPr>
            <w:rStyle w:val="Hyperlink"/>
            <w:rFonts w:eastAsia="Times New Roman" w:cs="Times New Roman"/>
            <w:spacing w:val="-2"/>
            <w:szCs w:val="20"/>
          </w:rPr>
          <w:t>20/06</w:t>
        </w:r>
      </w:hyperlink>
      <w:r w:rsidRPr="00345DE5">
        <w:rPr>
          <w:spacing w:val="-2"/>
        </w:rPr>
        <w:t xml:space="preserve">) afin </w:t>
      </w:r>
      <w:r w:rsidR="00B814A8" w:rsidRPr="00345DE5">
        <w:rPr>
          <w:spacing w:val="-2"/>
        </w:rPr>
        <w:t>d</w:t>
      </w:r>
      <w:r w:rsidR="00B4218A" w:rsidRPr="00345DE5">
        <w:rPr>
          <w:spacing w:val="-2"/>
        </w:rPr>
        <w:t>'</w:t>
      </w:r>
      <w:r w:rsidR="00B814A8" w:rsidRPr="00345DE5">
        <w:rPr>
          <w:spacing w:val="-2"/>
        </w:rPr>
        <w:t xml:space="preserve">assurer une cohérence entre les instruments juridiques </w:t>
      </w:r>
      <w:r w:rsidR="009C5C48" w:rsidRPr="00345DE5">
        <w:rPr>
          <w:spacing w:val="-2"/>
        </w:rPr>
        <w:t>existants</w:t>
      </w:r>
      <w:r w:rsidR="00155B0E" w:rsidRPr="00345DE5">
        <w:rPr>
          <w:spacing w:val="-2"/>
        </w:rPr>
        <w:t>;</w:t>
      </w:r>
    </w:p>
    <w:p w14:paraId="6A30D996" w14:textId="05BC81BD" w:rsidR="00D77380" w:rsidRPr="006D1330" w:rsidRDefault="00D77380" w:rsidP="0025663C">
      <w:pPr>
        <w:pStyle w:val="enumlev1"/>
        <w:spacing w:before="60"/>
        <w:jc w:val="both"/>
      </w:pPr>
      <w:r w:rsidRPr="006D1330">
        <w:t>–</w:t>
      </w:r>
      <w:r w:rsidRPr="006D1330">
        <w:tab/>
        <w:t>étudier les bonnes pratiques appliquées à l'échelle du système des Nations Unies et les adapter, s</w:t>
      </w:r>
      <w:r w:rsidR="007D0BFF" w:rsidRPr="006D1330">
        <w:t>'</w:t>
      </w:r>
      <w:r w:rsidRPr="006D1330">
        <w:t>il y a lieu, au contexte de l</w:t>
      </w:r>
      <w:r w:rsidR="007D0BFF" w:rsidRPr="006D1330">
        <w:t>'</w:t>
      </w:r>
      <w:r w:rsidRPr="006D1330">
        <w:t>UIT.</w:t>
      </w:r>
    </w:p>
    <w:p w14:paraId="6F1833D2" w14:textId="08EAC20B" w:rsidR="00D77380" w:rsidRPr="006D1330" w:rsidRDefault="00D77380" w:rsidP="0025663C">
      <w:pPr>
        <w:spacing w:before="100"/>
        <w:jc w:val="both"/>
      </w:pPr>
      <w:r w:rsidRPr="006D1330">
        <w:t>Par exemple:</w:t>
      </w:r>
    </w:p>
    <w:p w14:paraId="0E88E173" w14:textId="1E384577" w:rsidR="00D77380" w:rsidRPr="006D1330" w:rsidRDefault="008C5338" w:rsidP="0025663C">
      <w:pPr>
        <w:pStyle w:val="enumlev1"/>
        <w:spacing w:before="60"/>
        <w:jc w:val="both"/>
      </w:pPr>
      <w:r w:rsidRPr="006D1330">
        <w:t>•</w:t>
      </w:r>
      <w:r w:rsidR="00D77380" w:rsidRPr="006D1330">
        <w:tab/>
        <w:t>si une allégation de faute concerne le</w:t>
      </w:r>
      <w:r w:rsidR="00D77380" w:rsidRPr="006D1330">
        <w:rPr>
          <w:b/>
          <w:bCs/>
        </w:rPr>
        <w:t xml:space="preserve"> personnel de l</w:t>
      </w:r>
      <w:r w:rsidR="007D0BFF" w:rsidRPr="006D1330">
        <w:rPr>
          <w:b/>
          <w:bCs/>
        </w:rPr>
        <w:t>'</w:t>
      </w:r>
      <w:r w:rsidR="00D77380" w:rsidRPr="006D1330">
        <w:rPr>
          <w:b/>
          <w:bCs/>
        </w:rPr>
        <w:t>Unité du contrôle interne</w:t>
      </w:r>
      <w:r w:rsidR="00D77380" w:rsidRPr="006D1330">
        <w:t>, le Chef de l</w:t>
      </w:r>
      <w:r w:rsidR="007D0BFF" w:rsidRPr="006D1330">
        <w:t>'</w:t>
      </w:r>
      <w:r w:rsidR="00D77380" w:rsidRPr="006D1330">
        <w:t xml:space="preserve">Unité du contrôle interne devrait consulter le CCIG </w:t>
      </w:r>
      <w:r w:rsidR="009C5C48" w:rsidRPr="006D1330">
        <w:t>au sujet de</w:t>
      </w:r>
      <w:r w:rsidR="00DF0369" w:rsidRPr="006D1330">
        <w:t xml:space="preserve"> la procédure </w:t>
      </w:r>
      <w:r w:rsidR="00A71756" w:rsidRPr="006D1330">
        <w:t>de renvoi</w:t>
      </w:r>
      <w:r w:rsidR="00D77380" w:rsidRPr="006D1330">
        <w:t>;</w:t>
      </w:r>
    </w:p>
    <w:p w14:paraId="343DAA75" w14:textId="7FDD1D9B" w:rsidR="00D77380" w:rsidRPr="006D1330" w:rsidRDefault="008C5338" w:rsidP="0025663C">
      <w:pPr>
        <w:pStyle w:val="enumlev1"/>
        <w:spacing w:before="60"/>
        <w:jc w:val="both"/>
      </w:pPr>
      <w:r w:rsidRPr="006D1330">
        <w:t>•</w:t>
      </w:r>
      <w:r w:rsidR="00D77380" w:rsidRPr="006D1330">
        <w:tab/>
        <w:t>si l</w:t>
      </w:r>
      <w:r w:rsidR="007D0BFF" w:rsidRPr="006D1330">
        <w:t>'</w:t>
      </w:r>
      <w:r w:rsidR="00D77380" w:rsidRPr="006D1330">
        <w:t>allégation concerne le</w:t>
      </w:r>
      <w:r w:rsidR="00D77380" w:rsidRPr="006D1330">
        <w:rPr>
          <w:b/>
          <w:bCs/>
        </w:rPr>
        <w:t xml:space="preserve"> Chef de l</w:t>
      </w:r>
      <w:r w:rsidR="007D0BFF" w:rsidRPr="006D1330">
        <w:rPr>
          <w:b/>
          <w:bCs/>
        </w:rPr>
        <w:t>'</w:t>
      </w:r>
      <w:r w:rsidR="00D77380" w:rsidRPr="006D1330">
        <w:rPr>
          <w:b/>
          <w:bCs/>
        </w:rPr>
        <w:t>Unité du contrôle interne</w:t>
      </w:r>
      <w:r w:rsidR="00D77380" w:rsidRPr="006D1330">
        <w:t>, elle devrait être signalée au Secrétaire général et au Vice-Secrétaire général, qui devraient ensuite en informer le Président du Conseil dès que possible, mais au plus tard un mois après réception de l</w:t>
      </w:r>
      <w:r w:rsidR="007D0BFF" w:rsidRPr="006D1330">
        <w:t>'</w:t>
      </w:r>
      <w:r w:rsidR="00D77380" w:rsidRPr="006D1330">
        <w:t>allégation, et consulter le</w:t>
      </w:r>
      <w:r w:rsidR="00E155E9" w:rsidRPr="006D1330">
        <w:t> </w:t>
      </w:r>
      <w:r w:rsidR="00D77380" w:rsidRPr="006D1330">
        <w:t>CCIG pour savoir comment traiter le cas. Aucune enquête sur des allégations formulées à l</w:t>
      </w:r>
      <w:r w:rsidR="007D0BFF" w:rsidRPr="006D1330">
        <w:t>'</w:t>
      </w:r>
      <w:r w:rsidR="00D77380" w:rsidRPr="006D1330">
        <w:t>encontre du Chef de l</w:t>
      </w:r>
      <w:r w:rsidR="007D0BFF" w:rsidRPr="006D1330">
        <w:t>'</w:t>
      </w:r>
      <w:r w:rsidR="00D77380" w:rsidRPr="006D1330">
        <w:t>Unité du contrôle interne ne peut être entreprise sans le consentement préalable du Conseil;</w:t>
      </w:r>
    </w:p>
    <w:p w14:paraId="3CC10E64" w14:textId="660D6F6B" w:rsidR="00D77380" w:rsidRPr="006D1330" w:rsidRDefault="008C5338" w:rsidP="0025663C">
      <w:pPr>
        <w:pStyle w:val="enumlev1"/>
        <w:spacing w:before="60"/>
        <w:ind w:right="-42"/>
        <w:jc w:val="both"/>
      </w:pPr>
      <w:r w:rsidRPr="006D1330">
        <w:t>•</w:t>
      </w:r>
      <w:r w:rsidR="00D77380" w:rsidRPr="006D1330">
        <w:tab/>
        <w:t>si l</w:t>
      </w:r>
      <w:r w:rsidR="007D0BFF" w:rsidRPr="006D1330">
        <w:t>'</w:t>
      </w:r>
      <w:r w:rsidR="00D77380" w:rsidRPr="006D1330">
        <w:t xml:space="preserve">allégation concerne un </w:t>
      </w:r>
      <w:r w:rsidR="00D77380" w:rsidRPr="006D1330">
        <w:rPr>
          <w:b/>
          <w:bCs/>
        </w:rPr>
        <w:t>fonctionnaire élu</w:t>
      </w:r>
      <w:r w:rsidR="00D77380" w:rsidRPr="006D1330">
        <w:t>, elle doit être portée à l</w:t>
      </w:r>
      <w:r w:rsidR="007D0BFF" w:rsidRPr="006D1330">
        <w:t>'</w:t>
      </w:r>
      <w:r w:rsidR="00D77380" w:rsidRPr="006D1330">
        <w:t>attention du Chef de l'Unité du contrôle interne, qui doit en informer immédiatement le Président du Conseil et consulter le CCIG au sujet des mesures à prendre. Le CCIG devrait fournir des avis au Chef de l</w:t>
      </w:r>
      <w:r w:rsidR="007D0BFF" w:rsidRPr="006D1330">
        <w:t>'</w:t>
      </w:r>
      <w:r w:rsidR="00D77380" w:rsidRPr="006D1330">
        <w:t>Unité du contrôle interne afin de déterminer s'il convient de procéder à une évaluation préliminaire ou de confier cette évaluation à une entité d</w:t>
      </w:r>
      <w:r w:rsidR="007D0BFF" w:rsidRPr="006D1330">
        <w:t>'</w:t>
      </w:r>
      <w:r w:rsidR="00D77380" w:rsidRPr="006D1330">
        <w:t>enquête extérieure indépendante. Sur la base des résultats de l</w:t>
      </w:r>
      <w:r w:rsidR="007D0BFF" w:rsidRPr="006D1330">
        <w:t>'</w:t>
      </w:r>
      <w:r w:rsidR="00D77380" w:rsidRPr="006D1330">
        <w:t>évaluation préliminaire, le Chef de l</w:t>
      </w:r>
      <w:r w:rsidR="007D0BFF" w:rsidRPr="006D1330">
        <w:t>'</w:t>
      </w:r>
      <w:r w:rsidR="00D77380" w:rsidRPr="006D1330">
        <w:t>Unité du contrôle interne devrait faire rapport au Président du Conseil, en indiquant si l</w:t>
      </w:r>
      <w:r w:rsidR="007D0BFF" w:rsidRPr="006D1330">
        <w:t>'</w:t>
      </w:r>
      <w:r w:rsidR="00D77380" w:rsidRPr="006D1330">
        <w:t>affaire doit être close par l</w:t>
      </w:r>
      <w:r w:rsidR="007D0BFF" w:rsidRPr="006D1330">
        <w:t>'</w:t>
      </w:r>
      <w:r w:rsidR="00D77380" w:rsidRPr="006D1330">
        <w:t>Unité du contrôle interne ou confiée à une entité extérieure indépendante pour la réalisation d'une enquête approfondie.</w:t>
      </w:r>
      <w:r w:rsidR="00C143DD" w:rsidRPr="006D1330">
        <w:t xml:space="preserve"> </w:t>
      </w:r>
      <w:r w:rsidR="009B69C1" w:rsidRPr="006D1330">
        <w:t>En pareil</w:t>
      </w:r>
      <w:r w:rsidR="00C143DD" w:rsidRPr="006D1330">
        <w:t xml:space="preserve"> cas, le Conseil prendra sa décision sur la base du résultat </w:t>
      </w:r>
      <w:r w:rsidR="002232A6" w:rsidRPr="006D1330">
        <w:t>de l</w:t>
      </w:r>
      <w:r w:rsidR="00B4218A" w:rsidRPr="006D1330">
        <w:t>'</w:t>
      </w:r>
      <w:r w:rsidR="002232A6" w:rsidRPr="006D1330">
        <w:t>enquête.</w:t>
      </w:r>
    </w:p>
    <w:p w14:paraId="63CDFF08" w14:textId="7780BA8B" w:rsidR="006A11AE" w:rsidRDefault="00D77380" w:rsidP="00345DE5">
      <w:pPr>
        <w:widowControl w:val="0"/>
        <w:spacing w:before="100"/>
        <w:jc w:val="both"/>
      </w:pPr>
      <w:r w:rsidRPr="006D1330">
        <w:t>3</w:t>
      </w:r>
      <w:r w:rsidR="00155B0E" w:rsidRPr="006D1330">
        <w:tab/>
      </w:r>
      <w:r w:rsidRPr="006D1330">
        <w:t>Les deux projets de procédure visés dans la proposition 1 ci-dessus devraient être soumis au Conseil pour examen et approbation dans les meilleurs délais, conformément aux procédures établies.</w:t>
      </w:r>
    </w:p>
    <w:p w14:paraId="287337AE" w14:textId="77777777" w:rsidR="00345DE5" w:rsidRPr="006D1330" w:rsidRDefault="00345DE5" w:rsidP="00345DE5">
      <w:pPr>
        <w:widowControl w:val="0"/>
        <w:spacing w:before="100"/>
        <w:jc w:val="both"/>
      </w:pPr>
    </w:p>
    <w:p w14:paraId="70BDAFE4" w14:textId="77777777" w:rsidR="00897553" w:rsidRPr="006D1330" w:rsidRDefault="006A11AE" w:rsidP="0025663C">
      <w:pPr>
        <w:widowControl w:val="0"/>
        <w:spacing w:before="0"/>
        <w:jc w:val="center"/>
      </w:pPr>
      <w:r w:rsidRPr="006D1330">
        <w:t>______________</w:t>
      </w:r>
    </w:p>
    <w:sectPr w:rsidR="00897553" w:rsidRPr="006D1330" w:rsidSect="00D72F49">
      <w:headerReference w:type="even" r:id="rId31"/>
      <w:footerReference w:type="even" r:id="rId32"/>
      <w:footerReference w:type="default" r:id="rId33"/>
      <w:headerReference w:type="first" r:id="rId34"/>
      <w:footerReference w:type="first" r:id="rId3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2A5FE" w14:textId="77777777" w:rsidR="005C2C7D" w:rsidRDefault="005C2C7D">
      <w:r>
        <w:separator/>
      </w:r>
    </w:p>
  </w:endnote>
  <w:endnote w:type="continuationSeparator" w:id="0">
    <w:p w14:paraId="447DA993" w14:textId="77777777" w:rsidR="005C2C7D" w:rsidRDefault="005C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231C" w14:textId="0ED06ED8" w:rsidR="00732045" w:rsidRDefault="00EC1C24">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B40EC0">
      <w:t>17.06.25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DCFF480" w14:textId="77777777" w:rsidTr="00E31DCE">
      <w:trPr>
        <w:jc w:val="center"/>
      </w:trPr>
      <w:tc>
        <w:tcPr>
          <w:tcW w:w="1803" w:type="dxa"/>
          <w:vAlign w:val="center"/>
        </w:tcPr>
        <w:p w14:paraId="32531062" w14:textId="72A74222" w:rsidR="00A51849" w:rsidRDefault="00D77380" w:rsidP="00A51849">
          <w:pPr>
            <w:pStyle w:val="Header"/>
            <w:jc w:val="left"/>
            <w:rPr>
              <w:noProof/>
            </w:rPr>
          </w:pPr>
          <w:r>
            <w:rPr>
              <w:noProof/>
            </w:rPr>
            <w:t>2501</w:t>
          </w:r>
          <w:r w:rsidR="00217DB2">
            <w:rPr>
              <w:noProof/>
            </w:rPr>
            <w:t>473</w:t>
          </w:r>
        </w:p>
      </w:tc>
      <w:tc>
        <w:tcPr>
          <w:tcW w:w="8261" w:type="dxa"/>
        </w:tcPr>
        <w:p w14:paraId="37A8479C" w14:textId="20903285" w:rsidR="00A51849" w:rsidRPr="00E06FD5" w:rsidRDefault="00A51849" w:rsidP="00217DB2">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D77380">
            <w:rPr>
              <w:bCs/>
            </w:rPr>
            <w:t>87</w:t>
          </w:r>
          <w:r w:rsidR="00217DB2">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3DE3C19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B099A93" w14:textId="77777777" w:rsidTr="00E31DCE">
      <w:trPr>
        <w:jc w:val="center"/>
      </w:trPr>
      <w:tc>
        <w:tcPr>
          <w:tcW w:w="1803" w:type="dxa"/>
          <w:vAlign w:val="center"/>
        </w:tcPr>
        <w:p w14:paraId="0FB5BF73"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A7E5181" w14:textId="506AC653" w:rsidR="00A51849" w:rsidRPr="00E06FD5" w:rsidRDefault="00A51849" w:rsidP="00217DB2">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D77380">
            <w:rPr>
              <w:bCs/>
            </w:rPr>
            <w:t>87</w:t>
          </w:r>
          <w:r w:rsidR="00217DB2">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A7BFC00"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3539" w14:textId="77777777" w:rsidR="005C2C7D" w:rsidRDefault="005C2C7D">
      <w:r>
        <w:t>____________________</w:t>
      </w:r>
    </w:p>
  </w:footnote>
  <w:footnote w:type="continuationSeparator" w:id="0">
    <w:p w14:paraId="5CEFF591" w14:textId="77777777" w:rsidR="005C2C7D" w:rsidRDefault="005C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5F3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A7D999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A59EF84" w14:textId="77777777" w:rsidTr="00D37B53">
      <w:trPr>
        <w:trHeight w:val="1104"/>
        <w:jc w:val="center"/>
      </w:trPr>
      <w:tc>
        <w:tcPr>
          <w:tcW w:w="5317" w:type="dxa"/>
          <w:vAlign w:val="center"/>
        </w:tcPr>
        <w:p w14:paraId="21D99122"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C2BA402" wp14:editId="513FAF41">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2A18AE3" w14:textId="77777777" w:rsidR="00524E8D" w:rsidRDefault="00524E8D" w:rsidP="00A51849">
          <w:pPr>
            <w:pStyle w:val="Header"/>
            <w:jc w:val="right"/>
            <w:rPr>
              <w:rFonts w:ascii="Arial" w:hAnsi="Arial" w:cs="Arial"/>
              <w:b/>
              <w:bCs/>
              <w:color w:val="009CD6"/>
              <w:szCs w:val="18"/>
            </w:rPr>
          </w:pPr>
        </w:p>
      </w:tc>
    </w:tr>
  </w:tbl>
  <w:p w14:paraId="67469EFA"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33328E2" wp14:editId="2CB41888">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0FC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24"/>
    <w:rsid w:val="000734AD"/>
    <w:rsid w:val="00076A2C"/>
    <w:rsid w:val="000D0D0A"/>
    <w:rsid w:val="00103163"/>
    <w:rsid w:val="00106B19"/>
    <w:rsid w:val="001133EF"/>
    <w:rsid w:val="00115D93"/>
    <w:rsid w:val="001247A8"/>
    <w:rsid w:val="001370B2"/>
    <w:rsid w:val="001378C0"/>
    <w:rsid w:val="00155B0E"/>
    <w:rsid w:val="0018694A"/>
    <w:rsid w:val="001A3287"/>
    <w:rsid w:val="001A6508"/>
    <w:rsid w:val="001D4C31"/>
    <w:rsid w:val="001E4D21"/>
    <w:rsid w:val="001F5DED"/>
    <w:rsid w:val="00207CD1"/>
    <w:rsid w:val="00217DB2"/>
    <w:rsid w:val="002232A6"/>
    <w:rsid w:val="00226657"/>
    <w:rsid w:val="00240CAD"/>
    <w:rsid w:val="002477A2"/>
    <w:rsid w:val="0025663C"/>
    <w:rsid w:val="00263A51"/>
    <w:rsid w:val="00267E02"/>
    <w:rsid w:val="002A5D44"/>
    <w:rsid w:val="002C3F32"/>
    <w:rsid w:val="002C4E3D"/>
    <w:rsid w:val="002E0BC4"/>
    <w:rsid w:val="002E5A7D"/>
    <w:rsid w:val="002F1B76"/>
    <w:rsid w:val="00312169"/>
    <w:rsid w:val="0033568E"/>
    <w:rsid w:val="00345DE5"/>
    <w:rsid w:val="00355FF5"/>
    <w:rsid w:val="00361350"/>
    <w:rsid w:val="00390905"/>
    <w:rsid w:val="003C3FAE"/>
    <w:rsid w:val="004038CB"/>
    <w:rsid w:val="0040546F"/>
    <w:rsid w:val="004177BD"/>
    <w:rsid w:val="0042404A"/>
    <w:rsid w:val="0044618F"/>
    <w:rsid w:val="0046769A"/>
    <w:rsid w:val="00475FB3"/>
    <w:rsid w:val="004C37A9"/>
    <w:rsid w:val="004D1D50"/>
    <w:rsid w:val="004E501F"/>
    <w:rsid w:val="004F259E"/>
    <w:rsid w:val="00511F1D"/>
    <w:rsid w:val="00515E8A"/>
    <w:rsid w:val="00520F36"/>
    <w:rsid w:val="00524935"/>
    <w:rsid w:val="00524E8D"/>
    <w:rsid w:val="00534E13"/>
    <w:rsid w:val="00540615"/>
    <w:rsid w:val="00540A6D"/>
    <w:rsid w:val="005457F0"/>
    <w:rsid w:val="00566679"/>
    <w:rsid w:val="00571EEA"/>
    <w:rsid w:val="00575417"/>
    <w:rsid w:val="005768E1"/>
    <w:rsid w:val="005B1938"/>
    <w:rsid w:val="005C2C7D"/>
    <w:rsid w:val="005C341E"/>
    <w:rsid w:val="005C3890"/>
    <w:rsid w:val="005F7BFE"/>
    <w:rsid w:val="00600017"/>
    <w:rsid w:val="006044F4"/>
    <w:rsid w:val="006235CA"/>
    <w:rsid w:val="0062366E"/>
    <w:rsid w:val="0063448E"/>
    <w:rsid w:val="006643AB"/>
    <w:rsid w:val="00694C7B"/>
    <w:rsid w:val="006A11AE"/>
    <w:rsid w:val="006D1330"/>
    <w:rsid w:val="006F0A53"/>
    <w:rsid w:val="007210CD"/>
    <w:rsid w:val="00732045"/>
    <w:rsid w:val="0073275D"/>
    <w:rsid w:val="007369DB"/>
    <w:rsid w:val="0077110E"/>
    <w:rsid w:val="007956C2"/>
    <w:rsid w:val="007A187E"/>
    <w:rsid w:val="007C72C2"/>
    <w:rsid w:val="007D0BFF"/>
    <w:rsid w:val="007D4436"/>
    <w:rsid w:val="007F257A"/>
    <w:rsid w:val="007F3665"/>
    <w:rsid w:val="00800037"/>
    <w:rsid w:val="0082299A"/>
    <w:rsid w:val="0083391C"/>
    <w:rsid w:val="00861D73"/>
    <w:rsid w:val="00882919"/>
    <w:rsid w:val="00897553"/>
    <w:rsid w:val="008A4E87"/>
    <w:rsid w:val="008C5338"/>
    <w:rsid w:val="008D76E6"/>
    <w:rsid w:val="0092392D"/>
    <w:rsid w:val="0093234A"/>
    <w:rsid w:val="00956A78"/>
    <w:rsid w:val="00963B3B"/>
    <w:rsid w:val="0097100F"/>
    <w:rsid w:val="0097363B"/>
    <w:rsid w:val="00973F53"/>
    <w:rsid w:val="009A6BAA"/>
    <w:rsid w:val="009B69C1"/>
    <w:rsid w:val="009C307F"/>
    <w:rsid w:val="009C353C"/>
    <w:rsid w:val="009C5C48"/>
    <w:rsid w:val="009F0FB8"/>
    <w:rsid w:val="00A2113E"/>
    <w:rsid w:val="00A23A51"/>
    <w:rsid w:val="00A24607"/>
    <w:rsid w:val="00A25CD3"/>
    <w:rsid w:val="00A51849"/>
    <w:rsid w:val="00A709FE"/>
    <w:rsid w:val="00A71756"/>
    <w:rsid w:val="00A73C60"/>
    <w:rsid w:val="00A82767"/>
    <w:rsid w:val="00AA332F"/>
    <w:rsid w:val="00AA7BBB"/>
    <w:rsid w:val="00AB64A8"/>
    <w:rsid w:val="00AC0266"/>
    <w:rsid w:val="00AD190F"/>
    <w:rsid w:val="00AD24EC"/>
    <w:rsid w:val="00B228DF"/>
    <w:rsid w:val="00B27B00"/>
    <w:rsid w:val="00B309F9"/>
    <w:rsid w:val="00B32B60"/>
    <w:rsid w:val="00B37999"/>
    <w:rsid w:val="00B40EC0"/>
    <w:rsid w:val="00B4218A"/>
    <w:rsid w:val="00B51005"/>
    <w:rsid w:val="00B61619"/>
    <w:rsid w:val="00B814A8"/>
    <w:rsid w:val="00B8708B"/>
    <w:rsid w:val="00BB4545"/>
    <w:rsid w:val="00BD5873"/>
    <w:rsid w:val="00BF4B60"/>
    <w:rsid w:val="00C049D7"/>
    <w:rsid w:val="00C04BE3"/>
    <w:rsid w:val="00C143DD"/>
    <w:rsid w:val="00C25D29"/>
    <w:rsid w:val="00C27A7C"/>
    <w:rsid w:val="00C42437"/>
    <w:rsid w:val="00C769E6"/>
    <w:rsid w:val="00CA08ED"/>
    <w:rsid w:val="00CC6EAA"/>
    <w:rsid w:val="00CF183B"/>
    <w:rsid w:val="00D375CD"/>
    <w:rsid w:val="00D37B53"/>
    <w:rsid w:val="00D553A2"/>
    <w:rsid w:val="00D5798F"/>
    <w:rsid w:val="00D72F49"/>
    <w:rsid w:val="00D77380"/>
    <w:rsid w:val="00D774D3"/>
    <w:rsid w:val="00D80867"/>
    <w:rsid w:val="00D904E8"/>
    <w:rsid w:val="00DA08C3"/>
    <w:rsid w:val="00DB5A3E"/>
    <w:rsid w:val="00DC22AA"/>
    <w:rsid w:val="00DD1A99"/>
    <w:rsid w:val="00DF0369"/>
    <w:rsid w:val="00DF74DD"/>
    <w:rsid w:val="00E017FE"/>
    <w:rsid w:val="00E155E9"/>
    <w:rsid w:val="00E25AD0"/>
    <w:rsid w:val="00E4428F"/>
    <w:rsid w:val="00E47427"/>
    <w:rsid w:val="00E53923"/>
    <w:rsid w:val="00E93668"/>
    <w:rsid w:val="00E94888"/>
    <w:rsid w:val="00E95647"/>
    <w:rsid w:val="00EB6350"/>
    <w:rsid w:val="00EC1C24"/>
    <w:rsid w:val="00F15B57"/>
    <w:rsid w:val="00F35EF4"/>
    <w:rsid w:val="00F37FE5"/>
    <w:rsid w:val="00F427DB"/>
    <w:rsid w:val="00F67F0D"/>
    <w:rsid w:val="00FA0122"/>
    <w:rsid w:val="00FA5EB1"/>
    <w:rsid w:val="00FA7439"/>
    <w:rsid w:val="00FC4EC0"/>
    <w:rsid w:val="00FC6D7D"/>
    <w:rsid w:val="00FD1D8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11B9B"/>
  <w15:docId w15:val="{06B9A0EB-37CF-48BF-8AF8-236A77E0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345DE5"/>
    <w:pPr>
      <w:keepNext/>
      <w:keepLines/>
      <w:spacing w:before="36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ethics/Documents/SO-2017-007-fr.pdf" TargetMode="External"/><Relationship Id="rId18" Type="http://schemas.openxmlformats.org/officeDocument/2006/relationships/hyperlink" Target="https://www.itu.int/en/ethics/Documents/SO-2022-002-fr.pdf" TargetMode="External"/><Relationship Id="rId26" Type="http://schemas.openxmlformats.org/officeDocument/2006/relationships/hyperlink" Target="https://www.itu.int/en/ethics/Documents/SO-2017-007-fr.pdf" TargetMode="External"/><Relationship Id="rId21" Type="http://schemas.openxmlformats.org/officeDocument/2006/relationships/hyperlink" Target="https://www.unjiu.org/sites/www.unjiu.org/files/jiu_rep_2020_1_french_0.pdf" TargetMode="External"/><Relationship Id="rId34" Type="http://schemas.openxmlformats.org/officeDocument/2006/relationships/header" Target="header2.xml"/><Relationship Id="rId7" Type="http://schemas.openxmlformats.org/officeDocument/2006/relationships/hyperlink" Target="https://www.itu.int/md/S18-CL-C-0116/fr" TargetMode="External"/><Relationship Id="rId12" Type="http://schemas.openxmlformats.org/officeDocument/2006/relationships/hyperlink" Target="https://www.itu.int/en/ethics/Documents/SO-2024-009-OU-F.pdf" TargetMode="External"/><Relationship Id="rId17" Type="http://schemas.openxmlformats.org/officeDocument/2006/relationships/hyperlink" Target="https://www.itu.int/en/ethics/Documents/SO-2020-006-fr.pdf" TargetMode="External"/><Relationship Id="rId25" Type="http://schemas.openxmlformats.org/officeDocument/2006/relationships/hyperlink" Target="https://www.itu.int/md/S24-CL-C-0109/e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en/ethics/Documents/SO-2022-003-fr.pdf" TargetMode="External"/><Relationship Id="rId20" Type="http://schemas.openxmlformats.org/officeDocument/2006/relationships/hyperlink" Target="https://www.itu.int/en/ethics/Documents/SO-2019-010-fr.pdf" TargetMode="External"/><Relationship Id="rId29" Type="http://schemas.openxmlformats.org/officeDocument/2006/relationships/hyperlink" Target="https://www.itu.int/en/ethics/Documents/SO-2022-003-fr.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uncil.itu.int/2024/wp-content/uploads/sites/4/2024/05/Staff-Regulations-and-Staff-Rules-2024-secured-F.pdf" TargetMode="External"/><Relationship Id="rId24" Type="http://schemas.openxmlformats.org/officeDocument/2006/relationships/hyperlink" Target="https://www.itu.int/en/ethics/Documents/SO-2024-009-OU-F.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ethics/Documents/SO-2019-009-fr.pdf" TargetMode="External"/><Relationship Id="rId23" Type="http://schemas.openxmlformats.org/officeDocument/2006/relationships/hyperlink" Target="https://www.itu.int/md/S24-CL-C-0120/fr" TargetMode="External"/><Relationship Id="rId28" Type="http://schemas.openxmlformats.org/officeDocument/2006/relationships/hyperlink" Target="https://www.itu.int/en/ethics/Documents/SO-2019-009-fr.pdf" TargetMode="External"/><Relationship Id="rId36" Type="http://schemas.openxmlformats.org/officeDocument/2006/relationships/fontTable" Target="fontTable.xml"/><Relationship Id="rId10" Type="http://schemas.openxmlformats.org/officeDocument/2006/relationships/hyperlink" Target="https://www.itu.int/md/S22-CL-C-0057/fr" TargetMode="External"/><Relationship Id="rId19" Type="http://schemas.openxmlformats.org/officeDocument/2006/relationships/hyperlink" Target="https://www.itu.int/en/ethics/Documents/SO-2011-003-fr.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4-CL-C-0120/fr" TargetMode="External"/><Relationship Id="rId14" Type="http://schemas.openxmlformats.org/officeDocument/2006/relationships/hyperlink" Target="https://www.itu.int/en/ethics/Documents/SO-2011-002-fr.pdf" TargetMode="External"/><Relationship Id="rId22" Type="http://schemas.openxmlformats.org/officeDocument/2006/relationships/hyperlink" Target="https://docs.un.org/fr/JIU/REP/2023/2" TargetMode="External"/><Relationship Id="rId27" Type="http://schemas.openxmlformats.org/officeDocument/2006/relationships/hyperlink" Target="https://www.itu.int/en/ethics/Documents/SO-2011-002-fr.pdf" TargetMode="External"/><Relationship Id="rId30" Type="http://schemas.openxmlformats.org/officeDocument/2006/relationships/hyperlink" Target="https://www.itu.int/en/ethics/Documents/SO-2020-006-fr.pdf" TargetMode="External"/><Relationship Id="rId35" Type="http://schemas.openxmlformats.org/officeDocument/2006/relationships/footer" Target="footer3.xml"/><Relationship Id="rId8" Type="http://schemas.openxmlformats.org/officeDocument/2006/relationships/hyperlink" Target="https://www.itu.int/md/S24-CL-C-0109/fr"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C8F7-D4B8-454D-AA05-AF70FD80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3</Pages>
  <Words>1333</Words>
  <Characters>9162</Characters>
  <Application>Microsoft Office Word</Application>
  <DocSecurity>0</DocSecurity>
  <Lines>157</Lines>
  <Paragraphs>60</Paragraphs>
  <ScaleCrop>false</ScaleCrop>
  <HeadingPairs>
    <vt:vector size="2" baseType="variant">
      <vt:variant>
        <vt:lpstr>Title</vt:lpstr>
      </vt:variant>
      <vt:variant>
        <vt:i4>1</vt:i4>
      </vt:variant>
    </vt:vector>
  </HeadingPairs>
  <TitlesOfParts>
    <vt:vector size="1" baseType="lpstr">
      <vt:lpstr>Contribution multipays - Propositions visant à améliorer encore le système de contrôle interne à l'UIT</vt:lpstr>
    </vt:vector>
  </TitlesOfParts>
  <Manager>Secrétariat général - Pool</Manager>
  <Company>Union internationale des télécommunications (UIT)</Company>
  <LinksUpToDate>false</LinksUpToDate>
  <CharactersWithSpaces>10435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Propositions visant à améliorer encore le système de contrôle interne à l'UIT</dc:title>
  <dc:subject>ITU Council 2025</dc:subject>
  <cp:keywords>Council-25, Council-25, C25</cp:keywords>
  <dc:description/>
  <cp:lastPrinted>2000-07-18T08:55:00Z</cp:lastPrinted>
  <dcterms:created xsi:type="dcterms:W3CDTF">2025-06-17T14:56:00Z</dcterms:created>
  <dcterms:modified xsi:type="dcterms:W3CDTF">2025-06-17T14:56:00Z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