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BA5457" w14:paraId="4343F39B" w14:textId="77777777" w:rsidTr="00AD3606">
        <w:trPr>
          <w:cantSplit/>
          <w:trHeight w:val="23"/>
        </w:trPr>
        <w:tc>
          <w:tcPr>
            <w:tcW w:w="3969" w:type="dxa"/>
            <w:vMerge w:val="restart"/>
            <w:tcMar>
              <w:left w:w="0" w:type="dxa"/>
            </w:tcMar>
          </w:tcPr>
          <w:p w14:paraId="68CBD7E9" w14:textId="312D2C55" w:rsidR="00AD3606" w:rsidRPr="00BA5457"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r w:rsidRPr="00BA5457">
              <w:rPr>
                <w:b/>
              </w:rPr>
              <w:t xml:space="preserve">Agenda item: </w:t>
            </w:r>
            <w:r w:rsidR="00977F4B" w:rsidRPr="00BA5457">
              <w:rPr>
                <w:b/>
              </w:rPr>
              <w:t>ADM2</w:t>
            </w:r>
          </w:p>
        </w:tc>
        <w:tc>
          <w:tcPr>
            <w:tcW w:w="5245" w:type="dxa"/>
          </w:tcPr>
          <w:p w14:paraId="6F26EC4B" w14:textId="0E9AA348" w:rsidR="00AD3606" w:rsidRPr="00BA5457" w:rsidRDefault="004E0F4F" w:rsidP="00472BAD">
            <w:pPr>
              <w:tabs>
                <w:tab w:val="left" w:pos="851"/>
              </w:tabs>
              <w:spacing w:before="0" w:line="240" w:lineRule="atLeast"/>
              <w:jc w:val="right"/>
              <w:rPr>
                <w:b/>
              </w:rPr>
            </w:pPr>
            <w:r>
              <w:rPr>
                <w:b/>
              </w:rPr>
              <w:t>Revision 1 to</w:t>
            </w:r>
            <w:r>
              <w:rPr>
                <w:b/>
              </w:rPr>
              <w:br/>
            </w:r>
            <w:r w:rsidR="00AD3606" w:rsidRPr="00BA5457">
              <w:rPr>
                <w:b/>
              </w:rPr>
              <w:t xml:space="preserve">Document </w:t>
            </w:r>
            <w:proofErr w:type="spellStart"/>
            <w:r w:rsidR="00AD3606" w:rsidRPr="00BA5457">
              <w:rPr>
                <w:b/>
              </w:rPr>
              <w:t>C2</w:t>
            </w:r>
            <w:r w:rsidR="00BF1FDE" w:rsidRPr="00BA5457">
              <w:rPr>
                <w:b/>
              </w:rPr>
              <w:t>5</w:t>
            </w:r>
            <w:proofErr w:type="spellEnd"/>
            <w:r w:rsidR="00AD3606" w:rsidRPr="00BA5457">
              <w:rPr>
                <w:b/>
              </w:rPr>
              <w:t>/</w:t>
            </w:r>
            <w:r w:rsidR="00BB1624" w:rsidRPr="00BA5457">
              <w:rPr>
                <w:b/>
              </w:rPr>
              <w:t>87</w:t>
            </w:r>
            <w:r w:rsidR="00AD3606" w:rsidRPr="00BA5457">
              <w:rPr>
                <w:b/>
              </w:rPr>
              <w:t>-E</w:t>
            </w:r>
          </w:p>
        </w:tc>
      </w:tr>
      <w:tr w:rsidR="00AD3606" w:rsidRPr="00BA5457" w14:paraId="2C31ECEC" w14:textId="77777777" w:rsidTr="00AD3606">
        <w:trPr>
          <w:cantSplit/>
        </w:trPr>
        <w:tc>
          <w:tcPr>
            <w:tcW w:w="3969" w:type="dxa"/>
            <w:vMerge/>
          </w:tcPr>
          <w:p w14:paraId="20E54C9D" w14:textId="77777777" w:rsidR="00AD3606" w:rsidRPr="00BA5457" w:rsidRDefault="00AD3606" w:rsidP="00AD3606">
            <w:pPr>
              <w:tabs>
                <w:tab w:val="left" w:pos="851"/>
              </w:tabs>
              <w:spacing w:line="240" w:lineRule="atLeast"/>
              <w:rPr>
                <w:b/>
              </w:rPr>
            </w:pPr>
            <w:bookmarkStart w:id="6" w:name="ddate" w:colFirst="1" w:colLast="1"/>
            <w:bookmarkEnd w:id="0"/>
            <w:bookmarkEnd w:id="1"/>
          </w:p>
        </w:tc>
        <w:tc>
          <w:tcPr>
            <w:tcW w:w="5245" w:type="dxa"/>
          </w:tcPr>
          <w:p w14:paraId="17B8EB92" w14:textId="582A70DC" w:rsidR="00AD3606" w:rsidRPr="00BA5457" w:rsidRDefault="005641E8" w:rsidP="00AD3606">
            <w:pPr>
              <w:tabs>
                <w:tab w:val="left" w:pos="851"/>
              </w:tabs>
              <w:spacing w:before="0"/>
              <w:jc w:val="right"/>
              <w:rPr>
                <w:b/>
              </w:rPr>
            </w:pPr>
            <w:r w:rsidRPr="00BA5457">
              <w:rPr>
                <w:b/>
              </w:rPr>
              <w:t>13</w:t>
            </w:r>
            <w:r w:rsidR="00BB1624" w:rsidRPr="00BA5457">
              <w:rPr>
                <w:b/>
              </w:rPr>
              <w:t xml:space="preserve"> June 2025</w:t>
            </w:r>
          </w:p>
        </w:tc>
      </w:tr>
      <w:tr w:rsidR="00AD3606" w:rsidRPr="00BA5457" w14:paraId="7CF68B55" w14:textId="77777777" w:rsidTr="00AD3606">
        <w:trPr>
          <w:cantSplit/>
          <w:trHeight w:val="23"/>
        </w:trPr>
        <w:tc>
          <w:tcPr>
            <w:tcW w:w="3969" w:type="dxa"/>
            <w:vMerge/>
          </w:tcPr>
          <w:p w14:paraId="125AEC02" w14:textId="77777777" w:rsidR="00AD3606" w:rsidRPr="00BA5457" w:rsidRDefault="00AD3606" w:rsidP="00AD3606">
            <w:pPr>
              <w:tabs>
                <w:tab w:val="left" w:pos="851"/>
              </w:tabs>
              <w:spacing w:line="240" w:lineRule="atLeast"/>
              <w:rPr>
                <w:b/>
              </w:rPr>
            </w:pPr>
            <w:bookmarkStart w:id="7" w:name="dorlang" w:colFirst="1" w:colLast="1"/>
            <w:bookmarkEnd w:id="6"/>
          </w:p>
        </w:tc>
        <w:tc>
          <w:tcPr>
            <w:tcW w:w="5245" w:type="dxa"/>
          </w:tcPr>
          <w:p w14:paraId="451CCD23" w14:textId="46ADD954" w:rsidR="00AD3606" w:rsidRPr="00BA5457" w:rsidRDefault="00AD3606" w:rsidP="00AD3606">
            <w:pPr>
              <w:tabs>
                <w:tab w:val="left" w:pos="851"/>
              </w:tabs>
              <w:spacing w:before="0" w:line="240" w:lineRule="atLeast"/>
              <w:jc w:val="right"/>
              <w:rPr>
                <w:b/>
              </w:rPr>
            </w:pPr>
            <w:r w:rsidRPr="00BA5457">
              <w:rPr>
                <w:b/>
              </w:rPr>
              <w:t xml:space="preserve">Original: </w:t>
            </w:r>
            <w:r w:rsidR="00BB1624" w:rsidRPr="00BA5457">
              <w:rPr>
                <w:b/>
              </w:rPr>
              <w:t>Chinese</w:t>
            </w:r>
          </w:p>
        </w:tc>
      </w:tr>
      <w:tr w:rsidR="00472BAD" w:rsidRPr="00BA5457" w14:paraId="7703E269" w14:textId="77777777" w:rsidTr="00AD3606">
        <w:trPr>
          <w:cantSplit/>
          <w:trHeight w:val="23"/>
        </w:trPr>
        <w:tc>
          <w:tcPr>
            <w:tcW w:w="3969" w:type="dxa"/>
          </w:tcPr>
          <w:p w14:paraId="194C30FF" w14:textId="77777777" w:rsidR="00472BAD" w:rsidRPr="00BA5457" w:rsidRDefault="00472BAD" w:rsidP="00AD3606">
            <w:pPr>
              <w:tabs>
                <w:tab w:val="left" w:pos="851"/>
              </w:tabs>
              <w:spacing w:line="240" w:lineRule="atLeast"/>
              <w:rPr>
                <w:b/>
              </w:rPr>
            </w:pPr>
          </w:p>
        </w:tc>
        <w:tc>
          <w:tcPr>
            <w:tcW w:w="5245" w:type="dxa"/>
          </w:tcPr>
          <w:p w14:paraId="1B005685" w14:textId="77777777" w:rsidR="00472BAD" w:rsidRPr="00BA5457" w:rsidRDefault="00472BAD" w:rsidP="00AD3606">
            <w:pPr>
              <w:tabs>
                <w:tab w:val="left" w:pos="851"/>
              </w:tabs>
              <w:spacing w:before="0" w:line="240" w:lineRule="atLeast"/>
              <w:jc w:val="right"/>
              <w:rPr>
                <w:b/>
              </w:rPr>
            </w:pPr>
          </w:p>
        </w:tc>
      </w:tr>
      <w:tr w:rsidR="00AD3606" w:rsidRPr="00BA5457" w14:paraId="272D9C83" w14:textId="77777777" w:rsidTr="00AD3606">
        <w:trPr>
          <w:cantSplit/>
        </w:trPr>
        <w:tc>
          <w:tcPr>
            <w:tcW w:w="9214" w:type="dxa"/>
            <w:gridSpan w:val="2"/>
            <w:tcMar>
              <w:left w:w="0" w:type="dxa"/>
            </w:tcMar>
          </w:tcPr>
          <w:p w14:paraId="6B11DBE4" w14:textId="6CD1B0EC" w:rsidR="00AD3606" w:rsidRPr="00BA5457" w:rsidRDefault="00BB1624" w:rsidP="0045434C">
            <w:pPr>
              <w:pStyle w:val="Source"/>
              <w:framePr w:hSpace="0" w:wrap="auto" w:vAnchor="margin" w:hAnchor="text" w:xAlign="left" w:yAlign="inline"/>
            </w:pPr>
            <w:bookmarkStart w:id="8" w:name="dsource" w:colFirst="0" w:colLast="0"/>
            <w:bookmarkEnd w:id="7"/>
            <w:r w:rsidRPr="00BA5457">
              <w:t xml:space="preserve">Contribution by </w:t>
            </w:r>
            <w:r w:rsidRPr="00BA5457">
              <w:rPr>
                <w:lang w:eastAsia="zh-CN"/>
              </w:rPr>
              <w:t>China (People</w:t>
            </w:r>
            <w:r w:rsidR="000738B5" w:rsidRPr="00BA5457">
              <w:rPr>
                <w:lang w:eastAsia="zh-CN"/>
              </w:rPr>
              <w:t>'</w:t>
            </w:r>
            <w:r w:rsidRPr="00BA5457">
              <w:rPr>
                <w:lang w:eastAsia="zh-CN"/>
              </w:rPr>
              <w:t>s</w:t>
            </w:r>
            <w:r w:rsidRPr="00BA5457">
              <w:t xml:space="preserve"> Republic of)</w:t>
            </w:r>
            <w:r w:rsidR="00977F4B" w:rsidRPr="00BA5457">
              <w:t xml:space="preserve"> and Cuba</w:t>
            </w:r>
          </w:p>
        </w:tc>
      </w:tr>
      <w:tr w:rsidR="00AD3606" w:rsidRPr="00BA5457" w14:paraId="16AF6C1B" w14:textId="77777777" w:rsidTr="00AD3606">
        <w:trPr>
          <w:cantSplit/>
        </w:trPr>
        <w:tc>
          <w:tcPr>
            <w:tcW w:w="9214" w:type="dxa"/>
            <w:gridSpan w:val="2"/>
            <w:tcMar>
              <w:left w:w="0" w:type="dxa"/>
            </w:tcMar>
          </w:tcPr>
          <w:p w14:paraId="1BDA099C" w14:textId="45ABE4C4" w:rsidR="00AD3606" w:rsidRPr="00BA5457" w:rsidRDefault="00BB1624" w:rsidP="005641E8">
            <w:pPr>
              <w:pStyle w:val="Subtitle"/>
              <w:framePr w:hSpace="0" w:wrap="auto" w:xAlign="left" w:yAlign="inline"/>
            </w:pPr>
            <w:bookmarkStart w:id="9" w:name="dtitle1" w:colFirst="0" w:colLast="0"/>
            <w:bookmarkEnd w:id="8"/>
            <w:r w:rsidRPr="00BA5457">
              <w:rPr>
                <w:lang w:eastAsia="zh-CN"/>
              </w:rPr>
              <w:t>PROPOSALS FOR FURTHER IMPROVEMENT OF THE INTERNAL OVERSIGHT SYSTEM IN ITU</w:t>
            </w:r>
          </w:p>
        </w:tc>
      </w:tr>
      <w:tr w:rsidR="00AD3606" w:rsidRPr="00BA5457" w14:paraId="795D3A59" w14:textId="77777777" w:rsidTr="00AD3606">
        <w:trPr>
          <w:cantSplit/>
        </w:trPr>
        <w:tc>
          <w:tcPr>
            <w:tcW w:w="9214" w:type="dxa"/>
            <w:gridSpan w:val="2"/>
            <w:tcBorders>
              <w:top w:val="single" w:sz="4" w:space="0" w:color="auto"/>
              <w:bottom w:val="single" w:sz="4" w:space="0" w:color="auto"/>
            </w:tcBorders>
            <w:tcMar>
              <w:left w:w="0" w:type="dxa"/>
            </w:tcMar>
          </w:tcPr>
          <w:p w14:paraId="62D317C1" w14:textId="77777777" w:rsidR="00AD3606" w:rsidRPr="00BA5457" w:rsidRDefault="00F16BAB" w:rsidP="00F16BAB">
            <w:pPr>
              <w:spacing w:before="160"/>
              <w:rPr>
                <w:b/>
                <w:bCs/>
                <w:sz w:val="26"/>
                <w:szCs w:val="26"/>
              </w:rPr>
            </w:pPr>
            <w:r w:rsidRPr="00BA5457">
              <w:rPr>
                <w:b/>
                <w:bCs/>
                <w:sz w:val="26"/>
                <w:szCs w:val="26"/>
              </w:rPr>
              <w:t>Purpose</w:t>
            </w:r>
          </w:p>
          <w:p w14:paraId="5743400C" w14:textId="1F061094" w:rsidR="00AD3606" w:rsidRPr="00BA5457" w:rsidRDefault="00BB1624" w:rsidP="00F16BAB">
            <w:r w:rsidRPr="00BA5457">
              <w:t>The ITU Council adopted the ITU Internal Oversight Charter in June 2024. This contribution proposes further steps to facilitate implementation of that charter, in line with the Council</w:t>
            </w:r>
            <w:r w:rsidR="000738B5" w:rsidRPr="00BA5457">
              <w:t>'</w:t>
            </w:r>
            <w:r w:rsidRPr="00BA5457">
              <w:t>s decision to improve internal oversight.</w:t>
            </w:r>
          </w:p>
          <w:p w14:paraId="49FCECA4" w14:textId="77777777" w:rsidR="00AD3606" w:rsidRPr="00BA5457" w:rsidRDefault="00AD3606" w:rsidP="00F16BAB">
            <w:pPr>
              <w:spacing w:before="160"/>
              <w:rPr>
                <w:b/>
                <w:bCs/>
                <w:sz w:val="26"/>
                <w:szCs w:val="26"/>
              </w:rPr>
            </w:pPr>
            <w:r w:rsidRPr="00BA5457">
              <w:rPr>
                <w:b/>
                <w:bCs/>
                <w:sz w:val="26"/>
                <w:szCs w:val="26"/>
              </w:rPr>
              <w:t>Action required</w:t>
            </w:r>
            <w:r w:rsidR="00F16BAB" w:rsidRPr="00BA5457">
              <w:rPr>
                <w:b/>
                <w:bCs/>
                <w:sz w:val="26"/>
                <w:szCs w:val="26"/>
              </w:rPr>
              <w:t xml:space="preserve"> by the Council</w:t>
            </w:r>
          </w:p>
          <w:p w14:paraId="070F3915" w14:textId="5E6CCA7A" w:rsidR="00722551" w:rsidRPr="00BA5457" w:rsidRDefault="00BB1624" w:rsidP="00722551">
            <w:r w:rsidRPr="00BA5457">
              <w:t>The Council is invited to consider the proposals set out in this document and take actions as appropriate.</w:t>
            </w:r>
          </w:p>
          <w:p w14:paraId="5293544A" w14:textId="77777777" w:rsidR="00C0458D" w:rsidRPr="00BA5457" w:rsidRDefault="00C0458D">
            <w:r w:rsidRPr="00BA5457">
              <w:t>_______________</w:t>
            </w:r>
          </w:p>
          <w:p w14:paraId="79158461" w14:textId="77777777" w:rsidR="00AD3606" w:rsidRPr="00BA5457" w:rsidRDefault="00AD3606" w:rsidP="00F16BAB">
            <w:pPr>
              <w:spacing w:before="160"/>
              <w:rPr>
                <w:b/>
                <w:bCs/>
                <w:sz w:val="26"/>
                <w:szCs w:val="26"/>
              </w:rPr>
            </w:pPr>
            <w:r w:rsidRPr="00BA5457">
              <w:rPr>
                <w:b/>
                <w:bCs/>
                <w:sz w:val="26"/>
                <w:szCs w:val="26"/>
              </w:rPr>
              <w:t>References</w:t>
            </w:r>
          </w:p>
          <w:p w14:paraId="2EC3355E" w14:textId="77777777" w:rsidR="00C41528" w:rsidRPr="004E0F4F" w:rsidRDefault="00BB1624" w:rsidP="00AD0351">
            <w:pPr>
              <w:spacing w:before="80"/>
              <w:rPr>
                <w:sz w:val="22"/>
                <w:szCs w:val="22"/>
              </w:rPr>
            </w:pPr>
            <w:r w:rsidRPr="004E0F4F">
              <w:rPr>
                <w:i/>
                <w:iCs/>
                <w:sz w:val="22"/>
                <w:szCs w:val="22"/>
              </w:rPr>
              <w:t xml:space="preserve">Council Resolution 1392 (C18), as contained in Document </w:t>
            </w:r>
            <w:hyperlink r:id="rId8" w:history="1">
              <w:r w:rsidRPr="004E0F4F">
                <w:rPr>
                  <w:rStyle w:val="Hyperlink"/>
                  <w:rFonts w:asciiTheme="minorHAnsi" w:eastAsia="STKaiti" w:hAnsiTheme="minorHAnsi" w:cstheme="minorHAnsi"/>
                  <w:i/>
                  <w:iCs/>
                  <w:sz w:val="22"/>
                  <w:szCs w:val="22"/>
                  <w:lang w:eastAsia="zh-CN"/>
                </w:rPr>
                <w:t>C18/116</w:t>
              </w:r>
            </w:hyperlink>
            <w:r w:rsidRPr="004E0F4F">
              <w:rPr>
                <w:sz w:val="22"/>
                <w:szCs w:val="22"/>
              </w:rPr>
              <w:t>;</w:t>
            </w:r>
          </w:p>
          <w:p w14:paraId="286CF1D3" w14:textId="77777777" w:rsidR="00C41528" w:rsidRPr="004E0F4F" w:rsidRDefault="00BB1624" w:rsidP="00AD0351">
            <w:pPr>
              <w:spacing w:before="80"/>
              <w:rPr>
                <w:rFonts w:ascii="Times New Roman" w:hAnsi="Times New Roman"/>
                <w:i/>
                <w:iCs/>
                <w:sz w:val="22"/>
                <w:szCs w:val="22"/>
              </w:rPr>
            </w:pPr>
            <w:r w:rsidRPr="004E0F4F">
              <w:rPr>
                <w:i/>
                <w:iCs/>
                <w:sz w:val="22"/>
                <w:szCs w:val="22"/>
              </w:rPr>
              <w:t xml:space="preserve">Council documents: </w:t>
            </w:r>
            <w:hyperlink r:id="rId9" w:history="1">
              <w:r w:rsidRPr="004E0F4F">
                <w:rPr>
                  <w:rStyle w:val="Hyperlink"/>
                  <w:i/>
                  <w:iCs/>
                  <w:sz w:val="22"/>
                  <w:szCs w:val="22"/>
                </w:rPr>
                <w:t>C24/109(Rev.1)</w:t>
              </w:r>
            </w:hyperlink>
            <w:r w:rsidRPr="004E0F4F">
              <w:rPr>
                <w:i/>
                <w:iCs/>
                <w:sz w:val="22"/>
                <w:szCs w:val="22"/>
              </w:rPr>
              <w:t>,</w:t>
            </w:r>
            <w:r w:rsidRPr="004E0F4F">
              <w:rPr>
                <w:rFonts w:ascii="Times New Roman" w:hAnsi="Times New Roman"/>
                <w:i/>
                <w:iCs/>
                <w:sz w:val="22"/>
                <w:szCs w:val="22"/>
              </w:rPr>
              <w:t xml:space="preserve"> </w:t>
            </w:r>
            <w:hyperlink r:id="rId10" w:history="1">
              <w:r w:rsidRPr="004E0F4F">
                <w:rPr>
                  <w:rStyle w:val="Hyperlink"/>
                  <w:rFonts w:asciiTheme="minorHAnsi" w:eastAsia="STKaiti" w:hAnsiTheme="minorHAnsi" w:cstheme="minorHAnsi"/>
                  <w:i/>
                  <w:iCs/>
                  <w:sz w:val="22"/>
                  <w:szCs w:val="22"/>
                  <w:lang w:eastAsia="zh-CN"/>
                </w:rPr>
                <w:t>C24/120</w:t>
              </w:r>
            </w:hyperlink>
            <w:r w:rsidRPr="004E0F4F">
              <w:rPr>
                <w:sz w:val="22"/>
                <w:szCs w:val="22"/>
              </w:rPr>
              <w:t xml:space="preserve">, </w:t>
            </w:r>
            <w:hyperlink r:id="rId11" w:history="1">
              <w:r w:rsidRPr="004E0F4F">
                <w:rPr>
                  <w:rStyle w:val="Hyperlink"/>
                  <w:rFonts w:asciiTheme="minorHAnsi" w:eastAsia="STKaiti" w:hAnsiTheme="minorHAnsi" w:cstheme="minorHAnsi"/>
                  <w:i/>
                  <w:iCs/>
                  <w:sz w:val="22"/>
                  <w:szCs w:val="22"/>
                  <w:lang w:eastAsia="zh-CN"/>
                </w:rPr>
                <w:t>C22/57</w:t>
              </w:r>
            </w:hyperlink>
            <w:r w:rsidRPr="004E0F4F">
              <w:rPr>
                <w:rFonts w:ascii="Times New Roman" w:hAnsi="Times New Roman"/>
                <w:i/>
                <w:iCs/>
                <w:sz w:val="22"/>
                <w:szCs w:val="22"/>
              </w:rPr>
              <w:t>;</w:t>
            </w:r>
          </w:p>
          <w:p w14:paraId="02921061" w14:textId="77777777" w:rsidR="00C41528" w:rsidRPr="004E0F4F" w:rsidRDefault="00BB1624" w:rsidP="00AD0351">
            <w:pPr>
              <w:spacing w:before="80"/>
              <w:rPr>
                <w:i/>
                <w:iCs/>
                <w:sz w:val="22"/>
                <w:szCs w:val="22"/>
              </w:rPr>
            </w:pPr>
            <w:hyperlink r:id="rId12" w:history="1">
              <w:r w:rsidRPr="004E0F4F">
                <w:rPr>
                  <w:rStyle w:val="Hyperlink"/>
                  <w:i/>
                  <w:iCs/>
                  <w:sz w:val="22"/>
                  <w:szCs w:val="22"/>
                </w:rPr>
                <w:t>Staff Regulations and Staff Rules</w:t>
              </w:r>
            </w:hyperlink>
            <w:r w:rsidRPr="004E0F4F">
              <w:rPr>
                <w:i/>
                <w:iCs/>
                <w:sz w:val="22"/>
                <w:szCs w:val="22"/>
              </w:rPr>
              <w:t xml:space="preserve"> (2024), Staff Regulations and Staff Rules applicable to elected officials;</w:t>
            </w:r>
          </w:p>
          <w:p w14:paraId="0C42E0EE" w14:textId="1702FEB1" w:rsidR="00C41528" w:rsidRPr="004E0F4F" w:rsidRDefault="002C321C" w:rsidP="00AD0351">
            <w:pPr>
              <w:spacing w:before="80"/>
              <w:rPr>
                <w:rFonts w:ascii="Times New Roman" w:hAnsi="Times New Roman"/>
                <w:i/>
                <w:iCs/>
                <w:sz w:val="22"/>
                <w:szCs w:val="22"/>
              </w:rPr>
            </w:pPr>
            <w:r w:rsidRPr="004E0F4F">
              <w:rPr>
                <w:i/>
                <w:iCs/>
                <w:sz w:val="22"/>
                <w:szCs w:val="22"/>
              </w:rPr>
              <w:t>Internal oversight: ITU Internal Oversight Charter</w:t>
            </w:r>
            <w:r w:rsidRPr="004E0F4F">
              <w:rPr>
                <w:rFonts w:ascii="Times New Roman" w:hAnsi="Times New Roman"/>
                <w:i/>
                <w:iCs/>
                <w:sz w:val="22"/>
                <w:szCs w:val="22"/>
              </w:rPr>
              <w:t xml:space="preserve"> (</w:t>
            </w:r>
            <w:hyperlink r:id="rId13" w:history="1">
              <w:r w:rsidR="00C41528" w:rsidRPr="004E0F4F">
                <w:rPr>
                  <w:rStyle w:val="Hyperlink"/>
                  <w:rFonts w:asciiTheme="minorHAnsi" w:eastAsia="STKaiti" w:hAnsiTheme="minorHAnsi" w:cstheme="minorHAnsi"/>
                  <w:i/>
                  <w:iCs/>
                  <w:sz w:val="22"/>
                  <w:szCs w:val="22"/>
                  <w:lang w:eastAsia="zh-CN"/>
                </w:rPr>
                <w:t>SO 24/09</w:t>
              </w:r>
            </w:hyperlink>
            <w:r w:rsidRPr="004E0F4F">
              <w:rPr>
                <w:rFonts w:ascii="Times New Roman" w:hAnsi="Times New Roman"/>
                <w:i/>
                <w:iCs/>
                <w:sz w:val="22"/>
                <w:szCs w:val="22"/>
              </w:rPr>
              <w:t>);</w:t>
            </w:r>
          </w:p>
          <w:p w14:paraId="5472AC5E" w14:textId="3A55D2E5" w:rsidR="00C41528" w:rsidRPr="004E0F4F" w:rsidRDefault="00FE3EEF" w:rsidP="00AD0351">
            <w:pPr>
              <w:spacing w:before="80"/>
              <w:rPr>
                <w:i/>
                <w:iCs/>
                <w:sz w:val="22"/>
                <w:szCs w:val="22"/>
              </w:rPr>
            </w:pPr>
            <w:r w:rsidRPr="004E0F4F">
              <w:rPr>
                <w:i/>
                <w:iCs/>
                <w:sz w:val="22"/>
                <w:szCs w:val="22"/>
              </w:rPr>
              <w:t>Code of Conduct: the Standards of Conduct for International Civil Service</w:t>
            </w:r>
            <w:r w:rsidRPr="004E0F4F">
              <w:rPr>
                <w:rFonts w:ascii="Times New Roman" w:hAnsi="Times New Roman"/>
                <w:i/>
                <w:iCs/>
                <w:sz w:val="22"/>
                <w:szCs w:val="22"/>
              </w:rPr>
              <w:t xml:space="preserve"> </w:t>
            </w:r>
            <w:r w:rsidRPr="004E0F4F">
              <w:rPr>
                <w:i/>
                <w:iCs/>
                <w:sz w:val="22"/>
                <w:szCs w:val="22"/>
              </w:rPr>
              <w:t>(</w:t>
            </w:r>
            <w:hyperlink r:id="rId14" w:history="1">
              <w:r w:rsidR="00C41528" w:rsidRPr="004E0F4F">
                <w:rPr>
                  <w:rStyle w:val="Hyperlink"/>
                  <w:rFonts w:asciiTheme="minorHAnsi" w:eastAsia="STKaiti" w:hAnsiTheme="minorHAnsi" w:cstheme="minorHAnsi"/>
                  <w:i/>
                  <w:iCs/>
                  <w:sz w:val="22"/>
                  <w:szCs w:val="22"/>
                  <w:lang w:eastAsia="zh-CN"/>
                </w:rPr>
                <w:t>SO 17/07</w:t>
              </w:r>
            </w:hyperlink>
            <w:r w:rsidRPr="004E0F4F">
              <w:rPr>
                <w:i/>
                <w:iCs/>
                <w:sz w:val="22"/>
                <w:szCs w:val="22"/>
              </w:rPr>
              <w:t>), ITU Code of Ethics (</w:t>
            </w:r>
            <w:hyperlink r:id="rId15" w:history="1">
              <w:r w:rsidR="00C41528" w:rsidRPr="004E0F4F">
                <w:rPr>
                  <w:rStyle w:val="Hyperlink"/>
                  <w:rFonts w:asciiTheme="minorHAnsi" w:eastAsia="STKaiti" w:hAnsiTheme="minorHAnsi" w:cstheme="minorHAnsi"/>
                  <w:i/>
                  <w:iCs/>
                  <w:sz w:val="22"/>
                  <w:szCs w:val="22"/>
                  <w:lang w:eastAsia="zh-CN"/>
                </w:rPr>
                <w:t>SO 11/02</w:t>
              </w:r>
            </w:hyperlink>
            <w:r w:rsidRPr="004E0F4F">
              <w:rPr>
                <w:rFonts w:ascii="Times New Roman" w:hAnsi="Times New Roman"/>
                <w:i/>
                <w:iCs/>
                <w:sz w:val="22"/>
                <w:szCs w:val="22"/>
              </w:rPr>
              <w:t>)</w:t>
            </w:r>
            <w:r w:rsidRPr="004E0F4F">
              <w:rPr>
                <w:i/>
                <w:iCs/>
                <w:sz w:val="22"/>
                <w:szCs w:val="22"/>
              </w:rPr>
              <w:t>;</w:t>
            </w:r>
          </w:p>
          <w:p w14:paraId="67BD668D" w14:textId="4FD3EA0C" w:rsidR="00C41528" w:rsidRPr="004E0F4F" w:rsidRDefault="008940C8" w:rsidP="00AD0351">
            <w:pPr>
              <w:spacing w:before="80"/>
              <w:rPr>
                <w:i/>
                <w:iCs/>
                <w:sz w:val="22"/>
                <w:szCs w:val="22"/>
              </w:rPr>
            </w:pPr>
            <w:r w:rsidRPr="004E0F4F">
              <w:rPr>
                <w:i/>
                <w:iCs/>
                <w:sz w:val="22"/>
                <w:szCs w:val="22"/>
              </w:rPr>
              <w:t>Fraud and Corruption: Policy Against Fraud, Corruption and Other Proscribed Practices</w:t>
            </w:r>
            <w:r w:rsidR="00C41528" w:rsidRPr="004E0F4F">
              <w:rPr>
                <w:i/>
                <w:iCs/>
                <w:sz w:val="22"/>
                <w:szCs w:val="22"/>
              </w:rPr>
              <w:t xml:space="preserve"> </w:t>
            </w:r>
            <w:r w:rsidRPr="004E0F4F">
              <w:rPr>
                <w:i/>
                <w:iCs/>
                <w:sz w:val="22"/>
                <w:szCs w:val="22"/>
              </w:rPr>
              <w:t>(</w:t>
            </w:r>
            <w:hyperlink r:id="rId16" w:history="1">
              <w:r w:rsidR="00C41528" w:rsidRPr="004E0F4F">
                <w:rPr>
                  <w:rStyle w:val="Hyperlink"/>
                  <w:rFonts w:asciiTheme="minorHAnsi" w:eastAsia="STKaiti" w:hAnsiTheme="minorHAnsi" w:cstheme="minorHAnsi"/>
                  <w:i/>
                  <w:iCs/>
                  <w:sz w:val="22"/>
                  <w:szCs w:val="22"/>
                  <w:lang w:eastAsia="zh-CN"/>
                </w:rPr>
                <w:t>SO 19/09</w:t>
              </w:r>
            </w:hyperlink>
            <w:r w:rsidRPr="004E0F4F">
              <w:rPr>
                <w:i/>
                <w:iCs/>
                <w:sz w:val="22"/>
                <w:szCs w:val="22"/>
              </w:rPr>
              <w:t>);</w:t>
            </w:r>
          </w:p>
          <w:p w14:paraId="71E220B3" w14:textId="54CD6B93" w:rsidR="008940C8" w:rsidRPr="004E0F4F" w:rsidRDefault="00C41528" w:rsidP="00AD0351">
            <w:pPr>
              <w:spacing w:before="80"/>
              <w:rPr>
                <w:i/>
                <w:iCs/>
                <w:sz w:val="22"/>
                <w:szCs w:val="22"/>
              </w:rPr>
            </w:pPr>
            <w:r w:rsidRPr="004E0F4F">
              <w:rPr>
                <w:i/>
                <w:iCs/>
                <w:sz w:val="22"/>
                <w:szCs w:val="22"/>
              </w:rPr>
              <w:t>Harassment and abuse of authority: ITU Policy Addressing Harassment, including sexual harassment, Abuse of Authority, and Discrimination (</w:t>
            </w:r>
            <w:hyperlink r:id="rId17" w:history="1">
              <w:r w:rsidRPr="004E0F4F">
                <w:rPr>
                  <w:rStyle w:val="Hyperlink"/>
                  <w:rFonts w:asciiTheme="minorHAnsi" w:eastAsia="STKaiti" w:hAnsiTheme="minorHAnsi" w:cstheme="minorHAnsi"/>
                  <w:i/>
                  <w:iCs/>
                  <w:sz w:val="22"/>
                  <w:szCs w:val="22"/>
                  <w:lang w:eastAsia="zh-CN"/>
                </w:rPr>
                <w:t>SO 22/03</w:t>
              </w:r>
            </w:hyperlink>
            <w:r w:rsidRPr="004E0F4F">
              <w:rPr>
                <w:i/>
                <w:iCs/>
                <w:sz w:val="22"/>
                <w:szCs w:val="22"/>
              </w:rPr>
              <w:t>);</w:t>
            </w:r>
          </w:p>
          <w:p w14:paraId="4985152D" w14:textId="396C79CC" w:rsidR="00C41528" w:rsidRPr="004E0F4F" w:rsidRDefault="00C41528" w:rsidP="00AD0351">
            <w:pPr>
              <w:spacing w:before="80"/>
              <w:rPr>
                <w:i/>
                <w:iCs/>
                <w:sz w:val="22"/>
                <w:szCs w:val="22"/>
              </w:rPr>
            </w:pPr>
            <w:r w:rsidRPr="004E0F4F">
              <w:rPr>
                <w:i/>
                <w:iCs/>
                <w:sz w:val="22"/>
                <w:szCs w:val="22"/>
              </w:rPr>
              <w:t>Reporting Misconduct: Policy and Protection for Reporting Misconduct (Whistleblowing) (</w:t>
            </w:r>
            <w:hyperlink r:id="rId18" w:history="1">
              <w:r w:rsidR="00B036CE" w:rsidRPr="004E0F4F">
                <w:rPr>
                  <w:rStyle w:val="Hyperlink"/>
                  <w:rFonts w:asciiTheme="minorHAnsi" w:eastAsia="STKaiti" w:hAnsiTheme="minorHAnsi" w:cstheme="minorHAnsi"/>
                  <w:i/>
                  <w:iCs/>
                  <w:sz w:val="22"/>
                  <w:szCs w:val="22"/>
                  <w:lang w:eastAsia="zh-CN"/>
                </w:rPr>
                <w:t>SO 20/06</w:t>
              </w:r>
            </w:hyperlink>
            <w:r w:rsidRPr="004E0F4F">
              <w:rPr>
                <w:i/>
                <w:iCs/>
                <w:sz w:val="22"/>
                <w:szCs w:val="22"/>
              </w:rPr>
              <w:t>);</w:t>
            </w:r>
          </w:p>
          <w:p w14:paraId="13DBA57A" w14:textId="7074FB84" w:rsidR="00B036CE" w:rsidRPr="004E0F4F" w:rsidRDefault="00B036CE" w:rsidP="00AD0351">
            <w:pPr>
              <w:spacing w:before="80"/>
              <w:rPr>
                <w:i/>
                <w:iCs/>
                <w:sz w:val="22"/>
                <w:szCs w:val="22"/>
              </w:rPr>
            </w:pPr>
            <w:r w:rsidRPr="004E0F4F">
              <w:rPr>
                <w:i/>
                <w:iCs/>
                <w:sz w:val="22"/>
                <w:szCs w:val="22"/>
              </w:rPr>
              <w:t>Conflicts of interest: ITU Policy on Declaration of Interests</w:t>
            </w:r>
            <w:r w:rsidR="00692A74" w:rsidRPr="004E0F4F">
              <w:rPr>
                <w:i/>
                <w:iCs/>
                <w:sz w:val="22"/>
                <w:szCs w:val="22"/>
              </w:rPr>
              <w:t xml:space="preserve"> </w:t>
            </w:r>
            <w:r w:rsidRPr="004E0F4F">
              <w:rPr>
                <w:i/>
                <w:iCs/>
                <w:sz w:val="22"/>
                <w:szCs w:val="22"/>
              </w:rPr>
              <w:t>(</w:t>
            </w:r>
            <w:hyperlink r:id="rId19" w:history="1">
              <w:r w:rsidR="00692A74" w:rsidRPr="004E0F4F">
                <w:rPr>
                  <w:rStyle w:val="Hyperlink"/>
                  <w:rFonts w:asciiTheme="minorHAnsi" w:eastAsia="STKaiti" w:hAnsiTheme="minorHAnsi" w:cstheme="minorHAnsi"/>
                  <w:i/>
                  <w:iCs/>
                  <w:sz w:val="22"/>
                  <w:szCs w:val="22"/>
                  <w:lang w:eastAsia="zh-CN"/>
                </w:rPr>
                <w:t>SO 22/02</w:t>
              </w:r>
            </w:hyperlink>
            <w:r w:rsidRPr="004E0F4F">
              <w:rPr>
                <w:i/>
                <w:iCs/>
                <w:sz w:val="22"/>
                <w:szCs w:val="22"/>
              </w:rPr>
              <w:t>), ITU policy on financial disclosure (</w:t>
            </w:r>
            <w:hyperlink r:id="rId20" w:history="1">
              <w:r w:rsidR="00692A74" w:rsidRPr="004E0F4F">
                <w:rPr>
                  <w:rStyle w:val="Hyperlink"/>
                  <w:rFonts w:asciiTheme="minorHAnsi" w:eastAsia="STKaiti" w:hAnsiTheme="minorHAnsi" w:cstheme="minorHAnsi"/>
                  <w:i/>
                  <w:iCs/>
                  <w:sz w:val="22"/>
                  <w:szCs w:val="22"/>
                  <w:lang w:eastAsia="zh-CN"/>
                </w:rPr>
                <w:t>SO 11/03</w:t>
              </w:r>
            </w:hyperlink>
            <w:r w:rsidRPr="004E0F4F">
              <w:rPr>
                <w:i/>
                <w:iCs/>
                <w:sz w:val="22"/>
                <w:szCs w:val="22"/>
              </w:rPr>
              <w:t>);</w:t>
            </w:r>
          </w:p>
          <w:p w14:paraId="4F7B2CE4" w14:textId="3D10C21D" w:rsidR="00692A74" w:rsidRPr="004E0F4F" w:rsidRDefault="00692A74" w:rsidP="00AD0351">
            <w:pPr>
              <w:spacing w:before="80"/>
              <w:rPr>
                <w:i/>
                <w:iCs/>
                <w:sz w:val="22"/>
                <w:szCs w:val="22"/>
              </w:rPr>
            </w:pPr>
            <w:r w:rsidRPr="004E0F4F">
              <w:rPr>
                <w:i/>
                <w:iCs/>
                <w:sz w:val="22"/>
                <w:szCs w:val="22"/>
              </w:rPr>
              <w:t>Investigation guidelines: ITU Investigation Guidelines (</w:t>
            </w:r>
            <w:hyperlink r:id="rId21" w:history="1">
              <w:r w:rsidR="002C7693" w:rsidRPr="004E0F4F">
                <w:rPr>
                  <w:rStyle w:val="Hyperlink"/>
                  <w:rFonts w:asciiTheme="minorHAnsi" w:eastAsia="STKaiti" w:hAnsiTheme="minorHAnsi" w:cstheme="minorHAnsi"/>
                  <w:i/>
                  <w:iCs/>
                  <w:sz w:val="22"/>
                  <w:szCs w:val="22"/>
                  <w:lang w:eastAsia="zh-CN"/>
                </w:rPr>
                <w:t>SO 19/10</w:t>
              </w:r>
            </w:hyperlink>
            <w:r w:rsidRPr="004E0F4F">
              <w:rPr>
                <w:i/>
                <w:iCs/>
                <w:sz w:val="22"/>
                <w:szCs w:val="22"/>
              </w:rPr>
              <w:t>);</w:t>
            </w:r>
          </w:p>
          <w:p w14:paraId="498473D9" w14:textId="5F16491E" w:rsidR="00BB1624" w:rsidRPr="00BA5457" w:rsidRDefault="002C7693" w:rsidP="004E0F4F">
            <w:pPr>
              <w:spacing w:before="80" w:after="120"/>
              <w:rPr>
                <w:i/>
                <w:iCs/>
                <w:sz w:val="22"/>
                <w:szCs w:val="22"/>
              </w:rPr>
            </w:pPr>
            <w:r w:rsidRPr="004E0F4F">
              <w:rPr>
                <w:i/>
                <w:iCs/>
                <w:sz w:val="22"/>
                <w:szCs w:val="22"/>
              </w:rPr>
              <w:t>JIU reports:</w:t>
            </w:r>
            <w:r w:rsidRPr="004E0F4F">
              <w:rPr>
                <w:rStyle w:val="Hyperlink"/>
                <w:rFonts w:asciiTheme="minorHAnsi" w:eastAsia="STKaiti" w:hAnsiTheme="minorHAnsi" w:cstheme="minorHAnsi"/>
                <w:sz w:val="22"/>
                <w:szCs w:val="22"/>
                <w:lang w:eastAsia="zh-CN"/>
              </w:rPr>
              <w:t xml:space="preserve"> </w:t>
            </w:r>
            <w:hyperlink r:id="rId22" w:history="1">
              <w:r w:rsidRPr="004E0F4F">
                <w:rPr>
                  <w:rStyle w:val="Hyperlink"/>
                  <w:rFonts w:asciiTheme="minorHAnsi" w:eastAsia="STKaiti" w:hAnsiTheme="minorHAnsi" w:cstheme="minorHAnsi"/>
                  <w:i/>
                  <w:iCs/>
                  <w:sz w:val="22"/>
                  <w:szCs w:val="22"/>
                  <w:lang w:eastAsia="zh-CN"/>
                </w:rPr>
                <w:t>JIU/REP/2020/1</w:t>
              </w:r>
            </w:hyperlink>
            <w:r w:rsidRPr="004E0F4F">
              <w:rPr>
                <w:rFonts w:ascii="Times New Roman" w:hAnsi="Times New Roman"/>
                <w:i/>
                <w:iCs/>
                <w:sz w:val="22"/>
                <w:szCs w:val="22"/>
              </w:rPr>
              <w:t xml:space="preserve">, </w:t>
            </w:r>
            <w:hyperlink r:id="rId23" w:history="1">
              <w:r w:rsidRPr="004E0F4F">
                <w:rPr>
                  <w:rStyle w:val="Hyperlink"/>
                  <w:rFonts w:asciiTheme="minorHAnsi" w:eastAsia="STKaiti" w:hAnsiTheme="minorHAnsi" w:cstheme="minorHAnsi"/>
                  <w:i/>
                  <w:iCs/>
                  <w:sz w:val="22"/>
                  <w:szCs w:val="22"/>
                  <w:lang w:eastAsia="zh-CN"/>
                </w:rPr>
                <w:t>JIU/REP/2023/2</w:t>
              </w:r>
            </w:hyperlink>
            <w:r w:rsidRPr="004E0F4F">
              <w:rPr>
                <w:i/>
                <w:iCs/>
                <w:sz w:val="22"/>
                <w:szCs w:val="22"/>
              </w:rPr>
              <w:t>.</w:t>
            </w:r>
          </w:p>
        </w:tc>
      </w:tr>
    </w:tbl>
    <w:p w14:paraId="257D8FAB" w14:textId="27480036" w:rsidR="00A514A4" w:rsidRPr="00BA5457" w:rsidRDefault="0090147A" w:rsidP="00AD0351">
      <w:pPr>
        <w:pStyle w:val="Heading1"/>
      </w:pPr>
      <w:bookmarkStart w:id="10" w:name="_Hlk133421428"/>
      <w:bookmarkEnd w:id="2"/>
      <w:bookmarkEnd w:id="3"/>
      <w:bookmarkEnd w:id="4"/>
      <w:bookmarkEnd w:id="9"/>
      <w:r w:rsidRPr="00BA5457">
        <w:br w:type="page"/>
      </w:r>
      <w:bookmarkEnd w:id="5"/>
      <w:bookmarkEnd w:id="10"/>
      <w:r w:rsidR="00AD0351" w:rsidRPr="00BA5457">
        <w:lastRenderedPageBreak/>
        <w:t>1</w:t>
      </w:r>
      <w:r w:rsidR="00AD0351" w:rsidRPr="00BA5457">
        <w:tab/>
        <w:t>Background</w:t>
      </w:r>
    </w:p>
    <w:p w14:paraId="0CC5CA27" w14:textId="48460DE4" w:rsidR="00AD0351" w:rsidRPr="00BA5457" w:rsidRDefault="00AD0351" w:rsidP="004E0F4F">
      <w:pPr>
        <w:jc w:val="both"/>
      </w:pPr>
      <w:r w:rsidRPr="00BA5457">
        <w:t xml:space="preserve">Since 2023, the ITU Council and its Working Group on financial and human resources have been discussing, </w:t>
      </w:r>
      <w:r w:rsidRPr="00BA5457">
        <w:rPr>
          <w:i/>
          <w:iCs/>
        </w:rPr>
        <w:t>inter alia</w:t>
      </w:r>
      <w:r w:rsidRPr="00BA5457">
        <w:t>, ITU</w:t>
      </w:r>
      <w:r w:rsidR="000738B5" w:rsidRPr="00BA5457">
        <w:t>'</w:t>
      </w:r>
      <w:r w:rsidRPr="00BA5457">
        <w:t>s internal oversight system. In June 2024, the Council approved the ITU Internal Oversight Charter, which consolidates the existing internal audit and investigation functions of the General Secretariat into the newly established Oversight Unit (OU). Meanwhile, the Ethics Office, as an independent function, continues to collaborate closely with the OU within its mandate (</w:t>
      </w:r>
      <w:hyperlink r:id="rId24" w:history="1">
        <w:r w:rsidRPr="00BA5457">
          <w:rPr>
            <w:rStyle w:val="Hyperlink"/>
            <w:rFonts w:asciiTheme="minorHAnsi" w:eastAsia="STKaiti" w:hAnsiTheme="minorHAnsi" w:cstheme="minorHAnsi"/>
            <w:lang w:eastAsia="zh-CN"/>
          </w:rPr>
          <w:t>C24/120</w:t>
        </w:r>
      </w:hyperlink>
      <w:r w:rsidRPr="00BA5457">
        <w:t xml:space="preserve">). Article 29 of the Financial Regulations and Financial Rules was revised and </w:t>
      </w:r>
      <w:hyperlink r:id="rId25" w:history="1">
        <w:r w:rsidRPr="00BA5457">
          <w:rPr>
            <w:rStyle w:val="Hyperlink"/>
            <w:lang w:eastAsia="zh-CN"/>
          </w:rPr>
          <w:t>Service Order No.</w:t>
        </w:r>
        <w:r w:rsidR="000738B5" w:rsidRPr="00BA5457">
          <w:rPr>
            <w:rStyle w:val="Hyperlink"/>
            <w:lang w:eastAsia="zh-CN"/>
          </w:rPr>
          <w:t> </w:t>
        </w:r>
        <w:r w:rsidRPr="00BA5457">
          <w:rPr>
            <w:rStyle w:val="Hyperlink"/>
            <w:lang w:eastAsia="zh-CN"/>
          </w:rPr>
          <w:t>24/09</w:t>
        </w:r>
      </w:hyperlink>
      <w:r w:rsidRPr="00BA5457">
        <w:t xml:space="preserve"> published accordingly.</w:t>
      </w:r>
    </w:p>
    <w:p w14:paraId="653A2F65" w14:textId="52C310B1" w:rsidR="00AD0351" w:rsidRPr="00BA5457" w:rsidRDefault="00AD0351" w:rsidP="004E0F4F">
      <w:pPr>
        <w:jc w:val="both"/>
      </w:pPr>
      <w:r w:rsidRPr="00BA5457">
        <w:t>As reflected in the minutes of the 2024 session of the Council, further improvements need to be made to the Internal Oversight Charter (</w:t>
      </w:r>
      <w:hyperlink r:id="rId26" w:history="1">
        <w:r w:rsidR="00DC2786" w:rsidRPr="00BA5457">
          <w:rPr>
            <w:rStyle w:val="Hyperlink"/>
            <w:rFonts w:asciiTheme="minorHAnsi" w:hAnsiTheme="minorHAnsi" w:cstheme="minorHAnsi"/>
            <w:lang w:eastAsia="zh-CN"/>
          </w:rPr>
          <w:t>C24/109(Rev.1)</w:t>
        </w:r>
      </w:hyperlink>
      <w:r w:rsidRPr="00BA5457">
        <w:t>), in particular with regard to §§ 25-27, on independence:</w:t>
      </w:r>
    </w:p>
    <w:p w14:paraId="48F21EE1" w14:textId="5D538268" w:rsidR="00343CED" w:rsidRPr="00BA5457" w:rsidRDefault="000738B5" w:rsidP="004E0F4F">
      <w:pPr>
        <w:pStyle w:val="enumlev1"/>
        <w:jc w:val="both"/>
      </w:pPr>
      <w:r w:rsidRPr="00BA5457">
        <w:t>"</w:t>
      </w:r>
      <w:r w:rsidR="00343CED" w:rsidRPr="00BA5457">
        <w:t>25.</w:t>
      </w:r>
      <w:r w:rsidR="00343CED" w:rsidRPr="00BA5457">
        <w:tab/>
        <w:t>In order to preserve independence so that they can carry out audit work objectively and render impartial judgments, the personnel of the OU shall have no managerial authority over, or responsibility for, any of the activities they audit, investigate or evaluate, and shall not perform any other operational functions for ITU.</w:t>
      </w:r>
    </w:p>
    <w:p w14:paraId="0B977748" w14:textId="77777777" w:rsidR="00343CED" w:rsidRPr="00BA5457" w:rsidRDefault="00343CED" w:rsidP="004E0F4F">
      <w:pPr>
        <w:pStyle w:val="enumlev1"/>
        <w:jc w:val="both"/>
      </w:pPr>
      <w:r w:rsidRPr="00BA5457">
        <w:t>26.</w:t>
      </w:r>
      <w:r w:rsidRPr="00BA5457">
        <w:tab/>
        <w:t>Allegations of misconduct against the Chief or personnel of the OU shall not be investigated by the OU. Any such allegations requiring an investigation shall be referred to the Secretary-General, who shall seek advice from the IMAC. The IMAC shall establish appropriate detailed referral procedures for the independent preliminary review of the allegation(s) and as required, an independent investigation mechanism.</w:t>
      </w:r>
    </w:p>
    <w:p w14:paraId="1D77362C" w14:textId="19895E69" w:rsidR="00AD0351" w:rsidRPr="00BA5457" w:rsidRDefault="00343CED" w:rsidP="004E0F4F">
      <w:pPr>
        <w:pStyle w:val="enumlev1"/>
        <w:jc w:val="both"/>
      </w:pPr>
      <w:r w:rsidRPr="00BA5457">
        <w:t>27.</w:t>
      </w:r>
      <w:r w:rsidRPr="00BA5457">
        <w:tab/>
        <w:t>Allegations of misconduct against the Secretary-General and the other Elected Officials shall not be investigated by the OU. Such allegations should be reported to the Chairperson of the Council and to the Chairperson of the IMAC. OU will develop the appropriate detailed referral procedures for the independent preliminary review of the allegation(s) and as required, an independent investigation mechanism. These procedures will be based on UN best practice, reviewed by IMAC and submitted to the ITU Council for consideration and action, if any.</w:t>
      </w:r>
      <w:r w:rsidR="000738B5" w:rsidRPr="00BA5457">
        <w:t>"</w:t>
      </w:r>
    </w:p>
    <w:p w14:paraId="22EA8624" w14:textId="4D4CCA54" w:rsidR="00E44EAB" w:rsidRPr="00BA5457" w:rsidRDefault="00E44EAB" w:rsidP="00E44EAB">
      <w:pPr>
        <w:pStyle w:val="Heading1"/>
      </w:pPr>
      <w:r w:rsidRPr="00BA5457">
        <w:t>2</w:t>
      </w:r>
      <w:r w:rsidRPr="00BA5457">
        <w:tab/>
        <w:t>Proposals</w:t>
      </w:r>
    </w:p>
    <w:p w14:paraId="1A28D611" w14:textId="2B4C47B9" w:rsidR="00E44EAB" w:rsidRPr="00BA5457" w:rsidRDefault="00E44EAB" w:rsidP="004E0F4F">
      <w:pPr>
        <w:jc w:val="both"/>
      </w:pPr>
      <w:r w:rsidRPr="00BA5457">
        <w:t>1</w:t>
      </w:r>
      <w:r w:rsidRPr="00BA5457">
        <w:tab/>
        <w:t>In order to implement the Council</w:t>
      </w:r>
      <w:r w:rsidR="000738B5" w:rsidRPr="00BA5457">
        <w:t>'</w:t>
      </w:r>
      <w:r w:rsidRPr="00BA5457">
        <w:t>s decision to improve internal oversight, and to facilitate implementation of the Internal Oversight Charter, the Independent Management Advisory Committee (IMAC) and the OU should draft</w:t>
      </w:r>
      <w:r w:rsidR="0045434C" w:rsidRPr="00BA5457">
        <w:t xml:space="preserve"> and report to the Council on</w:t>
      </w:r>
      <w:r w:rsidRPr="00BA5457">
        <w:t xml:space="preserve"> the following two procedural documents respectively:</w:t>
      </w:r>
    </w:p>
    <w:p w14:paraId="2BA90C7D" w14:textId="688115BF" w:rsidR="00E44EAB" w:rsidRPr="00BA5457" w:rsidRDefault="00E44EAB" w:rsidP="004E0F4F">
      <w:pPr>
        <w:pStyle w:val="enumlev1"/>
        <w:jc w:val="both"/>
      </w:pPr>
      <w:r w:rsidRPr="00BA5457">
        <w:t>–</w:t>
      </w:r>
      <w:r w:rsidRPr="00BA5457">
        <w:tab/>
        <w:t>a detailed referral procedure for the independent preliminary review of allegations of misconduct against the Chief or personnel of the OU, along with a corresponding independent investigation mechanism, to be prepared by IMAC;</w:t>
      </w:r>
    </w:p>
    <w:p w14:paraId="0F50E7BD" w14:textId="28FB5BCF" w:rsidR="00E44EAB" w:rsidRPr="00BA5457" w:rsidRDefault="00E44EAB" w:rsidP="004E0F4F">
      <w:pPr>
        <w:pStyle w:val="enumlev1"/>
        <w:jc w:val="both"/>
      </w:pPr>
      <w:r w:rsidRPr="00BA5457">
        <w:t>–</w:t>
      </w:r>
      <w:r w:rsidRPr="00BA5457">
        <w:tab/>
        <w:t>a detailed referral procedure for the independent preliminary review of allegations of misconduct against the Secretary-General or the other elected officials, along with a corresponding independent investigation mechanism, to be prepared by the OU.</w:t>
      </w:r>
    </w:p>
    <w:p w14:paraId="422F5232" w14:textId="19FC9D81" w:rsidR="00AD0351" w:rsidRPr="00BA5457" w:rsidRDefault="00E44EAB" w:rsidP="004E0F4F">
      <w:pPr>
        <w:keepNext/>
        <w:jc w:val="both"/>
      </w:pPr>
      <w:r w:rsidRPr="00BA5457">
        <w:t>2</w:t>
      </w:r>
      <w:r w:rsidRPr="00BA5457">
        <w:tab/>
        <w:t>In drafting the relevant procedures, IMAC and the OU should consider:</w:t>
      </w:r>
    </w:p>
    <w:p w14:paraId="72F2B63F" w14:textId="48AE7ADF" w:rsidR="00E44EAB" w:rsidRPr="00BA5457" w:rsidRDefault="00E44EAB" w:rsidP="004E0F4F">
      <w:pPr>
        <w:pStyle w:val="enumlev1"/>
        <w:jc w:val="both"/>
      </w:pPr>
      <w:r w:rsidRPr="00BA5457">
        <w:t>–</w:t>
      </w:r>
      <w:r w:rsidRPr="00BA5457">
        <w:tab/>
        <w:t xml:space="preserve">clearly defining the roles and responsibilities of the Secretary-General, the Council, IMAC, the Oversight Unit, the Ethics Office, and the Internal Appeal Board in the various stages of handling allegations of misconduct, from receiving and registering complaints, </w:t>
      </w:r>
      <w:r w:rsidRPr="00BA5457">
        <w:lastRenderedPageBreak/>
        <w:t>to investigating and reviewing cases, reaching findings, and implementing appropriate remedial or corrective actions; and ensuring clear division of responsibilities and effective coordination between the Ethics Office and the Oversight Unit in handling allegations of misconduct;</w:t>
      </w:r>
    </w:p>
    <w:p w14:paraId="644671A4" w14:textId="13261175" w:rsidR="00E44EAB" w:rsidRPr="00BA5457" w:rsidRDefault="00E44EAB" w:rsidP="004E0F4F">
      <w:pPr>
        <w:pStyle w:val="enumlev1"/>
        <w:jc w:val="both"/>
      </w:pPr>
      <w:r w:rsidRPr="00BA5457">
        <w:t>–</w:t>
      </w:r>
      <w:r w:rsidRPr="00BA5457">
        <w:tab/>
        <w:t>when addressing typical scenarios of misconduct, such as fraud and corruption, harassment and abuse of authority, conflicts of interest, and retaliation, ITU</w:t>
      </w:r>
      <w:r w:rsidR="000738B5" w:rsidRPr="00BA5457">
        <w:t>'</w:t>
      </w:r>
      <w:r w:rsidRPr="00BA5457">
        <w:t>s existing regulatory framework, including the Staff Regulations and Staff Rules, the Staff Regulations and Staff Rules applicable to elected officials, and relevant service orders (</w:t>
      </w:r>
      <w:r w:rsidR="00E973F4" w:rsidRPr="00BA5457">
        <w:rPr>
          <w:rFonts w:ascii="Segoe UI" w:hAnsi="Segoe UI" w:cs="Segoe UI"/>
          <w:color w:val="000000"/>
          <w:sz w:val="20"/>
          <w:shd w:val="clear" w:color="auto" w:fill="FFFFFF"/>
        </w:rPr>
        <w:t xml:space="preserve">e.g. </w:t>
      </w:r>
      <w:hyperlink r:id="rId27" w:history="1">
        <w:r w:rsidRPr="00BA5457">
          <w:rPr>
            <w:rStyle w:val="Hyperlink"/>
            <w:rFonts w:asciiTheme="minorHAnsi" w:eastAsia="STKaiti" w:hAnsiTheme="minorHAnsi" w:cstheme="minorHAnsi"/>
            <w:lang w:eastAsia="zh-CN"/>
          </w:rPr>
          <w:t>SO 17/07</w:t>
        </w:r>
      </w:hyperlink>
      <w:r w:rsidRPr="00BA5457">
        <w:t xml:space="preserve">, </w:t>
      </w:r>
      <w:hyperlink r:id="rId28" w:history="1">
        <w:r w:rsidRPr="00BA5457">
          <w:rPr>
            <w:rStyle w:val="Hyperlink"/>
            <w:rFonts w:asciiTheme="minorHAnsi" w:eastAsia="STKaiti" w:hAnsiTheme="minorHAnsi" w:cstheme="minorHAnsi"/>
            <w:lang w:eastAsia="zh-CN"/>
          </w:rPr>
          <w:t>SO 11/02</w:t>
        </w:r>
      </w:hyperlink>
      <w:r w:rsidRPr="00BA5457">
        <w:t xml:space="preserve">, </w:t>
      </w:r>
      <w:hyperlink r:id="rId29" w:history="1">
        <w:r w:rsidR="000738B5" w:rsidRPr="00BA5457">
          <w:rPr>
            <w:rStyle w:val="Hyperlink"/>
            <w:rFonts w:asciiTheme="minorHAnsi" w:eastAsia="STKaiti" w:hAnsiTheme="minorHAnsi" w:cstheme="minorHAnsi"/>
            <w:lang w:eastAsia="zh-CN"/>
          </w:rPr>
          <w:t>SO 19/09</w:t>
        </w:r>
      </w:hyperlink>
      <w:r w:rsidRPr="00BA5457">
        <w:t xml:space="preserve">, </w:t>
      </w:r>
      <w:hyperlink r:id="rId30" w:history="1">
        <w:r w:rsidR="000738B5" w:rsidRPr="00BA5457">
          <w:rPr>
            <w:rStyle w:val="Hyperlink"/>
            <w:rFonts w:asciiTheme="minorHAnsi" w:eastAsia="STKaiti" w:hAnsiTheme="minorHAnsi" w:cstheme="minorHAnsi"/>
            <w:lang w:eastAsia="zh-CN"/>
          </w:rPr>
          <w:t>SO 22/03</w:t>
        </w:r>
      </w:hyperlink>
      <w:r w:rsidRPr="00BA5457">
        <w:t xml:space="preserve">, </w:t>
      </w:r>
      <w:hyperlink r:id="rId31" w:history="1">
        <w:r w:rsidR="000738B5" w:rsidRPr="00BA5457">
          <w:rPr>
            <w:rStyle w:val="Hyperlink"/>
            <w:rFonts w:asciiTheme="minorHAnsi" w:eastAsia="STKaiti" w:hAnsiTheme="minorHAnsi" w:cstheme="minorHAnsi"/>
            <w:lang w:eastAsia="zh-CN"/>
          </w:rPr>
          <w:t>SO 20/06</w:t>
        </w:r>
      </w:hyperlink>
      <w:r w:rsidRPr="00BA5457">
        <w:t xml:space="preserve">), should be used effectively to </w:t>
      </w:r>
      <w:r w:rsidR="005641E8" w:rsidRPr="00BA5457">
        <w:t>ensure consistency between existing legal instruments</w:t>
      </w:r>
      <w:r w:rsidRPr="00BA5457">
        <w:t>;</w:t>
      </w:r>
    </w:p>
    <w:p w14:paraId="0D2966DF" w14:textId="4A6267E4" w:rsidR="00AD0351" w:rsidRPr="00BA5457" w:rsidRDefault="00E44EAB" w:rsidP="004E0F4F">
      <w:pPr>
        <w:pStyle w:val="enumlev1"/>
        <w:jc w:val="both"/>
      </w:pPr>
      <w:r w:rsidRPr="00BA5457">
        <w:t>–</w:t>
      </w:r>
      <w:r w:rsidRPr="00BA5457">
        <w:tab/>
        <w:t>studying the best practices in the United Nations system and adapting them to ITU</w:t>
      </w:r>
      <w:r w:rsidR="000738B5" w:rsidRPr="00BA5457">
        <w:t>'</w:t>
      </w:r>
      <w:r w:rsidRPr="00BA5457">
        <w:t>s context where appropriate.</w:t>
      </w:r>
    </w:p>
    <w:p w14:paraId="674BA142" w14:textId="77777777" w:rsidR="000738B5" w:rsidRPr="00BA5457" w:rsidRDefault="000738B5" w:rsidP="004E0F4F">
      <w:pPr>
        <w:jc w:val="both"/>
      </w:pPr>
      <w:r w:rsidRPr="00BA5457">
        <w:t xml:space="preserve">For example: </w:t>
      </w:r>
    </w:p>
    <w:p w14:paraId="5B76605A" w14:textId="4B894EDC" w:rsidR="000738B5" w:rsidRPr="00BA5457" w:rsidRDefault="000738B5" w:rsidP="004E0F4F">
      <w:pPr>
        <w:pStyle w:val="enumlev1"/>
        <w:jc w:val="both"/>
      </w:pPr>
      <w:r w:rsidRPr="00BA5457">
        <w:t>•</w:t>
      </w:r>
      <w:r w:rsidRPr="00BA5457">
        <w:tab/>
        <w:t xml:space="preserve">if a misconduct allegation involves </w:t>
      </w:r>
      <w:r w:rsidRPr="00BA5457">
        <w:rPr>
          <w:b/>
          <w:bCs/>
        </w:rPr>
        <w:t>the personnel of the OU</w:t>
      </w:r>
      <w:r w:rsidRPr="00BA5457">
        <w:t xml:space="preserve">, the Chief of the OU should consult IMAC on </w:t>
      </w:r>
      <w:r w:rsidR="00370BAB" w:rsidRPr="00BA5457">
        <w:t xml:space="preserve">the </w:t>
      </w:r>
      <w:r w:rsidR="00E973F4" w:rsidRPr="00BA5457">
        <w:t>referral procedure</w:t>
      </w:r>
      <w:r w:rsidRPr="00BA5457">
        <w:t xml:space="preserve">; </w:t>
      </w:r>
    </w:p>
    <w:p w14:paraId="675B54CE" w14:textId="77777777" w:rsidR="000738B5" w:rsidRPr="00BA5457" w:rsidRDefault="000738B5" w:rsidP="004E0F4F">
      <w:pPr>
        <w:pStyle w:val="enumlev1"/>
        <w:jc w:val="both"/>
      </w:pPr>
      <w:r w:rsidRPr="00BA5457">
        <w:t>•</w:t>
      </w:r>
      <w:r w:rsidRPr="00BA5457">
        <w:tab/>
        <w:t xml:space="preserve">if the allegation concerns </w:t>
      </w:r>
      <w:r w:rsidRPr="00BA5457">
        <w:rPr>
          <w:b/>
          <w:bCs/>
        </w:rPr>
        <w:t>the Chief of the OU</w:t>
      </w:r>
      <w:r w:rsidRPr="00BA5457">
        <w:t>, it should be reported to the Secretary-General and Deputy Secretary-General, who should then report the matter to the Chair of the Council as early as possible but no later than one month from receipt of the allegation and consult IMAC on how to handle the case. No investigation into allegations against the Chief of the OU shall be initiated without the prior consent of the Council;</w:t>
      </w:r>
    </w:p>
    <w:p w14:paraId="35D14332" w14:textId="4DB622F3" w:rsidR="000738B5" w:rsidRPr="00BA5457" w:rsidRDefault="000738B5" w:rsidP="004E0F4F">
      <w:pPr>
        <w:pStyle w:val="enumlev1"/>
        <w:jc w:val="both"/>
      </w:pPr>
      <w:r w:rsidRPr="00BA5457">
        <w:t>•</w:t>
      </w:r>
      <w:r w:rsidRPr="00BA5457">
        <w:tab/>
        <w:t xml:space="preserve">if the allegation concerns an </w:t>
      </w:r>
      <w:r w:rsidRPr="00BA5457">
        <w:rPr>
          <w:b/>
          <w:bCs/>
        </w:rPr>
        <w:t>elected official</w:t>
      </w:r>
      <w:r w:rsidRPr="00BA5457">
        <w:t>, it should be reported to the Chief of the OU, who should immediately notify the Chair of the Council and consult IMAC on the next steps. IMAC should advise the Chief of the OU on whether to conduct a preliminary assessment or entrust an external independent investigation entity for the preliminary assessment. Based on the results of the preliminary assessment, the Chief of the OU should report to the Chair of the Council, indicating whether the case should be closed by the OU or referred to an external independent entity for a full investigation.</w:t>
      </w:r>
      <w:r w:rsidR="00290C41" w:rsidRPr="00BA5457">
        <w:t xml:space="preserve"> In such cases, the Council will take its decision based on the outcome of the investigation.</w:t>
      </w:r>
    </w:p>
    <w:p w14:paraId="68C7A003" w14:textId="08D09223" w:rsidR="00AD0351" w:rsidRPr="00BA5457" w:rsidRDefault="000738B5" w:rsidP="004E0F4F">
      <w:pPr>
        <w:jc w:val="both"/>
      </w:pPr>
      <w:r w:rsidRPr="00BA5457">
        <w:t>3</w:t>
      </w:r>
      <w:r w:rsidRPr="00BA5457">
        <w:tab/>
        <w:t>The two draft procedures referenced in Proposal 1 above should be submitted to the Council for timely consideration and approval in accordance with established procedures.</w:t>
      </w:r>
    </w:p>
    <w:p w14:paraId="2CC70F9B" w14:textId="77777777" w:rsidR="00AD0351" w:rsidRPr="00BA5457" w:rsidRDefault="00AD0351" w:rsidP="000738B5"/>
    <w:p w14:paraId="5CFD49BE" w14:textId="77777777" w:rsidR="007A3FCD" w:rsidRPr="00BA5457" w:rsidRDefault="007A3FCD" w:rsidP="000738B5">
      <w:pPr>
        <w:rPr>
          <w:rFonts w:asciiTheme="minorHAnsi" w:hAnsiTheme="minorHAnsi" w:cstheme="minorHAnsi"/>
        </w:rPr>
      </w:pPr>
    </w:p>
    <w:p w14:paraId="7C02E7D2" w14:textId="77777777" w:rsidR="007A3FCD" w:rsidRPr="000738B5" w:rsidRDefault="007A3FCD" w:rsidP="007A3FCD">
      <w:pPr>
        <w:jc w:val="center"/>
      </w:pPr>
      <w:r w:rsidRPr="00BA5457">
        <w:t>______________</w:t>
      </w:r>
    </w:p>
    <w:sectPr w:rsidR="007A3FCD" w:rsidRPr="000738B5" w:rsidSect="00AD3606">
      <w:headerReference w:type="even" r:id="rId32"/>
      <w:headerReference w:type="default" r:id="rId33"/>
      <w:footerReference w:type="even" r:id="rId34"/>
      <w:footerReference w:type="default" r:id="rId35"/>
      <w:headerReference w:type="first" r:id="rId36"/>
      <w:footerReference w:type="first" r:id="rId37"/>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84B1B4" w14:textId="77777777" w:rsidR="00FC39AB" w:rsidRDefault="00FC39AB">
      <w:r>
        <w:separator/>
      </w:r>
    </w:p>
  </w:endnote>
  <w:endnote w:type="continuationSeparator" w:id="0">
    <w:p w14:paraId="487F99DC" w14:textId="77777777" w:rsidR="00FC39AB" w:rsidRDefault="00FC3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TKaiti">
    <w:charset w:val="86"/>
    <w:family w:val="auto"/>
    <w:pitch w:val="variable"/>
    <w:sig w:usb0="00000287" w:usb1="080F0000" w:usb2="00000010" w:usb3="00000000" w:csb0="0004009F" w:csb1="00000000"/>
  </w:font>
  <w:font w:name="Segoe UI">
    <w:panose1 w:val="020B0502040204020203"/>
    <w:charset w:val="00"/>
    <w:family w:val="swiss"/>
    <w:pitch w:val="variable"/>
    <w:sig w:usb0="E4002EFF" w:usb1="C000E47F" w:usb2="00000009" w:usb3="00000000" w:csb0="000001FF" w:csb1="00000000"/>
  </w:font>
  <w:font w:name="Avenir Nxt2 W1G Medium">
    <w:altName w:val="Calibri"/>
    <w:panose1 w:val="020B0603020202020204"/>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D1BD3" w14:textId="77777777" w:rsidR="004E0F4F" w:rsidRDefault="004E0F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43D31B51" w14:textId="77777777" w:rsidTr="0042469C">
      <w:trPr>
        <w:jc w:val="center"/>
      </w:trPr>
      <w:tc>
        <w:tcPr>
          <w:tcW w:w="1803" w:type="dxa"/>
          <w:vAlign w:val="center"/>
        </w:tcPr>
        <w:p w14:paraId="7A463B01" w14:textId="465E934C" w:rsidR="00EE49E8" w:rsidRDefault="00C6520B" w:rsidP="00EE49E8">
          <w:pPr>
            <w:pStyle w:val="Header"/>
            <w:jc w:val="left"/>
            <w:rPr>
              <w:noProof/>
            </w:rPr>
          </w:pPr>
          <w:r>
            <w:rPr>
              <w:noProof/>
            </w:rPr>
            <w:t xml:space="preserve">gDoc </w:t>
          </w:r>
          <w:r w:rsidR="00DC2786">
            <w:rPr>
              <w:noProof/>
            </w:rPr>
            <w:t>2501473</w:t>
          </w:r>
        </w:p>
      </w:tc>
      <w:tc>
        <w:tcPr>
          <w:tcW w:w="8261" w:type="dxa"/>
        </w:tcPr>
        <w:p w14:paraId="7352A00E" w14:textId="61271E37" w:rsidR="00EE49E8" w:rsidRPr="00E06FD5" w:rsidRDefault="00EE49E8" w:rsidP="004E0F4F">
          <w:pPr>
            <w:pStyle w:val="Header"/>
            <w:tabs>
              <w:tab w:val="left" w:pos="6456"/>
              <w:tab w:val="right" w:pos="8505"/>
              <w:tab w:val="right" w:pos="9639"/>
            </w:tabs>
            <w:jc w:val="left"/>
            <w:rPr>
              <w:rFonts w:ascii="Arial" w:hAnsi="Arial" w:cs="Arial"/>
              <w:b/>
              <w:bCs/>
              <w:szCs w:val="18"/>
            </w:rPr>
          </w:pPr>
          <w:r>
            <w:rPr>
              <w:bCs/>
            </w:rPr>
            <w:tab/>
          </w:r>
          <w:r w:rsidRPr="00623AE3">
            <w:rPr>
              <w:bCs/>
            </w:rPr>
            <w:t>C</w:t>
          </w:r>
          <w:r>
            <w:rPr>
              <w:bCs/>
            </w:rPr>
            <w:t>2</w:t>
          </w:r>
          <w:r w:rsidR="00C6520B">
            <w:rPr>
              <w:bCs/>
            </w:rPr>
            <w:t>5</w:t>
          </w:r>
          <w:r w:rsidRPr="00623AE3">
            <w:rPr>
              <w:bCs/>
            </w:rPr>
            <w:t>/</w:t>
          </w:r>
          <w:r w:rsidR="00AD0351">
            <w:rPr>
              <w:bCs/>
            </w:rPr>
            <w:t>87</w:t>
          </w:r>
          <w:r w:rsidR="00DC2786">
            <w:rPr>
              <w:bCs/>
            </w:rPr>
            <w:t>(Rev.1)</w:t>
          </w:r>
          <w:r w:rsidRPr="00623AE3">
            <w:rPr>
              <w:bCs/>
            </w:rPr>
            <w:t>-E</w:t>
          </w:r>
          <w:r>
            <w:rPr>
              <w:bCs/>
            </w:rPr>
            <w:tab/>
          </w:r>
          <w:r>
            <w:fldChar w:fldCharType="begin"/>
          </w:r>
          <w:r>
            <w:instrText>PAGE</w:instrText>
          </w:r>
          <w:r>
            <w:fldChar w:fldCharType="separate"/>
          </w:r>
          <w:r>
            <w:t>1</w:t>
          </w:r>
          <w:r>
            <w:rPr>
              <w:noProof/>
            </w:rPr>
            <w:fldChar w:fldCharType="end"/>
          </w:r>
        </w:p>
      </w:tc>
    </w:tr>
  </w:tbl>
  <w:p w14:paraId="14CBD15D" w14:textId="77777777" w:rsidR="00EE49E8" w:rsidRPr="00DB1936" w:rsidRDefault="00EE49E8" w:rsidP="00EE49E8">
    <w:pPr>
      <w:pStyle w:val="Header"/>
      <w:tabs>
        <w:tab w:val="left" w:pos="8080"/>
        <w:tab w:val="right" w:pos="9072"/>
      </w:tabs>
      <w:jc w:val="left"/>
      <w:rPr>
        <w:bC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3"/>
      <w:gridCol w:w="8261"/>
    </w:tblGrid>
    <w:tr w:rsidR="00EE49E8" w:rsidRPr="00784011" w14:paraId="2E76BED4" w14:textId="77777777" w:rsidTr="006B77F1">
      <w:trPr>
        <w:jc w:val="center"/>
      </w:trPr>
      <w:tc>
        <w:tcPr>
          <w:tcW w:w="1803" w:type="dxa"/>
          <w:vAlign w:val="center"/>
        </w:tcPr>
        <w:p w14:paraId="7B37C234" w14:textId="77777777" w:rsidR="00EE49E8" w:rsidRPr="006B77F1" w:rsidRDefault="00BF1FDE" w:rsidP="00EE49E8">
          <w:pPr>
            <w:pStyle w:val="Header"/>
            <w:jc w:val="left"/>
            <w:rPr>
              <w:noProof/>
            </w:rPr>
          </w:pPr>
          <w:hyperlink r:id="rId1" w:history="1">
            <w:proofErr w:type="spellStart"/>
            <w:r w:rsidRPr="006B77F1">
              <w:rPr>
                <w:rStyle w:val="Hyperlink"/>
                <w:u w:val="none"/>
              </w:rPr>
              <w:t>council.itu.int</w:t>
            </w:r>
            <w:proofErr w:type="spellEnd"/>
            <w:r w:rsidRPr="006B77F1">
              <w:rPr>
                <w:rStyle w:val="Hyperlink"/>
                <w:u w:val="none"/>
              </w:rPr>
              <w:t>/2025</w:t>
            </w:r>
          </w:hyperlink>
        </w:p>
      </w:tc>
      <w:tc>
        <w:tcPr>
          <w:tcW w:w="8261" w:type="dxa"/>
        </w:tcPr>
        <w:p w14:paraId="25224326" w14:textId="4C6AB96C" w:rsidR="00EE49E8" w:rsidRPr="00E06FD5" w:rsidRDefault="00EE49E8" w:rsidP="004E0F4F">
          <w:pPr>
            <w:pStyle w:val="Header"/>
            <w:tabs>
              <w:tab w:val="left" w:pos="6456"/>
              <w:tab w:val="right" w:pos="8505"/>
              <w:tab w:val="right" w:pos="9639"/>
            </w:tabs>
            <w:jc w:val="left"/>
            <w:rPr>
              <w:rFonts w:ascii="Arial" w:hAnsi="Arial" w:cs="Arial"/>
              <w:b/>
              <w:bCs/>
              <w:szCs w:val="18"/>
            </w:rPr>
          </w:pPr>
          <w:r>
            <w:rPr>
              <w:bCs/>
            </w:rPr>
            <w:tab/>
          </w:r>
          <w:r w:rsidRPr="00623AE3">
            <w:rPr>
              <w:bCs/>
            </w:rPr>
            <w:t>C</w:t>
          </w:r>
          <w:r>
            <w:rPr>
              <w:bCs/>
            </w:rPr>
            <w:t>2</w:t>
          </w:r>
          <w:r w:rsidR="00BF1FDE">
            <w:rPr>
              <w:bCs/>
            </w:rPr>
            <w:t>5</w:t>
          </w:r>
          <w:r w:rsidRPr="00623AE3">
            <w:rPr>
              <w:bCs/>
            </w:rPr>
            <w:t>/</w:t>
          </w:r>
          <w:r w:rsidR="00AD0351">
            <w:rPr>
              <w:bCs/>
            </w:rPr>
            <w:t>87</w:t>
          </w:r>
          <w:r w:rsidR="00DC2786">
            <w:rPr>
              <w:bCs/>
            </w:rPr>
            <w:t>(Rev.1)</w:t>
          </w:r>
          <w:r w:rsidRPr="00623AE3">
            <w:rPr>
              <w:bCs/>
            </w:rPr>
            <w:t>-E</w:t>
          </w:r>
          <w:r>
            <w:rPr>
              <w:bCs/>
            </w:rPr>
            <w:tab/>
          </w:r>
          <w:r>
            <w:fldChar w:fldCharType="begin"/>
          </w:r>
          <w:r>
            <w:instrText>PAGE</w:instrText>
          </w:r>
          <w:r>
            <w:fldChar w:fldCharType="separate"/>
          </w:r>
          <w:r>
            <w:t>1</w:t>
          </w:r>
          <w:r>
            <w:rPr>
              <w:noProof/>
            </w:rPr>
            <w:fldChar w:fldCharType="end"/>
          </w:r>
        </w:p>
      </w:tc>
    </w:tr>
  </w:tbl>
  <w:p w14:paraId="1C83A36F"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3805BF" w14:textId="77777777" w:rsidR="00FC39AB" w:rsidRDefault="00FC39AB">
      <w:r>
        <w:t>____________________</w:t>
      </w:r>
    </w:p>
  </w:footnote>
  <w:footnote w:type="continuationSeparator" w:id="0">
    <w:p w14:paraId="5F682BAB" w14:textId="77777777" w:rsidR="00FC39AB" w:rsidRDefault="00FC39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F713CE" w14:textId="77777777" w:rsidR="004E0F4F" w:rsidRDefault="004E0F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7AEE45" w14:textId="77777777" w:rsidR="004E0F4F" w:rsidRDefault="004E0F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98"/>
      <w:gridCol w:w="4022"/>
    </w:tblGrid>
    <w:tr w:rsidR="00AD3606" w:rsidRPr="00784011" w14:paraId="4A884564" w14:textId="77777777" w:rsidTr="00C91CFC">
      <w:trPr>
        <w:trHeight w:val="1104"/>
        <w:jc w:val="center"/>
      </w:trPr>
      <w:tc>
        <w:tcPr>
          <w:tcW w:w="4390" w:type="dxa"/>
          <w:vAlign w:val="center"/>
        </w:tcPr>
        <w:p w14:paraId="251642D5" w14:textId="77777777" w:rsidR="00AD3606" w:rsidRPr="009621F8" w:rsidRDefault="003936D3" w:rsidP="00CF4A2B">
          <w:pPr>
            <w:pStyle w:val="Header"/>
            <w:jc w:val="left"/>
            <w:rPr>
              <w:rFonts w:ascii="Arial" w:hAnsi="Arial" w:cs="Arial"/>
              <w:b/>
              <w:bCs/>
              <w:color w:val="009CD6"/>
              <w:sz w:val="36"/>
              <w:szCs w:val="36"/>
            </w:rPr>
          </w:pPr>
          <w:bookmarkStart w:id="11" w:name="_Hlk133422111"/>
          <w:r>
            <w:rPr>
              <w:rFonts w:ascii="Arial" w:hAnsi="Arial" w:cs="Arial"/>
              <w:b/>
              <w:bCs/>
              <w:noProof/>
              <w:color w:val="009CD6"/>
              <w:sz w:val="36"/>
              <w:szCs w:val="36"/>
            </w:rPr>
            <w:drawing>
              <wp:inline distT="0" distB="0" distL="0" distR="0" wp14:anchorId="23619807" wp14:editId="721211FA">
                <wp:extent cx="3671597" cy="612000"/>
                <wp:effectExtent l="0" t="0" r="0" b="0"/>
                <wp:docPr id="1218191505"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191505" name="Picture 2"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71597" cy="612000"/>
                        </a:xfrm>
                        <a:prstGeom prst="rect">
                          <a:avLst/>
                        </a:prstGeom>
                      </pic:spPr>
                    </pic:pic>
                  </a:graphicData>
                </a:graphic>
              </wp:inline>
            </w:drawing>
          </w:r>
        </w:p>
      </w:tc>
      <w:tc>
        <w:tcPr>
          <w:tcW w:w="5630" w:type="dxa"/>
        </w:tcPr>
        <w:p w14:paraId="620EA6B7" w14:textId="77777777" w:rsidR="00AD3606" w:rsidRDefault="00AD3606" w:rsidP="00AD3606">
          <w:pPr>
            <w:pStyle w:val="Header"/>
            <w:jc w:val="right"/>
            <w:rPr>
              <w:rFonts w:ascii="Arial" w:hAnsi="Arial" w:cs="Arial"/>
              <w:b/>
              <w:bCs/>
              <w:color w:val="009CD6"/>
              <w:szCs w:val="18"/>
            </w:rPr>
          </w:pPr>
        </w:p>
        <w:p w14:paraId="671EA34E" w14:textId="77777777" w:rsidR="00AD3606" w:rsidRDefault="00AD3606" w:rsidP="00AD3606">
          <w:pPr>
            <w:pStyle w:val="Header"/>
            <w:jc w:val="right"/>
            <w:rPr>
              <w:rFonts w:ascii="Arial" w:hAnsi="Arial" w:cs="Arial"/>
              <w:b/>
              <w:bCs/>
              <w:color w:val="009CD6"/>
              <w:szCs w:val="18"/>
            </w:rPr>
          </w:pPr>
        </w:p>
        <w:p w14:paraId="1D6BC599"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1"/>
  <w:p w14:paraId="68DAD9C1" w14:textId="77777777" w:rsidR="00AD3606" w:rsidRDefault="00AD3606">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3A4895AD" wp14:editId="0DA2D4A9">
              <wp:simplePos x="0" y="0"/>
              <wp:positionH relativeFrom="page">
                <wp:posOffset>13030</wp:posOffset>
              </wp:positionH>
              <wp:positionV relativeFrom="topMargin">
                <wp:posOffset>645160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075098" id="Rectangle 5" o:spid="_x0000_s1026" style="position:absolute;margin-left:1.05pt;margin-top:50.8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16cid:durableId="1374816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proofState w:spelling="clean" w:grammar="clean"/>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143"/>
    <w:rsid w:val="000210D4"/>
    <w:rsid w:val="0006007D"/>
    <w:rsid w:val="00063016"/>
    <w:rsid w:val="00066795"/>
    <w:rsid w:val="000738B5"/>
    <w:rsid w:val="0007524A"/>
    <w:rsid w:val="00076AF6"/>
    <w:rsid w:val="00085CF2"/>
    <w:rsid w:val="000B1705"/>
    <w:rsid w:val="000B22FC"/>
    <w:rsid w:val="000D2FC1"/>
    <w:rsid w:val="000D75B2"/>
    <w:rsid w:val="000F5DDB"/>
    <w:rsid w:val="001121F5"/>
    <w:rsid w:val="001400DC"/>
    <w:rsid w:val="00140CE1"/>
    <w:rsid w:val="0017539C"/>
    <w:rsid w:val="00175AC2"/>
    <w:rsid w:val="0017609F"/>
    <w:rsid w:val="00176F47"/>
    <w:rsid w:val="001A3154"/>
    <w:rsid w:val="001A7D1D"/>
    <w:rsid w:val="001B51DD"/>
    <w:rsid w:val="001C628E"/>
    <w:rsid w:val="001E0F7B"/>
    <w:rsid w:val="001F5569"/>
    <w:rsid w:val="002119FD"/>
    <w:rsid w:val="002130E0"/>
    <w:rsid w:val="00221F46"/>
    <w:rsid w:val="00237927"/>
    <w:rsid w:val="00264425"/>
    <w:rsid w:val="00265875"/>
    <w:rsid w:val="0027303B"/>
    <w:rsid w:val="0028109B"/>
    <w:rsid w:val="00290C41"/>
    <w:rsid w:val="002A2188"/>
    <w:rsid w:val="002B1F58"/>
    <w:rsid w:val="002C1C7A"/>
    <w:rsid w:val="002C321C"/>
    <w:rsid w:val="002C3F32"/>
    <w:rsid w:val="002C54E2"/>
    <w:rsid w:val="002C7693"/>
    <w:rsid w:val="0030160F"/>
    <w:rsid w:val="00320223"/>
    <w:rsid w:val="00322D0D"/>
    <w:rsid w:val="00343CED"/>
    <w:rsid w:val="00361465"/>
    <w:rsid w:val="00370BAB"/>
    <w:rsid w:val="003877F5"/>
    <w:rsid w:val="003936D3"/>
    <w:rsid w:val="003942D4"/>
    <w:rsid w:val="003958A8"/>
    <w:rsid w:val="003B29C2"/>
    <w:rsid w:val="003B4FAF"/>
    <w:rsid w:val="003C2533"/>
    <w:rsid w:val="003D5A7F"/>
    <w:rsid w:val="003E096A"/>
    <w:rsid w:val="0040435A"/>
    <w:rsid w:val="00416A24"/>
    <w:rsid w:val="00431D9E"/>
    <w:rsid w:val="00433CE8"/>
    <w:rsid w:val="00434A5C"/>
    <w:rsid w:val="00453079"/>
    <w:rsid w:val="0045434C"/>
    <w:rsid w:val="004544D9"/>
    <w:rsid w:val="00470CB1"/>
    <w:rsid w:val="00472BAD"/>
    <w:rsid w:val="00484009"/>
    <w:rsid w:val="00490E72"/>
    <w:rsid w:val="00491157"/>
    <w:rsid w:val="00491BA9"/>
    <w:rsid w:val="004921C8"/>
    <w:rsid w:val="00495B0B"/>
    <w:rsid w:val="004A1B8B"/>
    <w:rsid w:val="004D1851"/>
    <w:rsid w:val="004D1F87"/>
    <w:rsid w:val="004D599D"/>
    <w:rsid w:val="004E0F4F"/>
    <w:rsid w:val="004E2EA5"/>
    <w:rsid w:val="004E3AEB"/>
    <w:rsid w:val="0050223C"/>
    <w:rsid w:val="005243FF"/>
    <w:rsid w:val="005641E8"/>
    <w:rsid w:val="00564FBC"/>
    <w:rsid w:val="005800BC"/>
    <w:rsid w:val="00582442"/>
    <w:rsid w:val="005C341E"/>
    <w:rsid w:val="005F3269"/>
    <w:rsid w:val="00623AE3"/>
    <w:rsid w:val="00641F82"/>
    <w:rsid w:val="0064737F"/>
    <w:rsid w:val="006535F1"/>
    <w:rsid w:val="0065557D"/>
    <w:rsid w:val="00660623"/>
    <w:rsid w:val="00660D50"/>
    <w:rsid w:val="00662984"/>
    <w:rsid w:val="006700A4"/>
    <w:rsid w:val="006716BB"/>
    <w:rsid w:val="00692A74"/>
    <w:rsid w:val="006B1859"/>
    <w:rsid w:val="006B6680"/>
    <w:rsid w:val="006B6DCC"/>
    <w:rsid w:val="006B77F1"/>
    <w:rsid w:val="00702DEF"/>
    <w:rsid w:val="00706861"/>
    <w:rsid w:val="00722551"/>
    <w:rsid w:val="0075051B"/>
    <w:rsid w:val="0077110E"/>
    <w:rsid w:val="00793188"/>
    <w:rsid w:val="00794D34"/>
    <w:rsid w:val="007A3FCD"/>
    <w:rsid w:val="007B19CF"/>
    <w:rsid w:val="007B5143"/>
    <w:rsid w:val="007D01AF"/>
    <w:rsid w:val="00813E5E"/>
    <w:rsid w:val="0083581B"/>
    <w:rsid w:val="00863874"/>
    <w:rsid w:val="00864AFF"/>
    <w:rsid w:val="00865925"/>
    <w:rsid w:val="008940C8"/>
    <w:rsid w:val="008B4A6A"/>
    <w:rsid w:val="008C7E27"/>
    <w:rsid w:val="008F7448"/>
    <w:rsid w:val="0090147A"/>
    <w:rsid w:val="009173EF"/>
    <w:rsid w:val="00932906"/>
    <w:rsid w:val="00961B0B"/>
    <w:rsid w:val="00962D33"/>
    <w:rsid w:val="00977F4B"/>
    <w:rsid w:val="009B38C3"/>
    <w:rsid w:val="009E17BD"/>
    <w:rsid w:val="009E485A"/>
    <w:rsid w:val="00A04CEC"/>
    <w:rsid w:val="00A27F92"/>
    <w:rsid w:val="00A32257"/>
    <w:rsid w:val="00A36D20"/>
    <w:rsid w:val="00A514A4"/>
    <w:rsid w:val="00A55622"/>
    <w:rsid w:val="00A83502"/>
    <w:rsid w:val="00A94BAB"/>
    <w:rsid w:val="00AD0351"/>
    <w:rsid w:val="00AD15B3"/>
    <w:rsid w:val="00AD3606"/>
    <w:rsid w:val="00AD4A3D"/>
    <w:rsid w:val="00AF6E49"/>
    <w:rsid w:val="00B036CE"/>
    <w:rsid w:val="00B04A67"/>
    <w:rsid w:val="00B0583C"/>
    <w:rsid w:val="00B40A81"/>
    <w:rsid w:val="00B44910"/>
    <w:rsid w:val="00B72267"/>
    <w:rsid w:val="00B76EB6"/>
    <w:rsid w:val="00B7737B"/>
    <w:rsid w:val="00B824C8"/>
    <w:rsid w:val="00B84B9D"/>
    <w:rsid w:val="00B9131F"/>
    <w:rsid w:val="00BA5457"/>
    <w:rsid w:val="00BB0646"/>
    <w:rsid w:val="00BB1624"/>
    <w:rsid w:val="00BC251A"/>
    <w:rsid w:val="00BC4A20"/>
    <w:rsid w:val="00BD032B"/>
    <w:rsid w:val="00BE01C6"/>
    <w:rsid w:val="00BE2640"/>
    <w:rsid w:val="00BF1FDE"/>
    <w:rsid w:val="00C01189"/>
    <w:rsid w:val="00C0458D"/>
    <w:rsid w:val="00C374DE"/>
    <w:rsid w:val="00C41528"/>
    <w:rsid w:val="00C46178"/>
    <w:rsid w:val="00C47AD4"/>
    <w:rsid w:val="00C52D81"/>
    <w:rsid w:val="00C55198"/>
    <w:rsid w:val="00C6520B"/>
    <w:rsid w:val="00C80D4B"/>
    <w:rsid w:val="00CA6393"/>
    <w:rsid w:val="00CA7995"/>
    <w:rsid w:val="00CB18FF"/>
    <w:rsid w:val="00CD0C08"/>
    <w:rsid w:val="00CE03FB"/>
    <w:rsid w:val="00CE433C"/>
    <w:rsid w:val="00CF0161"/>
    <w:rsid w:val="00CF33F3"/>
    <w:rsid w:val="00CF4A2B"/>
    <w:rsid w:val="00D024CA"/>
    <w:rsid w:val="00D06183"/>
    <w:rsid w:val="00D22C42"/>
    <w:rsid w:val="00D424CF"/>
    <w:rsid w:val="00D65041"/>
    <w:rsid w:val="00DB1936"/>
    <w:rsid w:val="00DB384B"/>
    <w:rsid w:val="00DC2786"/>
    <w:rsid w:val="00DF0189"/>
    <w:rsid w:val="00E06FD5"/>
    <w:rsid w:val="00E10E80"/>
    <w:rsid w:val="00E124F0"/>
    <w:rsid w:val="00E227F3"/>
    <w:rsid w:val="00E44EAB"/>
    <w:rsid w:val="00E545C6"/>
    <w:rsid w:val="00E60F04"/>
    <w:rsid w:val="00E65B24"/>
    <w:rsid w:val="00E854E4"/>
    <w:rsid w:val="00E86DBF"/>
    <w:rsid w:val="00E969AF"/>
    <w:rsid w:val="00E973F4"/>
    <w:rsid w:val="00EB0D6F"/>
    <w:rsid w:val="00EB2232"/>
    <w:rsid w:val="00EC5337"/>
    <w:rsid w:val="00EE32BD"/>
    <w:rsid w:val="00EE49E8"/>
    <w:rsid w:val="00F16BAB"/>
    <w:rsid w:val="00F2150A"/>
    <w:rsid w:val="00F231D8"/>
    <w:rsid w:val="00F44C00"/>
    <w:rsid w:val="00F44C80"/>
    <w:rsid w:val="00F45D2C"/>
    <w:rsid w:val="00F46C5F"/>
    <w:rsid w:val="00F632C0"/>
    <w:rsid w:val="00F641E1"/>
    <w:rsid w:val="00F94A63"/>
    <w:rsid w:val="00FA1C28"/>
    <w:rsid w:val="00FB1279"/>
    <w:rsid w:val="00FB6B76"/>
    <w:rsid w:val="00FB7596"/>
    <w:rsid w:val="00FC01C9"/>
    <w:rsid w:val="00FC39AB"/>
    <w:rsid w:val="00FE3EEF"/>
    <w:rsid w:val="00FE4077"/>
    <w:rsid w:val="00FE500D"/>
    <w:rsid w:val="00FE77D2"/>
    <w:rsid w:val="00FF39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3C55D6"/>
  <w15:docId w15:val="{FAC9E41E-FAFF-4627-A5E2-05A7C02D6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B9131F"/>
    <w:pPr>
      <w:keepNext/>
      <w:keepLines/>
      <w:spacing w:before="360"/>
      <w:ind w:left="567" w:hanging="567"/>
      <w:outlineLvl w:val="0"/>
    </w:pPr>
    <w:rPr>
      <w:b/>
      <w:sz w:val="28"/>
    </w:rPr>
  </w:style>
  <w:style w:type="paragraph" w:styleId="Heading2">
    <w:name w:val="heading 2"/>
    <w:basedOn w:val="Heading1"/>
    <w:next w:val="Normal"/>
    <w:qFormat/>
    <w:rsid w:val="00B9131F"/>
    <w:pPr>
      <w:spacing w:before="240"/>
      <w:outlineLvl w:val="1"/>
    </w:pPr>
    <w:rPr>
      <w:sz w:val="24"/>
    </w:rPr>
  </w:style>
  <w:style w:type="paragraph" w:styleId="Heading3">
    <w:name w:val="heading 3"/>
    <w:basedOn w:val="Heading1"/>
    <w:next w:val="Normal"/>
    <w:qFormat/>
    <w:rsid w:val="00B9131F"/>
    <w:pPr>
      <w:spacing w:before="200"/>
      <w:outlineLvl w:val="2"/>
    </w:pPr>
    <w:rPr>
      <w:sz w:val="24"/>
    </w:rPr>
  </w:style>
  <w:style w:type="paragraph" w:styleId="Heading4">
    <w:name w:val="heading 4"/>
    <w:basedOn w:val="Heading3"/>
    <w:next w:val="Normal"/>
    <w:qFormat/>
    <w:rsid w:val="00B9131F"/>
    <w:pPr>
      <w:ind w:left="1134" w:hanging="1134"/>
      <w:outlineLvl w:val="3"/>
    </w:pPr>
  </w:style>
  <w:style w:type="paragraph" w:styleId="Heading5">
    <w:name w:val="heading 5"/>
    <w:basedOn w:val="Heading4"/>
    <w:next w:val="Normal"/>
    <w:qFormat/>
    <w:rsid w:val="00B9131F"/>
    <w:pPr>
      <w:outlineLvl w:val="4"/>
    </w:pPr>
  </w:style>
  <w:style w:type="paragraph" w:styleId="Heading6">
    <w:name w:val="heading 6"/>
    <w:basedOn w:val="Heading4"/>
    <w:next w:val="Normal"/>
    <w:qFormat/>
    <w:rsid w:val="00B9131F"/>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B9131F"/>
    <w:pPr>
      <w:ind w:left="1701" w:hanging="1701"/>
      <w:outlineLvl w:val="7"/>
    </w:pPr>
  </w:style>
  <w:style w:type="paragraph" w:styleId="Heading9">
    <w:name w:val="heading 9"/>
    <w:basedOn w:val="Heading4"/>
    <w:next w:val="Normal"/>
    <w:qFormat/>
    <w:rsid w:val="00B9131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B9131F"/>
    <w:rPr>
      <w:rFonts w:asciiTheme="minorHAnsi" w:hAnsiTheme="minorHAnsi"/>
      <w:sz w:val="24"/>
    </w:rPr>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D024CA"/>
    <w:pPr>
      <w:keepLines/>
      <w:tabs>
        <w:tab w:val="left" w:pos="284"/>
      </w:tabs>
      <w:ind w:left="284" w:hanging="284"/>
    </w:pPr>
    <w:rPr>
      <w:sz w:val="22"/>
    </w:rPr>
  </w:style>
  <w:style w:type="paragraph" w:styleId="NormalIndent">
    <w:name w:val="Normal Indent"/>
    <w:basedOn w:val="Normal"/>
    <w:rsid w:val="00813E5E"/>
    <w:pPr>
      <w:ind w:left="567"/>
    </w:pPr>
  </w:style>
  <w:style w:type="paragraph" w:customStyle="1" w:styleId="enumlev1">
    <w:name w:val="enumlev1"/>
    <w:basedOn w:val="Normal"/>
    <w:qFormat/>
    <w:rsid w:val="001A3154"/>
    <w:pPr>
      <w:spacing w:before="80"/>
      <w:ind w:left="567" w:hanging="567"/>
    </w:pPr>
  </w:style>
  <w:style w:type="paragraph" w:customStyle="1" w:styleId="enumlev2">
    <w:name w:val="enumlev2"/>
    <w:basedOn w:val="enumlev1"/>
    <w:qFormat/>
    <w:rsid w:val="001A3154"/>
    <w:pPr>
      <w:ind w:left="1134"/>
    </w:pPr>
  </w:style>
  <w:style w:type="paragraph" w:customStyle="1" w:styleId="enumlev3">
    <w:name w:val="enumlev3"/>
    <w:basedOn w:val="enumlev2"/>
    <w:qFormat/>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5641E8"/>
    <w:pPr>
      <w:framePr w:hSpace="180" w:wrap="around" w:vAnchor="page" w:hAnchor="page" w:x="1821" w:y="2317"/>
      <w:spacing w:before="840"/>
    </w:pPr>
    <w:rPr>
      <w:b/>
      <w:sz w:val="34"/>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B9131F"/>
    <w:rPr>
      <w:color w:val="4F81BD" w:themeColor="accent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B9131F"/>
    <w:pPr>
      <w:spacing w:before="160"/>
      <w:ind w:left="0" w:firstLine="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qFormat/>
    <w:rsid w:val="00221F46"/>
    <w:pPr>
      <w:keepNext/>
      <w:keepLines/>
      <w:spacing w:before="720"/>
      <w:jc w:val="center"/>
    </w:pPr>
    <w:rPr>
      <w:caps/>
      <w:sz w:val="28"/>
    </w:rPr>
  </w:style>
  <w:style w:type="paragraph" w:customStyle="1" w:styleId="Annextitle">
    <w:name w:val="Annex_title"/>
    <w:basedOn w:val="Normal"/>
    <w:next w:val="Normal"/>
    <w:qFormat/>
    <w:rsid w:val="00221F46"/>
    <w:pPr>
      <w:keepNext/>
      <w:keepLines/>
      <w:spacing w:after="240"/>
      <w:jc w:val="center"/>
    </w:pPr>
    <w:rPr>
      <w:b/>
      <w:sz w:val="28"/>
    </w:rPr>
  </w:style>
  <w:style w:type="paragraph" w:customStyle="1" w:styleId="Annexref">
    <w:name w:val="Annex_ref"/>
    <w:basedOn w:val="Normal"/>
    <w:next w:val="Annextitle"/>
    <w:qFormat/>
    <w:rsid w:val="00221F46"/>
    <w:pPr>
      <w:keepNext/>
      <w:keepLines/>
      <w:jc w:val="center"/>
    </w:pPr>
  </w:style>
  <w:style w:type="paragraph" w:customStyle="1" w:styleId="Call">
    <w:name w:val="Call"/>
    <w:basedOn w:val="Normal"/>
    <w:next w:val="Normal"/>
    <w:qFormat/>
    <w:rsid w:val="00F641E1"/>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176F47"/>
    <w:pPr>
      <w:framePr w:wrap="around" w:vAnchor="margin" w:hAnchor="text"/>
      <w:spacing w:before="120" w:after="120"/>
    </w:pPr>
    <w:rPr>
      <w:sz w:val="32"/>
      <w:szCs w:val="32"/>
    </w:rPr>
  </w:style>
  <w:style w:type="paragraph" w:customStyle="1" w:styleId="Figure">
    <w:name w:val="Figure"/>
    <w:basedOn w:val="Normal"/>
    <w:next w:val="Figuretitle"/>
    <w:qFormat/>
    <w:rsid w:val="001A3154"/>
    <w:pPr>
      <w:spacing w:after="240"/>
      <w:jc w:val="center"/>
    </w:pPr>
  </w:style>
  <w:style w:type="paragraph" w:customStyle="1" w:styleId="Figuretitle">
    <w:name w:val="Figure_title"/>
    <w:basedOn w:val="Tabletitle"/>
    <w:next w:val="Normalaftertitle"/>
    <w:qFormat/>
    <w:rsid w:val="001A3154"/>
    <w:pPr>
      <w:spacing w:before="120" w:after="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qFormat/>
    <w:rsid w:val="00B9131F"/>
    <w:pPr>
      <w:spacing w:before="20" w:after="240"/>
    </w:pPr>
    <w:rPr>
      <w:sz w:val="20"/>
    </w:rPr>
  </w:style>
  <w:style w:type="paragraph" w:customStyle="1" w:styleId="FigureNo">
    <w:name w:val="Figure_No"/>
    <w:basedOn w:val="Normal"/>
    <w:next w:val="Figuretitle"/>
    <w:qFormat/>
    <w:rsid w:val="001A3154"/>
    <w:pPr>
      <w:keepNext/>
      <w:keepLines/>
      <w:spacing w:before="480"/>
      <w:jc w:val="center"/>
    </w:pPr>
    <w:rPr>
      <w:caps/>
    </w:rPr>
  </w:style>
  <w:style w:type="paragraph" w:customStyle="1" w:styleId="Figurewithouttitle">
    <w:name w:val="Figure_without_title"/>
    <w:basedOn w:val="Figure"/>
    <w:next w:val="Normalaftertitle"/>
    <w:rsid w:val="001A3154"/>
  </w:style>
  <w:style w:type="paragraph" w:customStyle="1" w:styleId="Headingi">
    <w:name w:val="Heading_i"/>
    <w:basedOn w:val="Heading3"/>
    <w:next w:val="Normal"/>
    <w:rsid w:val="00B9131F"/>
    <w:pPr>
      <w:spacing w:before="160"/>
      <w:ind w:left="0" w:firstLine="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qFormat/>
    <w:rsid w:val="00F641E1"/>
    <w:pPr>
      <w:keepNext/>
      <w:keepLines/>
      <w:tabs>
        <w:tab w:val="clear" w:pos="567"/>
        <w:tab w:val="clear" w:pos="1134"/>
        <w:tab w:val="clear" w:pos="1701"/>
        <w:tab w:val="clear" w:pos="2268"/>
        <w:tab w:val="clear" w:pos="2835"/>
      </w:tabs>
      <w:spacing w:before="360"/>
      <w:jc w:val="center"/>
    </w:pPr>
    <w:rPr>
      <w:b/>
    </w:rPr>
  </w:style>
  <w:style w:type="paragraph" w:customStyle="1" w:styleId="ArtNo">
    <w:name w:val="Art_No"/>
    <w:basedOn w:val="Normal"/>
    <w:next w:val="Arttitle"/>
    <w:qFormat/>
    <w:rsid w:val="00F641E1"/>
    <w:pPr>
      <w:keepNext/>
      <w:keepLines/>
      <w:tabs>
        <w:tab w:val="clear" w:pos="567"/>
        <w:tab w:val="clear" w:pos="1134"/>
        <w:tab w:val="clear" w:pos="1701"/>
        <w:tab w:val="clear" w:pos="2268"/>
        <w:tab w:val="clear" w:pos="2835"/>
      </w:tabs>
      <w:spacing w:before="480"/>
      <w:jc w:val="center"/>
    </w:pPr>
    <w:rPr>
      <w:caps/>
      <w:sz w:val="28"/>
    </w:rPr>
  </w:style>
  <w:style w:type="paragraph" w:customStyle="1" w:styleId="Arttitle">
    <w:name w:val="Art_title"/>
    <w:basedOn w:val="Normal"/>
    <w:next w:val="Normal"/>
    <w:qFormat/>
    <w:rsid w:val="00F641E1"/>
    <w:pPr>
      <w:keepNext/>
      <w:keepLines/>
      <w:tabs>
        <w:tab w:val="clear" w:pos="567"/>
        <w:tab w:val="clear" w:pos="1134"/>
        <w:tab w:val="clear" w:pos="1701"/>
        <w:tab w:val="clear" w:pos="2268"/>
        <w:tab w:val="clear" w:pos="2835"/>
      </w:tabs>
      <w:spacing w:after="240"/>
      <w:jc w:val="center"/>
    </w:pPr>
    <w:rPr>
      <w:b/>
      <w:sz w:val="28"/>
    </w:rPr>
  </w:style>
  <w:style w:type="paragraph" w:customStyle="1" w:styleId="ChapNo">
    <w:name w:val="Chap_No"/>
    <w:basedOn w:val="ArtNo"/>
    <w:next w:val="Chaptitle"/>
    <w:qFormat/>
    <w:rsid w:val="00813E5E"/>
  </w:style>
  <w:style w:type="paragraph" w:customStyle="1" w:styleId="Chaptitle">
    <w:name w:val="Chap_title"/>
    <w:basedOn w:val="Arttitle"/>
    <w:next w:val="Normal"/>
    <w:qFormat/>
    <w:rsid w:val="001A3154"/>
  </w:style>
  <w:style w:type="character" w:styleId="UnresolvedMention">
    <w:name w:val="Unresolved Mention"/>
    <w:basedOn w:val="DefaultParagraphFont"/>
    <w:uiPriority w:val="99"/>
    <w:semiHidden/>
    <w:unhideWhenUsed/>
    <w:rsid w:val="00BF1FDE"/>
    <w:rPr>
      <w:color w:val="605E5C"/>
      <w:shd w:val="clear" w:color="auto" w:fill="E1DFDD"/>
    </w:rPr>
  </w:style>
  <w:style w:type="character" w:styleId="PlaceholderText">
    <w:name w:val="Placeholder Text"/>
    <w:basedOn w:val="DefaultParagraphFont"/>
    <w:uiPriority w:val="99"/>
    <w:semiHidden/>
    <w:rsid w:val="00CA7995"/>
    <w:rPr>
      <w:color w:val="666666"/>
    </w:rPr>
  </w:style>
  <w:style w:type="paragraph" w:customStyle="1" w:styleId="Reasons">
    <w:name w:val="Reasons"/>
    <w:basedOn w:val="Normal"/>
    <w:qFormat/>
    <w:rsid w:val="007A3FCD"/>
    <w:pPr>
      <w:tabs>
        <w:tab w:val="clear" w:pos="567"/>
        <w:tab w:val="clear" w:pos="1134"/>
        <w:tab w:val="clear" w:pos="1701"/>
        <w:tab w:val="clear" w:pos="2268"/>
        <w:tab w:val="clear" w:pos="2835"/>
      </w:tabs>
      <w:overflowPunct/>
      <w:autoSpaceDE/>
      <w:autoSpaceDN/>
      <w:adjustRightInd/>
      <w:spacing w:before="0"/>
      <w:textAlignment w:val="auto"/>
    </w:pPr>
    <w:rPr>
      <w:rFonts w:ascii="Times New Roman" w:hAnsi="Times New Roman"/>
      <w:lang w:val="en-US"/>
    </w:rPr>
  </w:style>
  <w:style w:type="character" w:styleId="CommentReference">
    <w:name w:val="annotation reference"/>
    <w:basedOn w:val="DefaultParagraphFont"/>
    <w:semiHidden/>
    <w:unhideWhenUsed/>
    <w:rsid w:val="00343CED"/>
    <w:rPr>
      <w:sz w:val="16"/>
      <w:szCs w:val="16"/>
    </w:rPr>
  </w:style>
  <w:style w:type="paragraph" w:styleId="CommentText">
    <w:name w:val="annotation text"/>
    <w:basedOn w:val="Normal"/>
    <w:link w:val="CommentTextChar"/>
    <w:unhideWhenUsed/>
    <w:rsid w:val="00343CED"/>
    <w:rPr>
      <w:sz w:val="20"/>
    </w:rPr>
  </w:style>
  <w:style w:type="character" w:customStyle="1" w:styleId="CommentTextChar">
    <w:name w:val="Comment Text Char"/>
    <w:basedOn w:val="DefaultParagraphFont"/>
    <w:link w:val="CommentText"/>
    <w:rsid w:val="00343CED"/>
    <w:rPr>
      <w:rFonts w:ascii="Calibri" w:hAnsi="Calibri"/>
      <w:lang w:val="en-GB" w:eastAsia="en-US"/>
    </w:rPr>
  </w:style>
  <w:style w:type="paragraph" w:styleId="CommentSubject">
    <w:name w:val="annotation subject"/>
    <w:basedOn w:val="CommentText"/>
    <w:next w:val="CommentText"/>
    <w:link w:val="CommentSubjectChar"/>
    <w:semiHidden/>
    <w:unhideWhenUsed/>
    <w:rsid w:val="00343CED"/>
    <w:rPr>
      <w:b/>
      <w:bCs/>
    </w:rPr>
  </w:style>
  <w:style w:type="character" w:customStyle="1" w:styleId="CommentSubjectChar">
    <w:name w:val="Comment Subject Char"/>
    <w:basedOn w:val="CommentTextChar"/>
    <w:link w:val="CommentSubject"/>
    <w:semiHidden/>
    <w:rsid w:val="00343CED"/>
    <w:rPr>
      <w:rFonts w:ascii="Calibri" w:hAnsi="Calibri"/>
      <w:b/>
      <w:bCs/>
      <w:lang w:val="en-GB" w:eastAsia="en-US"/>
    </w:rPr>
  </w:style>
  <w:style w:type="paragraph" w:styleId="Revision">
    <w:name w:val="Revision"/>
    <w:hidden/>
    <w:uiPriority w:val="99"/>
    <w:semiHidden/>
    <w:rsid w:val="00977F4B"/>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en/ethics/Documents/SO-2024-009-OU-E.pdf" TargetMode="External"/><Relationship Id="rId18" Type="http://schemas.openxmlformats.org/officeDocument/2006/relationships/hyperlink" Target="https://www.itu.int/en/ethics/Documents/SO-2020-006-en.pdf" TargetMode="External"/><Relationship Id="rId26" Type="http://schemas.openxmlformats.org/officeDocument/2006/relationships/hyperlink" Target="https://www.itu.int/md/S24-CL-C-0109/en" TargetMode="External"/><Relationship Id="rId39" Type="http://schemas.openxmlformats.org/officeDocument/2006/relationships/theme" Target="theme/theme1.xml"/><Relationship Id="rId21" Type="http://schemas.openxmlformats.org/officeDocument/2006/relationships/hyperlink" Target="https://www.itu.int/en/ethics/Documents/SO-2019-010-en.pdf"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council.itu.int/2024/wp-content/uploads/sites/4/2024/05/Staff-Regulations-and-Staff-Rules-2024-secured-E.pdf" TargetMode="External"/><Relationship Id="rId17" Type="http://schemas.openxmlformats.org/officeDocument/2006/relationships/hyperlink" Target="https://www.itu.int/en/ethics/Documents/SO-2022-003-en.pdf" TargetMode="External"/><Relationship Id="rId25" Type="http://schemas.openxmlformats.org/officeDocument/2006/relationships/hyperlink" Target="https://www.itu.int/en/ethics/Documents/SO-2024-009-OU-E.pdf"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tu.int/en/ethics/Documents/SO-2019-009-en.pdf" TargetMode="External"/><Relationship Id="rId20" Type="http://schemas.openxmlformats.org/officeDocument/2006/relationships/hyperlink" Target="https://www.itu.int/en/ethics/Documents/SO-2011-003-en.pdf" TargetMode="External"/><Relationship Id="rId29" Type="http://schemas.openxmlformats.org/officeDocument/2006/relationships/hyperlink" Target="https://www.itu.int/en/ethics/Documents/SO-2019-009-en.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2-CL-C-0057/en" TargetMode="External"/><Relationship Id="rId24" Type="http://schemas.openxmlformats.org/officeDocument/2006/relationships/hyperlink" Target="https://www.itu.int/md/S24-CL-C-0120/en"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itu.int/en/ethics/Documents/SO-2011-002-en.pdf" TargetMode="External"/><Relationship Id="rId23" Type="http://schemas.openxmlformats.org/officeDocument/2006/relationships/hyperlink" Target="https://www.unjiu.org/sites/www.unjiu.org/files/jiu_rep_2023_2_english_0.pdf" TargetMode="External"/><Relationship Id="rId28" Type="http://schemas.openxmlformats.org/officeDocument/2006/relationships/hyperlink" Target="https://www.itu.int/en/ethics/Documents/SO-2011-002-en.pdf" TargetMode="External"/><Relationship Id="rId36" Type="http://schemas.openxmlformats.org/officeDocument/2006/relationships/header" Target="header3.xml"/><Relationship Id="rId10" Type="http://schemas.openxmlformats.org/officeDocument/2006/relationships/hyperlink" Target="https://www.itu.int/md/S24-CL-C-0120/en" TargetMode="External"/><Relationship Id="rId19" Type="http://schemas.openxmlformats.org/officeDocument/2006/relationships/hyperlink" Target="https://www.itu.int/en/ethics/Documents/SO-2022-002-en.pdf" TargetMode="External"/><Relationship Id="rId31" Type="http://schemas.openxmlformats.org/officeDocument/2006/relationships/hyperlink" Target="https://www.itu.int/en/ethics/Documents/SO-2020-006-en.pdf" TargetMode="External"/><Relationship Id="rId4" Type="http://schemas.openxmlformats.org/officeDocument/2006/relationships/settings" Target="settings.xml"/><Relationship Id="rId9" Type="http://schemas.openxmlformats.org/officeDocument/2006/relationships/hyperlink" Target="https://www.itu.int/md/S24-CL-C-0109/en" TargetMode="External"/><Relationship Id="rId14" Type="http://schemas.openxmlformats.org/officeDocument/2006/relationships/hyperlink" Target="https://www.itu.int/en/ethics/Documents/SO-2017-007-en.pdf" TargetMode="External"/><Relationship Id="rId22" Type="http://schemas.openxmlformats.org/officeDocument/2006/relationships/hyperlink" Target="https://www.unjiu.org/sites/www.unjiu.org/files/jiu_rep_2020_1_english_0.pdf" TargetMode="External"/><Relationship Id="rId27" Type="http://schemas.openxmlformats.org/officeDocument/2006/relationships/hyperlink" Target="https://www.itu.int/en/ethics/Documents/SO-2017-007-en.pdf" TargetMode="External"/><Relationship Id="rId30" Type="http://schemas.openxmlformats.org/officeDocument/2006/relationships/hyperlink" Target="https://www.itu.int/en/ethics/Documents/SO-2022-003-en.pdf" TargetMode="External"/><Relationship Id="rId35" Type="http://schemas.openxmlformats.org/officeDocument/2006/relationships/footer" Target="footer2.xml"/><Relationship Id="rId8" Type="http://schemas.openxmlformats.org/officeDocument/2006/relationships/hyperlink" Target="https://www.itu.int/md/S18-CL-C-0116/en" TargetMode="External"/><Relationship Id="rId3" Type="http://schemas.openxmlformats.org/officeDocument/2006/relationships/styles" Target="styles.xml"/></Relationships>
</file>

<file path=word/_rels/footer3.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vino\AppData\Roaming\Microsoft\Templates\PE_Council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PE_Council25.dotx</Template>
  <TotalTime>1</TotalTime>
  <Pages>3</Pages>
  <Words>1068</Words>
  <Characters>6151</Characters>
  <Application>Microsoft Office Word</Application>
  <DocSecurity>0</DocSecurity>
  <Lines>112</Lines>
  <Paragraphs>43</Paragraphs>
  <ScaleCrop>false</ScaleCrop>
  <HeadingPairs>
    <vt:vector size="2" baseType="variant">
      <vt:variant>
        <vt:lpstr>Title</vt:lpstr>
      </vt:variant>
      <vt:variant>
        <vt:i4>1</vt:i4>
      </vt:variant>
    </vt:vector>
  </HeadingPairs>
  <TitlesOfParts>
    <vt:vector size="1" baseType="lpstr">
      <vt:lpstr>Council 2025</vt:lpstr>
    </vt:vector>
  </TitlesOfParts>
  <Manager>General Secretariat</Manager>
  <Company>International Telecommunication Union (ITU)</Company>
  <LinksUpToDate>false</LinksUpToDate>
  <CharactersWithSpaces>7186</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Proposals for further improvement of the internal oversight system in ITU</dc:title>
  <dc:subject>Council 2025</dc:subject>
  <cp:keywords>C25; C2025; Council 2025; ITU160</cp:keywords>
  <dc:description/>
  <cp:lastPrinted>2000-07-18T13:30:00Z</cp:lastPrinted>
  <dcterms:created xsi:type="dcterms:W3CDTF">2025-06-17T15:12:00Z</dcterms:created>
  <dcterms:modified xsi:type="dcterms:W3CDTF">2025-06-17T15:12:00Z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GrammarlyDocumentId">
    <vt:lpwstr>caebc3b039d2086fae139bdca98a6c61c028c4ec16ce6ef236d196610d84ef77</vt:lpwstr>
  </property>
</Properties>
</file>