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13E1B639" w14:textId="77777777" w:rsidTr="008E6D9D">
        <w:tc>
          <w:tcPr>
            <w:tcW w:w="6105" w:type="dxa"/>
          </w:tcPr>
          <w:p w14:paraId="139A2062" w14:textId="5B238CE5" w:rsidR="007B0AA0" w:rsidRPr="007B0AA0" w:rsidRDefault="007B0AA0" w:rsidP="00F363FE">
            <w:pPr>
              <w:spacing w:before="60" w:after="60" w:line="260" w:lineRule="exact"/>
              <w:rPr>
                <w:b/>
                <w:bCs/>
              </w:rPr>
            </w:pPr>
            <w:r w:rsidRPr="007B0AA0">
              <w:rPr>
                <w:rFonts w:hint="cs"/>
                <w:b/>
                <w:bCs/>
                <w:rtl/>
                <w:lang w:bidi="ar-EG"/>
              </w:rPr>
              <w:t>بند جدول الأعمال:</w:t>
            </w:r>
            <w:r w:rsidR="00D43D6B">
              <w:rPr>
                <w:rFonts w:hint="cs"/>
                <w:b/>
                <w:bCs/>
                <w:rtl/>
              </w:rPr>
              <w:t xml:space="preserve"> </w:t>
            </w:r>
            <w:r w:rsidR="00283117">
              <w:rPr>
                <w:b/>
                <w:bCs/>
              </w:rPr>
              <w:t>ADM</w:t>
            </w:r>
            <w:r w:rsidR="00C135C4">
              <w:rPr>
                <w:b/>
                <w:bCs/>
              </w:rPr>
              <w:t xml:space="preserve"> </w:t>
            </w:r>
            <w:r w:rsidR="00283117">
              <w:rPr>
                <w:b/>
                <w:bCs/>
              </w:rPr>
              <w:t>2</w:t>
            </w:r>
          </w:p>
        </w:tc>
        <w:tc>
          <w:tcPr>
            <w:tcW w:w="2966" w:type="dxa"/>
          </w:tcPr>
          <w:p w14:paraId="1AD90D58" w14:textId="38DB205C" w:rsidR="007B0AA0" w:rsidRPr="007B0AA0" w:rsidRDefault="00303CCA" w:rsidP="009159BC">
            <w:pPr>
              <w:spacing w:before="60" w:after="60" w:line="260" w:lineRule="exact"/>
              <w:jc w:val="left"/>
              <w:rPr>
                <w:b/>
                <w:bCs/>
                <w:lang w:bidi="ar-EG"/>
              </w:rPr>
            </w:pPr>
            <w:r>
              <w:rPr>
                <w:rFonts w:hint="cs"/>
                <w:b/>
                <w:bCs/>
                <w:rtl/>
                <w:lang w:bidi="ar-EG"/>
              </w:rPr>
              <w:t>ا</w:t>
            </w:r>
            <w:r w:rsidR="00283117">
              <w:rPr>
                <w:rFonts w:hint="cs"/>
                <w:b/>
                <w:bCs/>
                <w:rtl/>
                <w:lang w:bidi="ar-EG"/>
              </w:rPr>
              <w:t>ل</w:t>
            </w:r>
            <w:r w:rsidR="00283117" w:rsidRPr="007B0AA0">
              <w:rPr>
                <w:rFonts w:hint="cs"/>
                <w:b/>
                <w:bCs/>
                <w:rtl/>
                <w:lang w:bidi="ar-EG"/>
              </w:rPr>
              <w:t xml:space="preserve">وثيقة </w:t>
            </w:r>
            <w:r w:rsidR="007B0AA0" w:rsidRPr="007B0AA0">
              <w:rPr>
                <w:b/>
                <w:bCs/>
                <w:lang w:bidi="ar-EG"/>
              </w:rPr>
              <w:t>C2</w:t>
            </w:r>
            <w:r w:rsidR="006F363C">
              <w:rPr>
                <w:b/>
                <w:bCs/>
                <w:lang w:bidi="ar-EG"/>
              </w:rPr>
              <w:t>5</w:t>
            </w:r>
            <w:r w:rsidR="007B0AA0" w:rsidRPr="007B0AA0">
              <w:rPr>
                <w:b/>
                <w:bCs/>
                <w:lang w:bidi="ar-EG"/>
              </w:rPr>
              <w:t>/</w:t>
            </w:r>
            <w:r w:rsidR="008E6D9D">
              <w:rPr>
                <w:b/>
                <w:bCs/>
                <w:lang w:bidi="ar-EG"/>
              </w:rPr>
              <w:t>87</w:t>
            </w:r>
            <w:r>
              <w:rPr>
                <w:b/>
                <w:bCs/>
                <w:lang w:bidi="ar-EG"/>
              </w:rPr>
              <w:t>(Rev.1)</w:t>
            </w:r>
            <w:r w:rsidR="007B0AA0" w:rsidRPr="007B0AA0">
              <w:rPr>
                <w:b/>
                <w:bCs/>
                <w:lang w:bidi="ar-EG"/>
              </w:rPr>
              <w:t>-A</w:t>
            </w:r>
          </w:p>
        </w:tc>
      </w:tr>
      <w:tr w:rsidR="007B0AA0" w14:paraId="34501F94" w14:textId="77777777" w:rsidTr="008E6D9D">
        <w:tc>
          <w:tcPr>
            <w:tcW w:w="6105" w:type="dxa"/>
          </w:tcPr>
          <w:p w14:paraId="55186699" w14:textId="77777777" w:rsidR="007B0AA0" w:rsidRPr="007B0AA0" w:rsidRDefault="007B0AA0" w:rsidP="00F363FE">
            <w:pPr>
              <w:spacing w:before="60" w:after="60" w:line="260" w:lineRule="exact"/>
              <w:rPr>
                <w:b/>
                <w:bCs/>
                <w:rtl/>
                <w:lang w:bidi="ar-EG"/>
              </w:rPr>
            </w:pPr>
          </w:p>
        </w:tc>
        <w:tc>
          <w:tcPr>
            <w:tcW w:w="2966" w:type="dxa"/>
          </w:tcPr>
          <w:p w14:paraId="2424D6C6" w14:textId="57790042" w:rsidR="007B0AA0" w:rsidRPr="007B0AA0" w:rsidRDefault="008E6D9D" w:rsidP="00F363FE">
            <w:pPr>
              <w:spacing w:before="60" w:after="60" w:line="260" w:lineRule="exact"/>
              <w:rPr>
                <w:b/>
                <w:bCs/>
                <w:rtl/>
                <w:lang w:bidi="ar-EG"/>
              </w:rPr>
            </w:pPr>
            <w:r w:rsidRPr="008E6D9D">
              <w:rPr>
                <w:b/>
                <w:bCs/>
                <w:rtl/>
                <w:lang w:bidi="ar-EG"/>
              </w:rPr>
              <w:t>‏</w:t>
            </w:r>
            <w:r w:rsidR="00283117">
              <w:rPr>
                <w:b/>
                <w:bCs/>
                <w:lang w:bidi="ar-EG"/>
              </w:rPr>
              <w:t>13</w:t>
            </w:r>
            <w:r w:rsidRPr="008E6D9D">
              <w:rPr>
                <w:b/>
                <w:bCs/>
                <w:rtl/>
                <w:lang w:bidi="ar-EG"/>
              </w:rPr>
              <w:t xml:space="preserve"> يونيو 2025‏</w:t>
            </w:r>
          </w:p>
        </w:tc>
      </w:tr>
      <w:tr w:rsidR="007B0AA0" w14:paraId="6F142483" w14:textId="77777777" w:rsidTr="008E6D9D">
        <w:tc>
          <w:tcPr>
            <w:tcW w:w="6105" w:type="dxa"/>
          </w:tcPr>
          <w:p w14:paraId="00D84CB5" w14:textId="77777777" w:rsidR="007B0AA0" w:rsidRPr="007B0AA0" w:rsidRDefault="007B0AA0" w:rsidP="00F363FE">
            <w:pPr>
              <w:spacing w:before="60" w:after="60" w:line="260" w:lineRule="exact"/>
              <w:rPr>
                <w:b/>
                <w:bCs/>
                <w:rtl/>
                <w:lang w:bidi="ar-EG"/>
              </w:rPr>
            </w:pPr>
          </w:p>
        </w:tc>
        <w:tc>
          <w:tcPr>
            <w:tcW w:w="2966" w:type="dxa"/>
          </w:tcPr>
          <w:p w14:paraId="05036A5D" w14:textId="7B7C51F0" w:rsidR="007B0AA0" w:rsidRPr="007B0AA0" w:rsidRDefault="001D64C7" w:rsidP="008E6D9D">
            <w:pPr>
              <w:spacing w:before="60" w:after="60" w:line="260" w:lineRule="exact"/>
              <w:rPr>
                <w:b/>
                <w:bCs/>
                <w:rtl/>
                <w:lang w:bidi="ar-EG"/>
              </w:rPr>
            </w:pPr>
            <w:r w:rsidRPr="007B0AA0">
              <w:rPr>
                <w:rFonts w:hint="cs"/>
                <w:b/>
                <w:bCs/>
                <w:rtl/>
                <w:lang w:bidi="ar-EG"/>
              </w:rPr>
              <w:t xml:space="preserve">الأصل: </w:t>
            </w:r>
            <w:r w:rsidR="008E6D9D" w:rsidRPr="008E6D9D">
              <w:rPr>
                <w:b/>
                <w:bCs/>
                <w:rtl/>
              </w:rPr>
              <w:t>بالصينية</w:t>
            </w:r>
          </w:p>
        </w:tc>
      </w:tr>
      <w:tr w:rsidR="007B0AA0" w14:paraId="10412984" w14:textId="77777777" w:rsidTr="008E6D9D">
        <w:tc>
          <w:tcPr>
            <w:tcW w:w="6105" w:type="dxa"/>
          </w:tcPr>
          <w:p w14:paraId="72C999CD" w14:textId="77777777" w:rsidR="007B0AA0" w:rsidRDefault="007B0AA0" w:rsidP="00F363FE">
            <w:pPr>
              <w:spacing w:before="60" w:after="60" w:line="260" w:lineRule="exact"/>
              <w:rPr>
                <w:lang w:bidi="ar-EG"/>
              </w:rPr>
            </w:pPr>
          </w:p>
        </w:tc>
        <w:tc>
          <w:tcPr>
            <w:tcW w:w="2966" w:type="dxa"/>
          </w:tcPr>
          <w:p w14:paraId="3B1E30C1" w14:textId="77777777" w:rsidR="007B0AA0" w:rsidRDefault="007B0AA0" w:rsidP="00F363FE">
            <w:pPr>
              <w:spacing w:before="60" w:after="60" w:line="260" w:lineRule="exact"/>
              <w:rPr>
                <w:rtl/>
                <w:lang w:bidi="ar-EG"/>
              </w:rPr>
            </w:pPr>
          </w:p>
        </w:tc>
      </w:tr>
      <w:tr w:rsidR="007B0AA0" w14:paraId="4140639A" w14:textId="77777777" w:rsidTr="008E6D9D">
        <w:tc>
          <w:tcPr>
            <w:tcW w:w="9071" w:type="dxa"/>
            <w:gridSpan w:val="2"/>
          </w:tcPr>
          <w:p w14:paraId="2EE278C8" w14:textId="6A00A20C" w:rsidR="007B0AA0" w:rsidRDefault="008E6D9D" w:rsidP="008E6D9D">
            <w:pPr>
              <w:pStyle w:val="Source"/>
              <w:jc w:val="left"/>
              <w:rPr>
                <w:lang w:bidi="ar-EG"/>
              </w:rPr>
            </w:pPr>
            <w:r w:rsidRPr="008E6D9D">
              <w:rPr>
                <w:rtl/>
              </w:rPr>
              <w:t>مساهمة مقدمة من جمهورية الصين الشعبية</w:t>
            </w:r>
            <w:r w:rsidR="00283117">
              <w:rPr>
                <w:rFonts w:hint="cs"/>
                <w:rtl/>
              </w:rPr>
              <w:t xml:space="preserve"> وكوبا</w:t>
            </w:r>
          </w:p>
        </w:tc>
      </w:tr>
      <w:tr w:rsidR="007B0AA0" w14:paraId="6E7ADFA5" w14:textId="77777777" w:rsidTr="008E6D9D">
        <w:tc>
          <w:tcPr>
            <w:tcW w:w="9071" w:type="dxa"/>
            <w:gridSpan w:val="2"/>
            <w:tcBorders>
              <w:bottom w:val="single" w:sz="4" w:space="0" w:color="auto"/>
            </w:tcBorders>
          </w:tcPr>
          <w:p w14:paraId="5E39E7B4" w14:textId="35F99C31" w:rsidR="007B0AA0" w:rsidRPr="005546CF" w:rsidRDefault="008E6D9D" w:rsidP="008E6D9D">
            <w:pPr>
              <w:pStyle w:val="Subtitle0"/>
              <w:rPr>
                <w:sz w:val="32"/>
                <w:szCs w:val="32"/>
              </w:rPr>
            </w:pPr>
            <w:r w:rsidRPr="008E6D9D">
              <w:rPr>
                <w:sz w:val="32"/>
                <w:szCs w:val="32"/>
                <w:rtl/>
                <w:lang w:bidi="ar-SA"/>
              </w:rPr>
              <w:t>مقترحات لزيادة تحسين نظام الرقابة الداخلية في الاتحاد الدولي للاتصالات</w:t>
            </w:r>
          </w:p>
        </w:tc>
      </w:tr>
      <w:tr w:rsidR="007B0AA0" w14:paraId="56187884" w14:textId="77777777" w:rsidTr="008E6D9D">
        <w:tc>
          <w:tcPr>
            <w:tcW w:w="9071" w:type="dxa"/>
            <w:gridSpan w:val="2"/>
            <w:tcBorders>
              <w:top w:val="single" w:sz="4" w:space="0" w:color="auto"/>
              <w:bottom w:val="single" w:sz="4" w:space="0" w:color="auto"/>
            </w:tcBorders>
          </w:tcPr>
          <w:p w14:paraId="7AE2B56C" w14:textId="77777777" w:rsidR="007B0AA0" w:rsidRPr="007B0AA0" w:rsidRDefault="007B0AA0" w:rsidP="007B0AA0">
            <w:pPr>
              <w:rPr>
                <w:b/>
                <w:bCs/>
                <w:rtl/>
              </w:rPr>
            </w:pPr>
            <w:r w:rsidRPr="00494119">
              <w:rPr>
                <w:rFonts w:hint="cs"/>
                <w:b/>
                <w:bCs/>
                <w:rtl/>
              </w:rPr>
              <w:t>الغرض</w:t>
            </w:r>
          </w:p>
          <w:p w14:paraId="6656F36F" w14:textId="16896024" w:rsidR="007B0AA0" w:rsidRDefault="008E6D9D" w:rsidP="008E6D9D">
            <w:pPr>
              <w:rPr>
                <w:rtl/>
              </w:rPr>
            </w:pPr>
            <w:r w:rsidRPr="008E6D9D">
              <w:rPr>
                <w:rtl/>
              </w:rPr>
              <w:t>اعتمد مجلس الاتحاد الدولي للاتصالات ميثاق الرقابة الداخلية ل</w:t>
            </w:r>
            <w:r w:rsidRPr="008E6D9D">
              <w:rPr>
                <w:rFonts w:hint="cs"/>
                <w:rtl/>
              </w:rPr>
              <w:t>دى ا</w:t>
            </w:r>
            <w:r w:rsidRPr="008E6D9D">
              <w:rPr>
                <w:rtl/>
              </w:rPr>
              <w:t xml:space="preserve">لاتحاد في يونيو 2024. وتقترح هذه </w:t>
            </w:r>
            <w:r w:rsidRPr="008E6D9D">
              <w:rPr>
                <w:rFonts w:hint="cs"/>
                <w:rtl/>
              </w:rPr>
              <w:t>ال</w:t>
            </w:r>
            <w:r w:rsidRPr="008E6D9D">
              <w:rPr>
                <w:rtl/>
              </w:rPr>
              <w:t>مساهمة خطوات أخرى لتيسير تنفيذ ذلك الميثاق، تم</w:t>
            </w:r>
            <w:r w:rsidRPr="008E6D9D">
              <w:rPr>
                <w:rFonts w:hint="cs"/>
                <w:rtl/>
              </w:rPr>
              <w:t>ا</w:t>
            </w:r>
            <w:r w:rsidRPr="008E6D9D">
              <w:rPr>
                <w:rtl/>
              </w:rPr>
              <w:t>شيا</w:t>
            </w:r>
            <w:r w:rsidR="00D43D6B">
              <w:rPr>
                <w:rFonts w:hint="cs"/>
                <w:rtl/>
              </w:rPr>
              <w:t>ً</w:t>
            </w:r>
            <w:r w:rsidRPr="008E6D9D">
              <w:rPr>
                <w:rtl/>
              </w:rPr>
              <w:t xml:space="preserve"> مع قرار المجلس بتحسين الرقابة الداخلية.</w:t>
            </w:r>
          </w:p>
          <w:p w14:paraId="30C5C543" w14:textId="77777777" w:rsidR="007B0AA0" w:rsidRPr="007B0AA0" w:rsidRDefault="007B0AA0" w:rsidP="007B0AA0">
            <w:pPr>
              <w:rPr>
                <w:b/>
                <w:bCs/>
                <w:rtl/>
              </w:rPr>
            </w:pPr>
            <w:r w:rsidRPr="007B0AA0">
              <w:rPr>
                <w:rFonts w:hint="cs"/>
                <w:b/>
                <w:bCs/>
                <w:rtl/>
              </w:rPr>
              <w:t>الإجراء المطلوب من المجلس</w:t>
            </w:r>
          </w:p>
          <w:p w14:paraId="2E2D704F" w14:textId="7EA00171" w:rsidR="007B0AA0" w:rsidRDefault="008E6D9D" w:rsidP="008E6D9D">
            <w:pPr>
              <w:rPr>
                <w:rtl/>
              </w:rPr>
            </w:pPr>
            <w:r w:rsidRPr="008E6D9D">
              <w:rPr>
                <w:rFonts w:hint="cs"/>
                <w:rtl/>
              </w:rPr>
              <w:t>ي</w:t>
            </w:r>
            <w:r w:rsidR="00154F3D">
              <w:rPr>
                <w:rFonts w:hint="cs"/>
                <w:rtl/>
              </w:rPr>
              <w:t>ُ</w:t>
            </w:r>
            <w:r w:rsidRPr="008E6D9D">
              <w:rPr>
                <w:rFonts w:hint="cs"/>
                <w:rtl/>
              </w:rPr>
              <w:t>دعى</w:t>
            </w:r>
            <w:r w:rsidRPr="008E6D9D">
              <w:rPr>
                <w:rFonts w:hint="eastAsia"/>
                <w:rtl/>
              </w:rPr>
              <w:t xml:space="preserve"> المجلس </w:t>
            </w:r>
            <w:r w:rsidRPr="008E6D9D">
              <w:rPr>
                <w:rtl/>
              </w:rPr>
              <w:t xml:space="preserve">إلى </w:t>
            </w:r>
            <w:r w:rsidRPr="00303CCA">
              <w:rPr>
                <w:rtl/>
              </w:rPr>
              <w:t>النظر</w:t>
            </w:r>
            <w:r w:rsidRPr="008E6D9D">
              <w:rPr>
                <w:rtl/>
              </w:rPr>
              <w:t xml:space="preserve"> في </w:t>
            </w:r>
            <w:r w:rsidRPr="008E6D9D">
              <w:rPr>
                <w:rFonts w:hint="eastAsia"/>
                <w:rtl/>
              </w:rPr>
              <w:t xml:space="preserve">المقترحات </w:t>
            </w:r>
            <w:r w:rsidRPr="008E6D9D">
              <w:rPr>
                <w:rtl/>
              </w:rPr>
              <w:t xml:space="preserve">الواردة </w:t>
            </w:r>
            <w:r w:rsidRPr="008E6D9D">
              <w:rPr>
                <w:rFonts w:hint="eastAsia"/>
                <w:rtl/>
              </w:rPr>
              <w:t xml:space="preserve">في هذه </w:t>
            </w:r>
            <w:r w:rsidRPr="008E6D9D">
              <w:rPr>
                <w:rtl/>
              </w:rPr>
              <w:t xml:space="preserve">الوثيقة </w:t>
            </w:r>
            <w:r w:rsidRPr="00143C94">
              <w:rPr>
                <w:rtl/>
              </w:rPr>
              <w:t>واتخاذ</w:t>
            </w:r>
            <w:r w:rsidRPr="008E6D9D">
              <w:rPr>
                <w:rtl/>
              </w:rPr>
              <w:t xml:space="preserve"> </w:t>
            </w:r>
            <w:r w:rsidRPr="008E6D9D">
              <w:rPr>
                <w:rFonts w:hint="eastAsia"/>
                <w:rtl/>
              </w:rPr>
              <w:t>الإجراءات المناسبة.</w:t>
            </w:r>
          </w:p>
          <w:p w14:paraId="70CF1B8A"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546079BD" w14:textId="77777777" w:rsidR="007B0AA0" w:rsidRPr="007B0AA0" w:rsidRDefault="007B0AA0" w:rsidP="007B0AA0">
            <w:pPr>
              <w:rPr>
                <w:b/>
                <w:bCs/>
                <w:rtl/>
              </w:rPr>
            </w:pPr>
            <w:r w:rsidRPr="007B0AA0">
              <w:rPr>
                <w:rFonts w:hint="cs"/>
                <w:b/>
                <w:bCs/>
                <w:rtl/>
              </w:rPr>
              <w:t>المراجع</w:t>
            </w:r>
          </w:p>
          <w:p w14:paraId="7CA6FE1B" w14:textId="5A87838A" w:rsidR="008E6D9D" w:rsidRPr="008E6D9D" w:rsidRDefault="008E6D9D" w:rsidP="008E6D9D">
            <w:pPr>
              <w:rPr>
                <w:i/>
                <w:iCs/>
                <w:lang w:val="en-GB"/>
              </w:rPr>
            </w:pPr>
            <w:r w:rsidRPr="008E6D9D">
              <w:rPr>
                <w:i/>
                <w:iCs/>
                <w:rtl/>
              </w:rPr>
              <w:t xml:space="preserve">قرار </w:t>
            </w:r>
            <w:r w:rsidRPr="008E6D9D">
              <w:rPr>
                <w:rFonts w:hint="cs"/>
                <w:i/>
                <w:iCs/>
                <w:rtl/>
              </w:rPr>
              <w:t>ا</w:t>
            </w:r>
            <w:r w:rsidRPr="008E6D9D">
              <w:rPr>
                <w:i/>
                <w:iCs/>
                <w:rtl/>
              </w:rPr>
              <w:t>لمجلس 1392 (</w:t>
            </w:r>
            <w:r w:rsidRPr="008E6D9D">
              <w:rPr>
                <w:rFonts w:hint="cs"/>
                <w:i/>
                <w:iCs/>
                <w:rtl/>
              </w:rPr>
              <w:t>الصادر في دورته لعام 2018</w:t>
            </w:r>
            <w:r w:rsidRPr="008E6D9D">
              <w:rPr>
                <w:i/>
                <w:iCs/>
                <w:rtl/>
              </w:rPr>
              <w:t xml:space="preserve">)، بصيغته الواردة في الوثيقة </w:t>
            </w:r>
            <w:hyperlink r:id="rId8" w:history="1">
              <w:r w:rsidRPr="008E6D9D">
                <w:rPr>
                  <w:rStyle w:val="Hyperlink"/>
                  <w:i/>
                  <w:iCs/>
                  <w:noProof w:val="0"/>
                  <w:rtl/>
                  <w:lang w:val="en-US" w:eastAsia="zh-CN"/>
                </w:rPr>
                <w:t>C18/116</w:t>
              </w:r>
            </w:hyperlink>
            <w:r w:rsidRPr="008E6D9D">
              <w:rPr>
                <w:i/>
                <w:iCs/>
                <w:rtl/>
              </w:rPr>
              <w:t>؛</w:t>
            </w:r>
          </w:p>
          <w:p w14:paraId="2D6F3AEF" w14:textId="60CFDBD5" w:rsidR="008E6D9D" w:rsidRPr="008E6D9D" w:rsidRDefault="008E6D9D" w:rsidP="008E6D9D">
            <w:pPr>
              <w:rPr>
                <w:i/>
                <w:iCs/>
              </w:rPr>
            </w:pPr>
            <w:r w:rsidRPr="008E6D9D">
              <w:rPr>
                <w:i/>
                <w:iCs/>
                <w:rtl/>
              </w:rPr>
              <w:t xml:space="preserve">وثائق المجلس: </w:t>
            </w:r>
            <w:hyperlink r:id="rId9" w:history="1">
              <w:r w:rsidR="00D43D6B" w:rsidRPr="000738B5">
                <w:rPr>
                  <w:rStyle w:val="Hyperlink"/>
                  <w:i/>
                  <w:iCs/>
                </w:rPr>
                <w:t>C24/109(Rev.1)</w:t>
              </w:r>
            </w:hyperlink>
            <w:r w:rsidR="00D43D6B">
              <w:rPr>
                <w:rFonts w:hint="cs"/>
                <w:rtl/>
              </w:rPr>
              <w:t>،</w:t>
            </w:r>
            <w:r w:rsidRPr="008E6D9D">
              <w:rPr>
                <w:i/>
                <w:iCs/>
                <w:rtl/>
              </w:rPr>
              <w:t xml:space="preserve"> </w:t>
            </w:r>
            <w:hyperlink r:id="rId10" w:history="1">
              <w:r w:rsidRPr="008E6D9D">
                <w:rPr>
                  <w:rStyle w:val="Hyperlink"/>
                  <w:i/>
                  <w:iCs/>
                  <w:noProof w:val="0"/>
                  <w:color w:val="auto"/>
                  <w:u w:val="none"/>
                  <w:rtl/>
                  <w:lang w:val="en-US" w:eastAsia="zh-CN"/>
                </w:rPr>
                <w:t>و</w:t>
              </w:r>
              <w:r w:rsidRPr="008E6D9D">
                <w:rPr>
                  <w:rStyle w:val="Hyperlink"/>
                  <w:i/>
                  <w:iCs/>
                  <w:noProof w:val="0"/>
                  <w:rtl/>
                  <w:lang w:val="en-US" w:eastAsia="zh-CN"/>
                </w:rPr>
                <w:t>C24/120</w:t>
              </w:r>
              <w:r w:rsidR="00CB5259" w:rsidRPr="00CB5259">
                <w:rPr>
                  <w:rStyle w:val="Hyperlink"/>
                  <w:rFonts w:hint="cs"/>
                  <w:i/>
                  <w:iCs/>
                  <w:noProof w:val="0"/>
                  <w:color w:val="auto"/>
                  <w:u w:val="none"/>
                  <w:rtl/>
                  <w:lang w:val="en-US" w:eastAsia="zh-CN"/>
                </w:rPr>
                <w:t>،</w:t>
              </w:r>
              <w:r w:rsidRPr="008E6D9D">
                <w:rPr>
                  <w:rStyle w:val="Hyperlink"/>
                  <w:i/>
                  <w:iCs/>
                  <w:noProof w:val="0"/>
                  <w:color w:val="auto"/>
                  <w:u w:val="none"/>
                  <w:rtl/>
                  <w:lang w:val="en-US" w:eastAsia="zh-CN"/>
                </w:rPr>
                <w:t xml:space="preserve"> </w:t>
              </w:r>
            </w:hyperlink>
            <w:r w:rsidRPr="008E6D9D">
              <w:rPr>
                <w:rFonts w:hint="eastAsia"/>
                <w:i/>
                <w:iCs/>
                <w:rtl/>
              </w:rPr>
              <w:t>و</w:t>
            </w:r>
            <w:hyperlink r:id="rId11" w:history="1">
              <w:r w:rsidR="00D43D6B" w:rsidRPr="00CB5259">
                <w:rPr>
                  <w:rStyle w:val="Hyperlink"/>
                  <w:rFonts w:eastAsia="STKaiti"/>
                  <w:i/>
                  <w:iCs/>
                </w:rPr>
                <w:t>C22/57</w:t>
              </w:r>
            </w:hyperlink>
            <w:r w:rsidR="00D43D6B" w:rsidRPr="008E6D9D">
              <w:rPr>
                <w:i/>
                <w:iCs/>
                <w:rtl/>
              </w:rPr>
              <w:t>؛</w:t>
            </w:r>
          </w:p>
          <w:p w14:paraId="1F34B6AC" w14:textId="49BFE4E9" w:rsidR="008E6D9D" w:rsidRPr="008E6D9D" w:rsidRDefault="008E6D9D" w:rsidP="008E6D9D">
            <w:pPr>
              <w:rPr>
                <w:i/>
                <w:iCs/>
                <w:spacing w:val="-4"/>
              </w:rPr>
            </w:pPr>
            <w:hyperlink r:id="rId12" w:history="1">
              <w:r w:rsidRPr="008E6D9D">
                <w:rPr>
                  <w:rStyle w:val="Hyperlink"/>
                  <w:i/>
                  <w:iCs/>
                  <w:noProof w:val="0"/>
                  <w:spacing w:val="-4"/>
                  <w:rtl/>
                  <w:lang w:val="en-US" w:eastAsia="zh-CN"/>
                </w:rPr>
                <w:t>النظام الأساسي والإداري للموظفين</w:t>
              </w:r>
            </w:hyperlink>
            <w:r w:rsidRPr="008E6D9D">
              <w:rPr>
                <w:i/>
                <w:iCs/>
                <w:spacing w:val="-4"/>
                <w:rtl/>
              </w:rPr>
              <w:t xml:space="preserve"> (2024)، النظام</w:t>
            </w:r>
            <w:r w:rsidRPr="008E6D9D">
              <w:rPr>
                <w:rFonts w:hint="cs"/>
                <w:i/>
                <w:iCs/>
                <w:spacing w:val="-4"/>
                <w:rtl/>
              </w:rPr>
              <w:t>ا</w:t>
            </w:r>
            <w:r w:rsidRPr="008E6D9D">
              <w:rPr>
                <w:i/>
                <w:iCs/>
                <w:spacing w:val="-4"/>
                <w:rtl/>
              </w:rPr>
              <w:t>ن الأساسي والإداري للموظفين الساري</w:t>
            </w:r>
            <w:r w:rsidRPr="008E6D9D">
              <w:rPr>
                <w:rFonts w:hint="cs"/>
                <w:i/>
                <w:iCs/>
                <w:spacing w:val="-4"/>
                <w:rtl/>
              </w:rPr>
              <w:t>ا</w:t>
            </w:r>
            <w:r w:rsidRPr="008E6D9D">
              <w:rPr>
                <w:i/>
                <w:iCs/>
                <w:spacing w:val="-4"/>
                <w:rtl/>
              </w:rPr>
              <w:t>ن على المسؤولين المنتخبين؛</w:t>
            </w:r>
          </w:p>
          <w:p w14:paraId="4450A1C7" w14:textId="33513B0C" w:rsidR="008E6D9D" w:rsidRPr="008E6D9D" w:rsidRDefault="008E6D9D" w:rsidP="00D43D6B">
            <w:pPr>
              <w:rPr>
                <w:i/>
                <w:iCs/>
                <w:lang w:val="en-GB"/>
              </w:rPr>
            </w:pPr>
            <w:r w:rsidRPr="008E6D9D">
              <w:rPr>
                <w:i/>
                <w:iCs/>
                <w:rtl/>
              </w:rPr>
              <w:t>الرقابة الداخلية: ميثاق الرقابة الداخلية ل</w:t>
            </w:r>
            <w:r w:rsidRPr="008E6D9D">
              <w:rPr>
                <w:rFonts w:hint="cs"/>
                <w:i/>
                <w:iCs/>
                <w:rtl/>
              </w:rPr>
              <w:t>دى ا</w:t>
            </w:r>
            <w:r w:rsidRPr="008E6D9D">
              <w:rPr>
                <w:i/>
                <w:iCs/>
                <w:rtl/>
              </w:rPr>
              <w:t>لاتحاد (</w:t>
            </w:r>
            <w:hyperlink r:id="rId13" w:history="1">
              <w:r w:rsidRPr="008E6D9D">
                <w:rPr>
                  <w:rStyle w:val="Hyperlink"/>
                  <w:rFonts w:hint="eastAsia"/>
                  <w:i/>
                  <w:iCs/>
                  <w:noProof w:val="0"/>
                  <w:rtl/>
                  <w:lang w:val="en-US" w:eastAsia="zh-CN"/>
                </w:rPr>
                <w:t>الأمر الإداري</w:t>
              </w:r>
              <w:r w:rsidR="00D43D6B" w:rsidRPr="00D43D6B">
                <w:rPr>
                  <w:rStyle w:val="Hyperlink"/>
                  <w:rFonts w:hint="cs"/>
                  <w:i/>
                  <w:iCs/>
                  <w:noProof w:val="0"/>
                  <w:rtl/>
                  <w:lang w:val="en-US" w:eastAsia="zh-CN"/>
                </w:rPr>
                <w:t> 9</w:t>
              </w:r>
              <w:r w:rsidR="006062CB">
                <w:rPr>
                  <w:rStyle w:val="Hyperlink"/>
                  <w:i/>
                  <w:iCs/>
                  <w:noProof w:val="0"/>
                  <w:lang w:val="en-US" w:eastAsia="zh-CN"/>
                </w:rPr>
                <w:t>0</w:t>
              </w:r>
              <w:r w:rsidR="00D43D6B" w:rsidRPr="00D43D6B">
                <w:rPr>
                  <w:rStyle w:val="Hyperlink"/>
                  <w:rFonts w:hint="cs"/>
                  <w:i/>
                  <w:iCs/>
                  <w:noProof w:val="0"/>
                  <w:rtl/>
                  <w:lang w:val="en-US" w:eastAsia="zh-CN"/>
                </w:rPr>
                <w:t>/24</w:t>
              </w:r>
            </w:hyperlink>
            <w:r w:rsidRPr="008E6D9D">
              <w:rPr>
                <w:i/>
                <w:iCs/>
                <w:rtl/>
              </w:rPr>
              <w:t>)؛</w:t>
            </w:r>
          </w:p>
          <w:p w14:paraId="645B1918" w14:textId="3B74B6FF" w:rsidR="008E6D9D" w:rsidRPr="008E6D9D" w:rsidRDefault="008E6D9D" w:rsidP="008E6D9D">
            <w:pPr>
              <w:rPr>
                <w:i/>
                <w:iCs/>
                <w:lang w:val="en-GB"/>
              </w:rPr>
            </w:pPr>
            <w:r w:rsidRPr="008E6D9D">
              <w:rPr>
                <w:i/>
                <w:iCs/>
                <w:rtl/>
              </w:rPr>
              <w:t>مدونة قواعد السلوك: معايير السلوك للخدمة المدنية الدولية (</w:t>
            </w:r>
            <w:hyperlink r:id="rId14" w:history="1">
              <w:r w:rsidRPr="008E6D9D">
                <w:rPr>
                  <w:rStyle w:val="Hyperlink"/>
                  <w:rFonts w:hint="eastAsia"/>
                  <w:i/>
                  <w:iCs/>
                  <w:noProof w:val="0"/>
                  <w:rtl/>
                  <w:lang w:val="en-US" w:eastAsia="zh-CN"/>
                </w:rPr>
                <w:t>الأمر الإداري</w:t>
              </w:r>
              <w:r w:rsidR="00D43D6B" w:rsidRPr="00D43D6B">
                <w:rPr>
                  <w:rStyle w:val="Hyperlink"/>
                  <w:rFonts w:hint="cs"/>
                  <w:i/>
                  <w:iCs/>
                  <w:noProof w:val="0"/>
                  <w:rtl/>
                  <w:lang w:val="en-US" w:eastAsia="zh-CN"/>
                </w:rPr>
                <w:t> </w:t>
              </w:r>
              <w:r w:rsidR="00D43D6B" w:rsidRPr="00D43D6B">
                <w:rPr>
                  <w:rStyle w:val="Hyperlink"/>
                  <w:i/>
                  <w:iCs/>
                  <w:noProof w:val="0"/>
                  <w:lang w:val="en-US" w:eastAsia="zh-CN"/>
                </w:rPr>
                <w:t>17/07</w:t>
              </w:r>
            </w:hyperlink>
            <w:r w:rsidRPr="008E6D9D">
              <w:rPr>
                <w:i/>
                <w:iCs/>
                <w:rtl/>
              </w:rPr>
              <w:t>)، مدونة أخلاقيات الاتحاد (</w:t>
            </w:r>
            <w:hyperlink r:id="rId15" w:history="1">
              <w:r w:rsidRPr="008E6D9D">
                <w:rPr>
                  <w:rStyle w:val="Hyperlink"/>
                  <w:rFonts w:hint="eastAsia"/>
                  <w:i/>
                  <w:iCs/>
                  <w:noProof w:val="0"/>
                  <w:rtl/>
                  <w:lang w:val="en-US" w:eastAsia="zh-CN"/>
                </w:rPr>
                <w:t>الأمر</w:t>
              </w:r>
              <w:r w:rsidR="00143C94">
                <w:rPr>
                  <w:rStyle w:val="Hyperlink"/>
                  <w:rFonts w:hint="cs"/>
                  <w:i/>
                  <w:iCs/>
                  <w:noProof w:val="0"/>
                  <w:rtl/>
                  <w:lang w:val="en-US" w:eastAsia="zh-CN"/>
                </w:rPr>
                <w:t> </w:t>
              </w:r>
              <w:r w:rsidRPr="008E6D9D">
                <w:rPr>
                  <w:rStyle w:val="Hyperlink"/>
                  <w:rFonts w:hint="eastAsia"/>
                  <w:i/>
                  <w:iCs/>
                  <w:noProof w:val="0"/>
                  <w:rtl/>
                  <w:lang w:val="en-US" w:eastAsia="zh-CN"/>
                </w:rPr>
                <w:t>الإداري</w:t>
              </w:r>
              <w:r w:rsidR="008003A6">
                <w:rPr>
                  <w:rStyle w:val="Hyperlink"/>
                  <w:rFonts w:hint="cs"/>
                  <w:i/>
                  <w:iCs/>
                  <w:noProof w:val="0"/>
                  <w:rtl/>
                  <w:lang w:val="en-US" w:eastAsia="zh-CN"/>
                </w:rPr>
                <w:t> </w:t>
              </w:r>
              <w:r w:rsidR="006062CB">
                <w:rPr>
                  <w:rStyle w:val="Hyperlink"/>
                  <w:i/>
                  <w:iCs/>
                  <w:noProof w:val="0"/>
                  <w:lang w:val="en-US" w:eastAsia="zh-CN"/>
                </w:rPr>
                <w:t>11/02</w:t>
              </w:r>
            </w:hyperlink>
            <w:r w:rsidRPr="008E6D9D">
              <w:rPr>
                <w:i/>
                <w:iCs/>
                <w:rtl/>
              </w:rPr>
              <w:t>)؛</w:t>
            </w:r>
          </w:p>
          <w:p w14:paraId="15DEAAB4" w14:textId="5D95BD8C" w:rsidR="008E6D9D" w:rsidRPr="008E6D9D" w:rsidRDefault="008E6D9D" w:rsidP="008E6D9D">
            <w:pPr>
              <w:rPr>
                <w:i/>
                <w:iCs/>
                <w:lang w:val="en-GB"/>
              </w:rPr>
            </w:pPr>
            <w:r w:rsidRPr="008E6D9D">
              <w:rPr>
                <w:i/>
                <w:iCs/>
                <w:rtl/>
              </w:rPr>
              <w:t>الاحتيال والفساد: سياسة مكافحة الاحتيال والفساد والممارسات المحظورة الأخرى (</w:t>
            </w:r>
            <w:hyperlink r:id="rId16" w:history="1">
              <w:r w:rsidRPr="008E6D9D">
                <w:rPr>
                  <w:rStyle w:val="Hyperlink"/>
                  <w:rFonts w:hint="eastAsia"/>
                  <w:i/>
                  <w:iCs/>
                  <w:noProof w:val="0"/>
                  <w:rtl/>
                  <w:lang w:val="en-US" w:eastAsia="zh-CN"/>
                </w:rPr>
                <w:t>الأمر الإداري</w:t>
              </w:r>
              <w:r w:rsidR="006062CB">
                <w:rPr>
                  <w:rStyle w:val="Hyperlink"/>
                  <w:rFonts w:hint="eastAsia"/>
                  <w:i/>
                  <w:iCs/>
                  <w:noProof w:val="0"/>
                  <w:rtl/>
                  <w:lang w:val="en-US" w:eastAsia="zh-CN"/>
                </w:rPr>
                <w:t> </w:t>
              </w:r>
              <w:r w:rsidR="006062CB">
                <w:rPr>
                  <w:rStyle w:val="Hyperlink"/>
                  <w:rFonts w:hint="cs"/>
                  <w:i/>
                  <w:iCs/>
                  <w:noProof w:val="0"/>
                  <w:rtl/>
                  <w:lang w:val="en-US" w:eastAsia="zh-CN"/>
                </w:rPr>
                <w:t>09/19</w:t>
              </w:r>
            </w:hyperlink>
            <w:r w:rsidRPr="008E6D9D">
              <w:rPr>
                <w:i/>
                <w:iCs/>
                <w:rtl/>
              </w:rPr>
              <w:t>)؛</w:t>
            </w:r>
          </w:p>
          <w:p w14:paraId="1A476DF8" w14:textId="32E496AF" w:rsidR="008E6D9D" w:rsidRPr="008E6D9D" w:rsidRDefault="008E6D9D" w:rsidP="008E6D9D">
            <w:pPr>
              <w:rPr>
                <w:i/>
                <w:iCs/>
                <w:lang w:val="en-GB"/>
              </w:rPr>
            </w:pPr>
            <w:r w:rsidRPr="008E6D9D">
              <w:rPr>
                <w:i/>
                <w:iCs/>
                <w:rtl/>
              </w:rPr>
              <w:t>التحرش وإساءة استعمال السلطة: سياسة الاتحاد بشأن التصدي للتحرش، بما في ذلك التحرش الجنسي وإساءة استعمال السلطة والتمييز (</w:t>
            </w:r>
            <w:hyperlink r:id="rId17" w:history="1">
              <w:r w:rsidRPr="008E6D9D">
                <w:rPr>
                  <w:rStyle w:val="Hyperlink"/>
                  <w:rFonts w:hint="eastAsia"/>
                  <w:i/>
                  <w:iCs/>
                  <w:noProof w:val="0"/>
                  <w:rtl/>
                  <w:lang w:val="en-US" w:eastAsia="zh-CN"/>
                </w:rPr>
                <w:t xml:space="preserve"> الأمر الإداري</w:t>
              </w:r>
              <w:r w:rsidR="008003A6">
                <w:rPr>
                  <w:rStyle w:val="Hyperlink"/>
                  <w:rFonts w:hint="cs"/>
                  <w:i/>
                  <w:iCs/>
                  <w:noProof w:val="0"/>
                  <w:rtl/>
                  <w:lang w:val="en-US" w:eastAsia="zh-CN"/>
                </w:rPr>
                <w:t> 03/22</w:t>
              </w:r>
            </w:hyperlink>
            <w:r w:rsidRPr="008E6D9D">
              <w:rPr>
                <w:i/>
                <w:iCs/>
                <w:rtl/>
              </w:rPr>
              <w:t>)؛</w:t>
            </w:r>
          </w:p>
          <w:p w14:paraId="41528DDF" w14:textId="33DE751B" w:rsidR="008E6D9D" w:rsidRPr="008E6D9D" w:rsidRDefault="008E6D9D" w:rsidP="008E6D9D">
            <w:pPr>
              <w:rPr>
                <w:i/>
                <w:iCs/>
                <w:lang w:val="en-GB"/>
              </w:rPr>
            </w:pPr>
            <w:r w:rsidRPr="008E6D9D">
              <w:rPr>
                <w:i/>
                <w:iCs/>
                <w:rtl/>
              </w:rPr>
              <w:t>الإبلاغ عن سوء السلوك: سياسة الإبلاغ عن سوء السلوك والحماية من الانتقام</w:t>
            </w:r>
            <w:r w:rsidRPr="008E6D9D">
              <w:rPr>
                <w:rFonts w:hint="cs"/>
                <w:i/>
                <w:iCs/>
                <w:rtl/>
              </w:rPr>
              <w:t xml:space="preserve"> </w:t>
            </w:r>
            <w:r w:rsidRPr="008E6D9D">
              <w:rPr>
                <w:i/>
                <w:iCs/>
                <w:rtl/>
              </w:rPr>
              <w:t xml:space="preserve">(الإبلاغ عن المخالفات) </w:t>
            </w:r>
            <w:r w:rsidR="008003A6">
              <w:rPr>
                <w:i/>
                <w:iCs/>
                <w:rtl/>
              </w:rPr>
              <w:br/>
            </w:r>
            <w:r w:rsidRPr="008E6D9D">
              <w:rPr>
                <w:i/>
                <w:iCs/>
                <w:rtl/>
              </w:rPr>
              <w:t>(</w:t>
            </w:r>
            <w:hyperlink r:id="rId18" w:history="1">
              <w:r w:rsidRPr="008E6D9D">
                <w:rPr>
                  <w:rStyle w:val="Hyperlink"/>
                  <w:rFonts w:hint="eastAsia"/>
                  <w:i/>
                  <w:iCs/>
                  <w:noProof w:val="0"/>
                  <w:rtl/>
                  <w:lang w:val="en-US" w:eastAsia="zh-CN"/>
                </w:rPr>
                <w:t>الأمر الإداري</w:t>
              </w:r>
              <w:r w:rsidR="008003A6">
                <w:rPr>
                  <w:rStyle w:val="Hyperlink"/>
                  <w:rFonts w:hint="cs"/>
                  <w:i/>
                  <w:iCs/>
                  <w:noProof w:val="0"/>
                  <w:rtl/>
                  <w:lang w:val="en-US" w:eastAsia="zh-CN"/>
                </w:rPr>
                <w:t> 06/20</w:t>
              </w:r>
            </w:hyperlink>
            <w:r w:rsidRPr="008E6D9D">
              <w:rPr>
                <w:i/>
                <w:iCs/>
                <w:rtl/>
              </w:rPr>
              <w:t>)؛</w:t>
            </w:r>
          </w:p>
          <w:p w14:paraId="1719887E" w14:textId="62BE4FDB" w:rsidR="008E6D9D" w:rsidRPr="008E6D9D" w:rsidRDefault="008E6D9D" w:rsidP="008E6D9D">
            <w:pPr>
              <w:rPr>
                <w:i/>
                <w:iCs/>
                <w:lang w:val="en-GB"/>
              </w:rPr>
            </w:pPr>
            <w:r w:rsidRPr="008E6D9D">
              <w:rPr>
                <w:i/>
                <w:iCs/>
                <w:rtl/>
              </w:rPr>
              <w:t>تضارب المصالح: سياسة الاتحاد بشأن إعلان المصالح (</w:t>
            </w:r>
            <w:hyperlink r:id="rId19" w:history="1">
              <w:r w:rsidRPr="008E6D9D">
                <w:rPr>
                  <w:rStyle w:val="Hyperlink"/>
                  <w:rFonts w:hint="eastAsia"/>
                  <w:i/>
                  <w:iCs/>
                  <w:noProof w:val="0"/>
                  <w:rtl/>
                  <w:lang w:val="en-US" w:eastAsia="zh-CN"/>
                </w:rPr>
                <w:t>الأمر الإداري</w:t>
              </w:r>
              <w:r w:rsidR="008003A6">
                <w:rPr>
                  <w:rStyle w:val="Hyperlink"/>
                  <w:rFonts w:hint="cs"/>
                  <w:i/>
                  <w:iCs/>
                  <w:noProof w:val="0"/>
                  <w:rtl/>
                  <w:lang w:val="en-US" w:eastAsia="zh-CN"/>
                </w:rPr>
                <w:t> 02/22</w:t>
              </w:r>
            </w:hyperlink>
            <w:r w:rsidRPr="008E6D9D">
              <w:rPr>
                <w:i/>
                <w:iCs/>
                <w:rtl/>
              </w:rPr>
              <w:t xml:space="preserve">)، وسياسة الاتحاد بشأن </w:t>
            </w:r>
            <w:r w:rsidRPr="008E6D9D">
              <w:rPr>
                <w:rFonts w:hint="cs"/>
                <w:i/>
                <w:iCs/>
                <w:rtl/>
              </w:rPr>
              <w:t>الإقرار</w:t>
            </w:r>
            <w:r w:rsidRPr="008E6D9D">
              <w:rPr>
                <w:i/>
                <w:iCs/>
                <w:rtl/>
              </w:rPr>
              <w:t xml:space="preserve"> المالي (</w:t>
            </w:r>
            <w:hyperlink r:id="rId20" w:history="1">
              <w:r w:rsidRPr="008E6D9D">
                <w:rPr>
                  <w:rStyle w:val="Hyperlink"/>
                  <w:rFonts w:hint="eastAsia"/>
                  <w:i/>
                  <w:iCs/>
                  <w:noProof w:val="0"/>
                  <w:rtl/>
                  <w:lang w:val="en-US" w:eastAsia="zh-CN"/>
                </w:rPr>
                <w:t>الأمر الإداري</w:t>
              </w:r>
              <w:r w:rsidR="008003A6">
                <w:rPr>
                  <w:rStyle w:val="Hyperlink"/>
                  <w:rFonts w:hint="cs"/>
                  <w:i/>
                  <w:iCs/>
                  <w:noProof w:val="0"/>
                  <w:rtl/>
                  <w:lang w:val="en-US" w:eastAsia="zh-CN"/>
                </w:rPr>
                <w:t> 03/11</w:t>
              </w:r>
            </w:hyperlink>
            <w:r w:rsidRPr="008E6D9D">
              <w:rPr>
                <w:i/>
                <w:iCs/>
                <w:rtl/>
              </w:rPr>
              <w:t>)؛</w:t>
            </w:r>
          </w:p>
          <w:p w14:paraId="49961381" w14:textId="37FDCA2F" w:rsidR="008E6D9D" w:rsidRPr="008E6D9D" w:rsidRDefault="008E6D9D" w:rsidP="008E6D9D">
            <w:pPr>
              <w:rPr>
                <w:i/>
                <w:iCs/>
                <w:lang w:val="en-GB"/>
              </w:rPr>
            </w:pPr>
            <w:r w:rsidRPr="008E6D9D">
              <w:rPr>
                <w:i/>
                <w:iCs/>
                <w:rtl/>
              </w:rPr>
              <w:t xml:space="preserve">المبادئ التوجيهية للتحقيق: المبادئ التوجيهية </w:t>
            </w:r>
            <w:r w:rsidRPr="008E6D9D">
              <w:rPr>
                <w:rFonts w:hint="cs"/>
                <w:i/>
                <w:iCs/>
                <w:rtl/>
              </w:rPr>
              <w:t>ل</w:t>
            </w:r>
            <w:r w:rsidRPr="008E6D9D">
              <w:rPr>
                <w:i/>
                <w:iCs/>
                <w:rtl/>
              </w:rPr>
              <w:t>لتحقيق ل</w:t>
            </w:r>
            <w:r w:rsidRPr="008E6D9D">
              <w:rPr>
                <w:rFonts w:hint="cs"/>
                <w:i/>
                <w:iCs/>
                <w:rtl/>
              </w:rPr>
              <w:t>دى ا</w:t>
            </w:r>
            <w:r w:rsidRPr="008E6D9D">
              <w:rPr>
                <w:i/>
                <w:iCs/>
                <w:rtl/>
              </w:rPr>
              <w:t>لاتحاد (</w:t>
            </w:r>
            <w:hyperlink r:id="rId21" w:history="1">
              <w:r w:rsidRPr="008E6D9D">
                <w:rPr>
                  <w:rStyle w:val="Hyperlink"/>
                  <w:rFonts w:hint="eastAsia"/>
                  <w:i/>
                  <w:iCs/>
                  <w:noProof w:val="0"/>
                  <w:rtl/>
                  <w:lang w:val="en-US" w:eastAsia="zh-CN"/>
                </w:rPr>
                <w:t>الأمر الإداري</w:t>
              </w:r>
              <w:r w:rsidR="008003A6">
                <w:rPr>
                  <w:rStyle w:val="Hyperlink"/>
                  <w:rFonts w:hint="cs"/>
                  <w:i/>
                  <w:iCs/>
                  <w:noProof w:val="0"/>
                  <w:rtl/>
                  <w:lang w:val="en-US" w:eastAsia="zh-CN"/>
                </w:rPr>
                <w:t> 10/19</w:t>
              </w:r>
            </w:hyperlink>
            <w:r w:rsidRPr="008E6D9D">
              <w:rPr>
                <w:i/>
                <w:iCs/>
                <w:rtl/>
              </w:rPr>
              <w:t>)؛</w:t>
            </w:r>
          </w:p>
          <w:p w14:paraId="142B2433" w14:textId="16A6185C" w:rsidR="007B0AA0" w:rsidRPr="005546CF" w:rsidRDefault="008E6D9D" w:rsidP="008E6D9D">
            <w:pPr>
              <w:rPr>
                <w:i/>
                <w:iCs/>
                <w:rtl/>
              </w:rPr>
            </w:pPr>
            <w:r w:rsidRPr="008E6D9D">
              <w:rPr>
                <w:i/>
                <w:iCs/>
                <w:rtl/>
              </w:rPr>
              <w:t>تقرير</w:t>
            </w:r>
            <w:r w:rsidRPr="008E6D9D">
              <w:rPr>
                <w:rFonts w:hint="cs"/>
                <w:i/>
                <w:iCs/>
                <w:rtl/>
              </w:rPr>
              <w:t>ا</w:t>
            </w:r>
            <w:r w:rsidRPr="008E6D9D">
              <w:rPr>
                <w:i/>
                <w:iCs/>
                <w:rtl/>
              </w:rPr>
              <w:t xml:space="preserve"> وحدة التفتيش المشتركة: </w:t>
            </w:r>
            <w:hyperlink r:id="rId22" w:history="1">
              <w:r w:rsidRPr="008E6D9D">
                <w:rPr>
                  <w:rStyle w:val="Hyperlink"/>
                  <w:rFonts w:hint="eastAsia"/>
                  <w:i/>
                  <w:iCs/>
                  <w:noProof w:val="0"/>
                  <w:rtl/>
                  <w:lang w:val="en-US" w:eastAsia="zh-CN"/>
                </w:rPr>
                <w:t>JIU/REP/2020/1</w:t>
              </w:r>
            </w:hyperlink>
            <w:r w:rsidR="008003A6">
              <w:rPr>
                <w:rFonts w:hint="cs"/>
                <w:i/>
                <w:iCs/>
                <w:rtl/>
              </w:rPr>
              <w:t>،</w:t>
            </w:r>
            <w:r w:rsidRPr="008E6D9D">
              <w:rPr>
                <w:i/>
                <w:iCs/>
                <w:rtl/>
              </w:rPr>
              <w:t xml:space="preserve"> </w:t>
            </w:r>
            <w:r w:rsidRPr="008003A6">
              <w:rPr>
                <w:rFonts w:hint="eastAsia"/>
                <w:i/>
                <w:iCs/>
                <w:u w:color="5B9BD5"/>
                <w:rtl/>
              </w:rPr>
              <w:t>و</w:t>
            </w:r>
            <w:hyperlink r:id="rId23" w:history="1">
              <w:r w:rsidR="008003A6" w:rsidRPr="000738B5">
                <w:rPr>
                  <w:rStyle w:val="Hyperlink"/>
                  <w:rFonts w:asciiTheme="minorHAnsi" w:eastAsia="STKaiti" w:hAnsiTheme="minorHAnsi" w:cstheme="minorHAnsi"/>
                  <w:i/>
                  <w:iCs/>
                  <w:szCs w:val="24"/>
                </w:rPr>
                <w:t>JIU/REP/2023/2</w:t>
              </w:r>
            </w:hyperlink>
            <w:r w:rsidRPr="008E6D9D">
              <w:rPr>
                <w:i/>
                <w:iCs/>
                <w:rtl/>
              </w:rPr>
              <w:t>.</w:t>
            </w:r>
          </w:p>
        </w:tc>
      </w:tr>
    </w:tbl>
    <w:p w14:paraId="2545257F" w14:textId="68BC5020" w:rsidR="008003A6" w:rsidRDefault="008003A6" w:rsidP="008E6D9D">
      <w:pPr>
        <w:rPr>
          <w:b/>
          <w:rtl/>
        </w:rPr>
      </w:pPr>
      <w:r>
        <w:rPr>
          <w:b/>
          <w:rtl/>
        </w:rPr>
        <w:br w:type="page"/>
      </w:r>
    </w:p>
    <w:p w14:paraId="08FAD97C" w14:textId="6D1BB654" w:rsidR="008E6D9D" w:rsidRPr="008E6D9D" w:rsidRDefault="00A91177" w:rsidP="00A91177">
      <w:pPr>
        <w:pStyle w:val="Heading1"/>
        <w:rPr>
          <w:lang w:val="en-GB" w:bidi="ar-EG"/>
        </w:rPr>
      </w:pPr>
      <w:r>
        <w:lastRenderedPageBreak/>
        <w:t>1</w:t>
      </w:r>
      <w:r>
        <w:tab/>
      </w:r>
      <w:r w:rsidR="008003A6" w:rsidRPr="008003A6">
        <w:rPr>
          <w:rtl/>
        </w:rPr>
        <w:t>معلومات أساسية</w:t>
      </w:r>
    </w:p>
    <w:p w14:paraId="1A762E76" w14:textId="5CC7BB91" w:rsidR="008E6D9D" w:rsidRPr="008E6D9D" w:rsidRDefault="008E6D9D" w:rsidP="008E6D9D">
      <w:pPr>
        <w:rPr>
          <w:spacing w:val="2"/>
          <w:lang w:bidi="ar-EG"/>
        </w:rPr>
      </w:pPr>
      <w:r w:rsidRPr="008E6D9D">
        <w:rPr>
          <w:spacing w:val="2"/>
          <w:rtl/>
        </w:rPr>
        <w:t xml:space="preserve">منذ عام 2023، </w:t>
      </w:r>
      <w:r w:rsidRPr="008E6D9D">
        <w:rPr>
          <w:rFonts w:hint="cs"/>
          <w:spacing w:val="2"/>
          <w:rtl/>
        </w:rPr>
        <w:t xml:space="preserve">ما برح </w:t>
      </w:r>
      <w:r w:rsidRPr="008E6D9D">
        <w:rPr>
          <w:spacing w:val="2"/>
          <w:rtl/>
        </w:rPr>
        <w:t>مجلس الاتحاد الدولي للاتصالات وفريق العمل التابع له والمعني بالموارد المالية والبشرية يناقش</w:t>
      </w:r>
      <w:r w:rsidRPr="008E6D9D">
        <w:rPr>
          <w:rFonts w:hint="cs"/>
          <w:spacing w:val="2"/>
          <w:rtl/>
        </w:rPr>
        <w:t>ان</w:t>
      </w:r>
      <w:r w:rsidRPr="008E6D9D">
        <w:rPr>
          <w:spacing w:val="2"/>
          <w:rtl/>
        </w:rPr>
        <w:t>، في جملة أمور، نظام الرقابة الداخلية ل</w:t>
      </w:r>
      <w:r w:rsidRPr="008E6D9D">
        <w:rPr>
          <w:rFonts w:hint="cs"/>
          <w:spacing w:val="2"/>
          <w:rtl/>
        </w:rPr>
        <w:t>دى ا</w:t>
      </w:r>
      <w:r w:rsidRPr="008E6D9D">
        <w:rPr>
          <w:spacing w:val="2"/>
          <w:rtl/>
        </w:rPr>
        <w:t>لاتحاد. وفي يونيو 2024، وافق المجلس على ميثاق الرقابة الداخلية ل</w:t>
      </w:r>
      <w:r w:rsidRPr="008E6D9D">
        <w:rPr>
          <w:rFonts w:hint="cs"/>
          <w:spacing w:val="2"/>
          <w:rtl/>
        </w:rPr>
        <w:t>دى ا</w:t>
      </w:r>
      <w:r w:rsidRPr="008E6D9D">
        <w:rPr>
          <w:spacing w:val="2"/>
          <w:rtl/>
        </w:rPr>
        <w:t xml:space="preserve">لاتحاد الذي يوحد </w:t>
      </w:r>
      <w:r w:rsidRPr="008E6D9D">
        <w:rPr>
          <w:rFonts w:hint="cs"/>
          <w:spacing w:val="2"/>
          <w:rtl/>
        </w:rPr>
        <w:t>وظيفتي</w:t>
      </w:r>
      <w:r w:rsidRPr="008E6D9D">
        <w:rPr>
          <w:spacing w:val="2"/>
          <w:rtl/>
        </w:rPr>
        <w:t xml:space="preserve"> المراجعة الداخلية والتحقيق </w:t>
      </w:r>
      <w:r w:rsidRPr="008E6D9D">
        <w:rPr>
          <w:rFonts w:hint="cs"/>
          <w:spacing w:val="2"/>
          <w:rtl/>
        </w:rPr>
        <w:t>القائمتين لدى</w:t>
      </w:r>
      <w:r w:rsidRPr="008E6D9D">
        <w:rPr>
          <w:spacing w:val="2"/>
          <w:rtl/>
        </w:rPr>
        <w:t xml:space="preserve"> الأمانة العامة في وحدة الرقابة (OU) المنشأة حديثا</w:t>
      </w:r>
      <w:r w:rsidR="008003A6" w:rsidRPr="00A91177">
        <w:rPr>
          <w:rFonts w:hint="cs"/>
          <w:spacing w:val="2"/>
          <w:rtl/>
        </w:rPr>
        <w:t>ً</w:t>
      </w:r>
      <w:r w:rsidRPr="008E6D9D">
        <w:rPr>
          <w:spacing w:val="2"/>
          <w:rtl/>
        </w:rPr>
        <w:t>. وفي الوقت نفسه، يواصل مكتب الأخلاقيات، بوصفه وظيفة مستقلة، التعاون الوثيق مع وحدة الرقابة في إطار ولايته (</w:t>
      </w:r>
      <w:hyperlink r:id="rId24" w:history="1">
        <w:r w:rsidRPr="008E6D9D">
          <w:rPr>
            <w:rStyle w:val="Hyperlink"/>
            <w:noProof w:val="0"/>
            <w:spacing w:val="2"/>
            <w:rtl/>
            <w:lang w:val="en-US" w:eastAsia="zh-CN"/>
          </w:rPr>
          <w:t>C24/120</w:t>
        </w:r>
      </w:hyperlink>
      <w:r w:rsidRPr="008E6D9D">
        <w:rPr>
          <w:spacing w:val="2"/>
          <w:rtl/>
        </w:rPr>
        <w:t xml:space="preserve">). </w:t>
      </w:r>
      <w:r w:rsidRPr="008E6D9D">
        <w:rPr>
          <w:rFonts w:hint="cs"/>
          <w:spacing w:val="2"/>
          <w:rtl/>
        </w:rPr>
        <w:t>وقد روجعت</w:t>
      </w:r>
      <w:r w:rsidRPr="008E6D9D">
        <w:rPr>
          <w:spacing w:val="2"/>
          <w:rtl/>
        </w:rPr>
        <w:t xml:space="preserve"> المادة</w:t>
      </w:r>
      <w:r w:rsidR="00A91177" w:rsidRPr="00A91177">
        <w:rPr>
          <w:rFonts w:hint="cs"/>
          <w:spacing w:val="2"/>
          <w:rtl/>
        </w:rPr>
        <w:t> </w:t>
      </w:r>
      <w:r w:rsidRPr="008E6D9D">
        <w:rPr>
          <w:spacing w:val="2"/>
          <w:rtl/>
        </w:rPr>
        <w:t>29 من اللوائح المالية والقواعد المالية ون</w:t>
      </w:r>
      <w:r w:rsidRPr="008E6D9D">
        <w:rPr>
          <w:rFonts w:hint="cs"/>
          <w:spacing w:val="2"/>
          <w:rtl/>
        </w:rPr>
        <w:t>ُ</w:t>
      </w:r>
      <w:r w:rsidRPr="008E6D9D">
        <w:rPr>
          <w:spacing w:val="2"/>
          <w:rtl/>
        </w:rPr>
        <w:t xml:space="preserve">شر </w:t>
      </w:r>
      <w:hyperlink r:id="rId25" w:history="1">
        <w:r w:rsidRPr="008E6D9D">
          <w:rPr>
            <w:rStyle w:val="Hyperlink"/>
            <w:rFonts w:hint="eastAsia"/>
            <w:noProof w:val="0"/>
            <w:spacing w:val="2"/>
            <w:rtl/>
            <w:lang w:val="en-US" w:eastAsia="zh-CN"/>
          </w:rPr>
          <w:t>الأمر الإداري رقم</w:t>
        </w:r>
        <w:r w:rsidR="00A91177" w:rsidRPr="00A91177">
          <w:rPr>
            <w:rStyle w:val="Hyperlink"/>
            <w:rFonts w:hint="cs"/>
            <w:noProof w:val="0"/>
            <w:spacing w:val="2"/>
            <w:rtl/>
            <w:lang w:val="en-US" w:eastAsia="zh-CN"/>
          </w:rPr>
          <w:t> 09/24</w:t>
        </w:r>
      </w:hyperlink>
      <w:r w:rsidRPr="008E6D9D">
        <w:rPr>
          <w:spacing w:val="2"/>
          <w:rtl/>
        </w:rPr>
        <w:t xml:space="preserve"> وفقا</w:t>
      </w:r>
      <w:r w:rsidR="00A91177" w:rsidRPr="00A91177">
        <w:rPr>
          <w:rFonts w:hint="cs"/>
          <w:spacing w:val="2"/>
          <w:rtl/>
        </w:rPr>
        <w:t>ً</w:t>
      </w:r>
      <w:r w:rsidRPr="008E6D9D">
        <w:rPr>
          <w:spacing w:val="2"/>
          <w:rtl/>
        </w:rPr>
        <w:t xml:space="preserve"> لذلك.</w:t>
      </w:r>
    </w:p>
    <w:p w14:paraId="42E11220" w14:textId="341B2F59" w:rsidR="008E6D9D" w:rsidRPr="008E6D9D" w:rsidRDefault="008E6D9D" w:rsidP="00CB5259">
      <w:pPr>
        <w:rPr>
          <w:lang w:bidi="ar-EG"/>
        </w:rPr>
      </w:pPr>
      <w:r w:rsidRPr="008E6D9D">
        <w:rPr>
          <w:rtl/>
        </w:rPr>
        <w:t>وكما ورد في محضر دورة المجلس لعام 2024، يلزم إدخال المزيد من التحسينات على ميثاق الرقابة الداخلية (</w:t>
      </w:r>
      <w:hyperlink r:id="rId26" w:history="1">
        <w:r w:rsidR="00CB5259" w:rsidRPr="00CB5259">
          <w:rPr>
            <w:rStyle w:val="Hyperlink"/>
            <w:noProof w:val="0"/>
            <w:lang w:eastAsia="zh-CN"/>
          </w:rPr>
          <w:t>C24/109(Rev.1)</w:t>
        </w:r>
      </w:hyperlink>
      <w:r w:rsidRPr="008E6D9D">
        <w:rPr>
          <w:rtl/>
        </w:rPr>
        <w:t>)، ولا سيما فيما يتعلق بالفقرات 25-27 بشأن الاستقلالية:</w:t>
      </w:r>
    </w:p>
    <w:p w14:paraId="4F812460" w14:textId="39A268C7" w:rsidR="008E6D9D" w:rsidRPr="008E6D9D" w:rsidRDefault="008E6D9D" w:rsidP="00A91177">
      <w:pPr>
        <w:pStyle w:val="enumlev1"/>
        <w:rPr>
          <w:lang w:val="en-GB" w:bidi="ar-EG"/>
        </w:rPr>
      </w:pPr>
      <w:r w:rsidRPr="008E6D9D">
        <w:rPr>
          <w:rtl/>
        </w:rPr>
        <w:t>"25</w:t>
      </w:r>
      <w:r w:rsidRPr="008E6D9D">
        <w:rPr>
          <w:rtl/>
        </w:rPr>
        <w:tab/>
        <w:t>ومن أجل الحفاظ على استقلالية العاملين في وحدة الرقابة وتمكينهم من تنفيذ أعمال المراجعة بموضوعية وإصدار أحكام محايدة، لن يكون لهم أي صلاحيات إدارية أو مسؤولية عن أي من الأنشطة التي يقومون بمراجعتها أو التحقيق فيها أو تقييمها، ولا يؤدون أي وظائف تشغيلية أخرى للاتحاد.</w:t>
      </w:r>
    </w:p>
    <w:p w14:paraId="285D4D0B" w14:textId="269A5E2E" w:rsidR="008E6D9D" w:rsidRPr="008E6D9D" w:rsidRDefault="008E6D9D" w:rsidP="00A91177">
      <w:pPr>
        <w:pStyle w:val="enumlev1"/>
        <w:rPr>
          <w:rtl/>
        </w:rPr>
      </w:pPr>
      <w:r w:rsidRPr="008E6D9D">
        <w:rPr>
          <w:rtl/>
        </w:rPr>
        <w:t>26</w:t>
      </w:r>
      <w:r w:rsidRPr="008E6D9D">
        <w:rPr>
          <w:rtl/>
        </w:rPr>
        <w:tab/>
        <w:t>ولا تتولى وحدة الرقابة التحقيق في ادعاءات سوء السلوك ضد رئيس الوحدة أو العاملين فيها. وتحال أي ادعاءات من هذا القبيل تتطلب التحقيق إلى الأمينة العامة التي تلتمس المشورة من اللجنة الاستشارية المستقلة للإدارة (</w:t>
      </w:r>
      <w:r w:rsidRPr="008E6D9D">
        <w:rPr>
          <w:lang w:val="en-GB" w:bidi="ar-EG"/>
        </w:rPr>
        <w:t>IMAC</w:t>
      </w:r>
      <w:r w:rsidRPr="008E6D9D">
        <w:rPr>
          <w:rtl/>
        </w:rPr>
        <w:t>). وتضع اللجنة الاستشارية المستقلة للإدارة (</w:t>
      </w:r>
      <w:r w:rsidRPr="008E6D9D">
        <w:rPr>
          <w:lang w:val="en-GB" w:bidi="ar-EG"/>
        </w:rPr>
        <w:t>IMAC</w:t>
      </w:r>
      <w:r w:rsidRPr="008E6D9D">
        <w:rPr>
          <w:rtl/>
        </w:rPr>
        <w:t>) إجراءات إحالة مفصّلة ومناسبة من أجل المراجعة الأولية المستقلة للادعاء (الادعاءات)، وآلية تحقيق مستقلة، عند الاقتضاء.</w:t>
      </w:r>
    </w:p>
    <w:p w14:paraId="1E61747E" w14:textId="05A0DC0A" w:rsidR="008E6D9D" w:rsidRPr="008E6D9D" w:rsidRDefault="008E6D9D" w:rsidP="00A91177">
      <w:pPr>
        <w:pStyle w:val="enumlev1"/>
        <w:rPr>
          <w:rtl/>
        </w:rPr>
      </w:pPr>
      <w:r w:rsidRPr="008E6D9D">
        <w:rPr>
          <w:rtl/>
        </w:rPr>
        <w:t>27</w:t>
      </w:r>
      <w:r w:rsidRPr="008E6D9D">
        <w:rPr>
          <w:rtl/>
        </w:rPr>
        <w:tab/>
        <w:t>ولا تتولى وحدة الرقابة التحقيق في ادعاءات سوء السلوك ضد الأمين العام والمسؤولين المنتخبين الآخرين. وينبغي الإبلاغ عن هذه الادعاءات إلى رئيس المجلس ورئيس اللجنة الاستشارية المستقلة للإدارة (</w:t>
      </w:r>
      <w:r w:rsidRPr="008E6D9D">
        <w:rPr>
          <w:lang w:val="en-GB" w:bidi="ar-EG"/>
        </w:rPr>
        <w:t>IMAC</w:t>
      </w:r>
      <w:r w:rsidRPr="008E6D9D">
        <w:rPr>
          <w:rtl/>
        </w:rPr>
        <w:t>). وستقوم وحدة الرقابة بوضع إجراءات إحالة مفصّلة ومناسبة من أجل المراجعة الأولية المستقلة للادعاء (الادعاءات)، وآلية تحقيق مستقلة، عند الاقتضاء. وستستند هذه الإجراءات إلى ممارسات الأمم المتحدة الفضلى، وتستعرضها اللجنة (</w:t>
      </w:r>
      <w:r w:rsidRPr="008E6D9D">
        <w:rPr>
          <w:lang w:val="en-GB" w:bidi="ar-EG"/>
        </w:rPr>
        <w:t>IMAC</w:t>
      </w:r>
      <w:r w:rsidRPr="008E6D9D">
        <w:rPr>
          <w:rtl/>
        </w:rPr>
        <w:t>) وتُقدّم إلى مجلس الاتحاد للنظر فيها واتخاذ إجراء بشأنها، إن وجد</w:t>
      </w:r>
      <w:r w:rsidRPr="008E6D9D">
        <w:rPr>
          <w:rFonts w:hint="cs"/>
          <w:rtl/>
        </w:rPr>
        <w:t>"</w:t>
      </w:r>
      <w:r w:rsidRPr="008E6D9D">
        <w:rPr>
          <w:rtl/>
        </w:rPr>
        <w:t>.</w:t>
      </w:r>
    </w:p>
    <w:p w14:paraId="1BBEC2EB" w14:textId="3E81B889" w:rsidR="008E6D9D" w:rsidRPr="008E6D9D" w:rsidRDefault="008E6D9D" w:rsidP="00A91177">
      <w:pPr>
        <w:pStyle w:val="Heading1"/>
        <w:rPr>
          <w:lang w:val="en-GB" w:bidi="ar-EG"/>
        </w:rPr>
      </w:pPr>
      <w:r w:rsidRPr="008E6D9D">
        <w:rPr>
          <w:rFonts w:hint="eastAsia"/>
          <w:rtl/>
        </w:rPr>
        <w:t>2</w:t>
      </w:r>
      <w:r w:rsidR="00A91177">
        <w:tab/>
      </w:r>
      <w:r w:rsidRPr="008E6D9D">
        <w:rPr>
          <w:rtl/>
        </w:rPr>
        <w:t>المقترحات</w:t>
      </w:r>
    </w:p>
    <w:p w14:paraId="00486D3E" w14:textId="0A29B6D8" w:rsidR="008E6D9D" w:rsidRPr="008E6D9D" w:rsidRDefault="00A91177" w:rsidP="00283117">
      <w:pPr>
        <w:rPr>
          <w:lang w:val="en-GB" w:bidi="ar-EG"/>
        </w:rPr>
      </w:pPr>
      <w:r>
        <w:t>1</w:t>
      </w:r>
      <w:r>
        <w:tab/>
      </w:r>
      <w:r w:rsidR="008E6D9D" w:rsidRPr="008E6D9D">
        <w:rPr>
          <w:rFonts w:hint="cs"/>
          <w:rtl/>
        </w:rPr>
        <w:t>بغية</w:t>
      </w:r>
      <w:r w:rsidR="008E6D9D" w:rsidRPr="008E6D9D">
        <w:rPr>
          <w:rtl/>
        </w:rPr>
        <w:t xml:space="preserve"> تنفيذ قرار المجلس بتحسين الرقابة الداخلية، وتيسير تنفيذ ميثاق الرقابة الداخلية، ينبغي للجنة الاستشارية المستقلة للإدارة (IMAC) ووحدة </w:t>
      </w:r>
      <w:r w:rsidR="008E6D9D" w:rsidRPr="008E6D9D">
        <w:rPr>
          <w:rFonts w:hint="cs"/>
          <w:rtl/>
        </w:rPr>
        <w:t>الرقابة</w:t>
      </w:r>
      <w:r w:rsidR="008E6D9D" w:rsidRPr="008E6D9D">
        <w:rPr>
          <w:rtl/>
        </w:rPr>
        <w:t xml:space="preserve"> </w:t>
      </w:r>
      <w:bookmarkStart w:id="0" w:name="_Hlk201050052"/>
      <w:r w:rsidR="008E6D9D" w:rsidRPr="008E6D9D">
        <w:rPr>
          <w:rtl/>
        </w:rPr>
        <w:t xml:space="preserve">صياغة </w:t>
      </w:r>
      <w:bookmarkEnd w:id="0"/>
      <w:r w:rsidR="008E6D9D" w:rsidRPr="008E6D9D">
        <w:rPr>
          <w:rtl/>
        </w:rPr>
        <w:t xml:space="preserve">الوثيقتين الإجرائيتين التاليتين </w:t>
      </w:r>
      <w:r w:rsidR="00283117" w:rsidRPr="00283117">
        <w:rPr>
          <w:rtl/>
        </w:rPr>
        <w:t>وإبلاغ المجلس بشأنهما،</w:t>
      </w:r>
      <w:r w:rsidR="00283117">
        <w:rPr>
          <w:rFonts w:hint="cs"/>
          <w:rtl/>
        </w:rPr>
        <w:t xml:space="preserve"> </w:t>
      </w:r>
      <w:r w:rsidR="00283117" w:rsidRPr="00283117">
        <w:rPr>
          <w:rtl/>
        </w:rPr>
        <w:t>وهما على الترتيب:</w:t>
      </w:r>
    </w:p>
    <w:p w14:paraId="75939C04" w14:textId="2AA0AF62" w:rsidR="008E6D9D" w:rsidRPr="008E6D9D" w:rsidRDefault="008E6D9D" w:rsidP="00A91177">
      <w:pPr>
        <w:pStyle w:val="enumlev1"/>
        <w:rPr>
          <w:lang w:val="en-GB" w:bidi="ar-EG"/>
        </w:rPr>
      </w:pPr>
      <w:r w:rsidRPr="008E6D9D">
        <w:rPr>
          <w:rtl/>
        </w:rPr>
        <w:t>-</w:t>
      </w:r>
      <w:r w:rsidRPr="008E6D9D">
        <w:rPr>
          <w:rtl/>
        </w:rPr>
        <w:tab/>
        <w:t>إجراء إحالة مفص</w:t>
      </w:r>
      <w:r w:rsidRPr="008E6D9D">
        <w:rPr>
          <w:rFonts w:hint="cs"/>
          <w:rtl/>
        </w:rPr>
        <w:t>َّ</w:t>
      </w:r>
      <w:r w:rsidRPr="008E6D9D">
        <w:rPr>
          <w:rtl/>
        </w:rPr>
        <w:t xml:space="preserve">ل </w:t>
      </w:r>
      <w:r w:rsidRPr="008E6D9D">
        <w:rPr>
          <w:rFonts w:hint="cs"/>
          <w:rtl/>
        </w:rPr>
        <w:t>للاستعراض</w:t>
      </w:r>
      <w:r w:rsidRPr="008E6D9D">
        <w:rPr>
          <w:rtl/>
        </w:rPr>
        <w:t xml:space="preserve"> الأولي المستقل لمزاعم سوء السلوك ضد رئيس أو موظفي وحدة الرقابة، إلى</w:t>
      </w:r>
      <w:r w:rsidR="00DF2CCD">
        <w:rPr>
          <w:rFonts w:hint="cs"/>
          <w:rtl/>
        </w:rPr>
        <w:t> </w:t>
      </w:r>
      <w:r w:rsidRPr="008E6D9D">
        <w:rPr>
          <w:rtl/>
        </w:rPr>
        <w:t>جانب آلية تحقيق مستقلة مقابلة، تعدها اللجنة الاستشارية المستقلة للإدارة</w:t>
      </w:r>
      <w:r w:rsidR="00DF2CCD">
        <w:rPr>
          <w:rFonts w:hint="cs"/>
          <w:rtl/>
        </w:rPr>
        <w:t>؛</w:t>
      </w:r>
    </w:p>
    <w:p w14:paraId="3AD54402" w14:textId="75A72AF5" w:rsidR="008E6D9D" w:rsidRPr="008E6D9D" w:rsidRDefault="008E6D9D" w:rsidP="00A91177">
      <w:pPr>
        <w:pStyle w:val="enumlev1"/>
        <w:rPr>
          <w:lang w:bidi="ar-EG"/>
        </w:rPr>
      </w:pPr>
      <w:r w:rsidRPr="008E6D9D">
        <w:rPr>
          <w:rtl/>
        </w:rPr>
        <w:t>-</w:t>
      </w:r>
      <w:r w:rsidRPr="008E6D9D">
        <w:rPr>
          <w:rtl/>
        </w:rPr>
        <w:tab/>
        <w:t>إجراء إحالة مفص</w:t>
      </w:r>
      <w:r w:rsidRPr="008E6D9D">
        <w:rPr>
          <w:rFonts w:hint="cs"/>
          <w:rtl/>
        </w:rPr>
        <w:t>َّ</w:t>
      </w:r>
      <w:r w:rsidRPr="008E6D9D">
        <w:rPr>
          <w:rtl/>
        </w:rPr>
        <w:t xml:space="preserve">ل </w:t>
      </w:r>
      <w:r w:rsidRPr="008E6D9D">
        <w:rPr>
          <w:rFonts w:hint="cs"/>
          <w:rtl/>
        </w:rPr>
        <w:t>للاستعراض</w:t>
      </w:r>
      <w:r w:rsidRPr="008E6D9D">
        <w:rPr>
          <w:rtl/>
        </w:rPr>
        <w:t xml:space="preserve"> الأولي لمزاعم سوء السلوك ضد الأمين العام أو غيره من المسؤولين المنتخبين، إلى جانب آلية تحقيق مستقلة مقابلة، تعدها وحدة الرقابة.</w:t>
      </w:r>
    </w:p>
    <w:p w14:paraId="229EE103" w14:textId="6BF955C3" w:rsidR="008E6D9D" w:rsidRPr="008E6D9D" w:rsidRDefault="00A91177" w:rsidP="008E6D9D">
      <w:pPr>
        <w:rPr>
          <w:lang w:val="en-GB" w:bidi="ar-EG"/>
        </w:rPr>
      </w:pPr>
      <w:r>
        <w:t>2</w:t>
      </w:r>
      <w:r>
        <w:tab/>
      </w:r>
      <w:r w:rsidR="008E6D9D" w:rsidRPr="008E6D9D">
        <w:rPr>
          <w:rtl/>
        </w:rPr>
        <w:t xml:space="preserve">عند صياغة الإجراءات ذات الصلة، </w:t>
      </w:r>
      <w:r w:rsidR="008E6D9D" w:rsidRPr="008E6D9D">
        <w:rPr>
          <w:rFonts w:hint="cs"/>
          <w:rtl/>
        </w:rPr>
        <w:t>ت</w:t>
      </w:r>
      <w:r w:rsidR="008E6D9D" w:rsidRPr="008E6D9D">
        <w:rPr>
          <w:rtl/>
        </w:rPr>
        <w:t>نبغي للجنة الاستشارية المستقلة للإدارة ووحدة الرقابة مراعاة ما يلي:</w:t>
      </w:r>
    </w:p>
    <w:p w14:paraId="442AF33A" w14:textId="32418A36" w:rsidR="008E6D9D" w:rsidRPr="008E6D9D" w:rsidRDefault="008E6D9D" w:rsidP="00A91177">
      <w:pPr>
        <w:pStyle w:val="enumlev1"/>
        <w:rPr>
          <w:lang w:val="en-GB" w:bidi="ar-EG"/>
        </w:rPr>
      </w:pPr>
      <w:r w:rsidRPr="008E6D9D">
        <w:rPr>
          <w:rtl/>
        </w:rPr>
        <w:t>-</w:t>
      </w:r>
      <w:r w:rsidRPr="008E6D9D">
        <w:rPr>
          <w:rtl/>
        </w:rPr>
        <w:tab/>
        <w:t>تحديد أدوار ومسؤوليات الأمين العام والمجلس واللجنة الاستشارية المستقلة للإدارة ووحدة الرقابة ومكتب الأخلاقيات ومجلس الطعون الداخلي بوضوح في مختلف مراحل معالجة مزاعم سوء السلوك</w:t>
      </w:r>
      <w:r w:rsidRPr="008E6D9D">
        <w:rPr>
          <w:rFonts w:hint="cs"/>
          <w:rtl/>
        </w:rPr>
        <w:t>،</w:t>
      </w:r>
      <w:r w:rsidRPr="008E6D9D">
        <w:rPr>
          <w:rFonts w:hint="eastAsia"/>
          <w:rtl/>
        </w:rPr>
        <w:t xml:space="preserve"> </w:t>
      </w:r>
      <w:r w:rsidRPr="008E6D9D">
        <w:rPr>
          <w:rtl/>
        </w:rPr>
        <w:t xml:space="preserve">من تلقي الشكاوى وتسجيلها، إلى التحقيق في الحالات </w:t>
      </w:r>
      <w:r w:rsidRPr="008E6D9D">
        <w:rPr>
          <w:rFonts w:hint="cs"/>
          <w:rtl/>
        </w:rPr>
        <w:t>واستعراضها</w:t>
      </w:r>
      <w:r w:rsidRPr="008E6D9D">
        <w:rPr>
          <w:rtl/>
        </w:rPr>
        <w:t>، والتوصل إلى النتائج، وتنفيذ الإجراءات العلاجية أو</w:t>
      </w:r>
      <w:r w:rsidR="00F15397">
        <w:rPr>
          <w:rFonts w:hint="cs"/>
          <w:rtl/>
        </w:rPr>
        <w:t> </w:t>
      </w:r>
      <w:r w:rsidRPr="008E6D9D">
        <w:rPr>
          <w:rtl/>
        </w:rPr>
        <w:t>التصحيحية المناسبة</w:t>
      </w:r>
      <w:r w:rsidRPr="008E6D9D">
        <w:rPr>
          <w:rFonts w:hint="cs"/>
          <w:rtl/>
        </w:rPr>
        <w:t>؛</w:t>
      </w:r>
      <w:r w:rsidRPr="008E6D9D">
        <w:rPr>
          <w:rFonts w:hint="eastAsia"/>
          <w:rtl/>
        </w:rPr>
        <w:t xml:space="preserve"> </w:t>
      </w:r>
      <w:r w:rsidRPr="008E6D9D">
        <w:rPr>
          <w:rtl/>
        </w:rPr>
        <w:t>و</w:t>
      </w:r>
      <w:r w:rsidRPr="008E6D9D">
        <w:rPr>
          <w:rFonts w:hint="eastAsia"/>
          <w:rtl/>
        </w:rPr>
        <w:t>ضمان</w:t>
      </w:r>
      <w:r w:rsidRPr="008E6D9D">
        <w:rPr>
          <w:rtl/>
        </w:rPr>
        <w:t xml:space="preserve"> تقسيم واضح للمسؤوليات وتنسيق فعال بين مكتب الأخلاقيات ووحدة الرقابة في </w:t>
      </w:r>
      <w:r w:rsidRPr="008E6D9D">
        <w:rPr>
          <w:rFonts w:hint="eastAsia"/>
          <w:rtl/>
        </w:rPr>
        <w:t xml:space="preserve">التعامل مع مزاعم </w:t>
      </w:r>
      <w:r w:rsidRPr="008E6D9D">
        <w:rPr>
          <w:rtl/>
        </w:rPr>
        <w:t>سوء السلوك</w:t>
      </w:r>
      <w:r w:rsidR="00F15397">
        <w:rPr>
          <w:rFonts w:hint="cs"/>
          <w:rtl/>
        </w:rPr>
        <w:t>؛</w:t>
      </w:r>
    </w:p>
    <w:p w14:paraId="3EC1C852" w14:textId="58E06351" w:rsidR="008E6D9D" w:rsidRPr="008E6D9D" w:rsidRDefault="008E6D9D" w:rsidP="00283117">
      <w:pPr>
        <w:pStyle w:val="enumlev1"/>
        <w:rPr>
          <w:lang w:val="en-GB" w:bidi="ar-EG"/>
        </w:rPr>
      </w:pPr>
      <w:r w:rsidRPr="008E6D9D">
        <w:rPr>
          <w:rFonts w:hint="eastAsia"/>
          <w:rtl/>
        </w:rPr>
        <w:t>-</w:t>
      </w:r>
      <w:r w:rsidRPr="008E6D9D">
        <w:rPr>
          <w:rtl/>
        </w:rPr>
        <w:tab/>
      </w:r>
      <w:r w:rsidRPr="00CB5259">
        <w:rPr>
          <w:rFonts w:hint="cs"/>
          <w:spacing w:val="-6"/>
          <w:rtl/>
        </w:rPr>
        <w:t>عند التعامل مع</w:t>
      </w:r>
      <w:r w:rsidRPr="00CB5259">
        <w:rPr>
          <w:spacing w:val="-6"/>
          <w:rtl/>
        </w:rPr>
        <w:t xml:space="preserve"> السيناريوهات </w:t>
      </w:r>
      <w:r w:rsidRPr="00CB5259">
        <w:rPr>
          <w:rFonts w:hint="cs"/>
          <w:spacing w:val="-6"/>
          <w:rtl/>
        </w:rPr>
        <w:t>النمطية</w:t>
      </w:r>
      <w:r w:rsidRPr="00CB5259">
        <w:rPr>
          <w:spacing w:val="-6"/>
          <w:rtl/>
        </w:rPr>
        <w:t xml:space="preserve"> لسوء السلوك</w:t>
      </w:r>
      <w:r w:rsidR="00F15397">
        <w:rPr>
          <w:rFonts w:hint="cs"/>
          <w:spacing w:val="-6"/>
          <w:rtl/>
        </w:rPr>
        <w:t>،</w:t>
      </w:r>
      <w:r w:rsidR="00F15397" w:rsidRPr="00CB5259">
        <w:rPr>
          <w:rFonts w:hint="eastAsia"/>
          <w:spacing w:val="-6"/>
          <w:rtl/>
        </w:rPr>
        <w:t xml:space="preserve"> </w:t>
      </w:r>
      <w:r w:rsidRPr="00CB5259">
        <w:rPr>
          <w:spacing w:val="-6"/>
          <w:rtl/>
        </w:rPr>
        <w:t xml:space="preserve">مثل الاحتيال والفساد </w:t>
      </w:r>
      <w:r w:rsidRPr="00CB5259">
        <w:rPr>
          <w:rFonts w:hint="cs"/>
          <w:spacing w:val="-6"/>
          <w:rtl/>
        </w:rPr>
        <w:t>والتحرش</w:t>
      </w:r>
      <w:r w:rsidRPr="00CB5259">
        <w:rPr>
          <w:spacing w:val="-6"/>
          <w:rtl/>
        </w:rPr>
        <w:t xml:space="preserve"> وإساءة استخدام السلطة وتضارب المصالح والانتقام</w:t>
      </w:r>
      <w:r w:rsidRPr="00CB5259">
        <w:rPr>
          <w:rFonts w:hint="cs"/>
          <w:spacing w:val="-6"/>
          <w:rtl/>
        </w:rPr>
        <w:t>،</w:t>
      </w:r>
      <w:r w:rsidRPr="00CB5259">
        <w:rPr>
          <w:rFonts w:hint="eastAsia"/>
          <w:spacing w:val="-6"/>
          <w:rtl/>
        </w:rPr>
        <w:t xml:space="preserve"> </w:t>
      </w:r>
      <w:r w:rsidRPr="00CB5259">
        <w:rPr>
          <w:spacing w:val="-6"/>
          <w:rtl/>
        </w:rPr>
        <w:t>ينبغي استخدام</w:t>
      </w:r>
      <w:r w:rsidRPr="00CB5259">
        <w:rPr>
          <w:rFonts w:hint="cs"/>
          <w:spacing w:val="-6"/>
          <w:rtl/>
        </w:rPr>
        <w:t xml:space="preserve"> </w:t>
      </w:r>
      <w:r w:rsidRPr="00CB5259">
        <w:rPr>
          <w:spacing w:val="-6"/>
          <w:rtl/>
        </w:rPr>
        <w:t xml:space="preserve">الإطار التنظيمي </w:t>
      </w:r>
      <w:r w:rsidRPr="00CB5259">
        <w:rPr>
          <w:rFonts w:hint="cs"/>
          <w:spacing w:val="-6"/>
          <w:rtl/>
        </w:rPr>
        <w:t>القائم</w:t>
      </w:r>
      <w:r w:rsidRPr="00CB5259">
        <w:rPr>
          <w:spacing w:val="-6"/>
          <w:rtl/>
        </w:rPr>
        <w:t xml:space="preserve"> ل</w:t>
      </w:r>
      <w:r w:rsidRPr="00CB5259">
        <w:rPr>
          <w:rFonts w:hint="cs"/>
          <w:spacing w:val="-6"/>
          <w:rtl/>
        </w:rPr>
        <w:t>دى ا</w:t>
      </w:r>
      <w:r w:rsidRPr="00CB5259">
        <w:rPr>
          <w:spacing w:val="-6"/>
          <w:rtl/>
        </w:rPr>
        <w:t>لاتحاد، بما في ذلك النظام الأساسي للموظفين</w:t>
      </w:r>
      <w:r w:rsidRPr="00CB5259">
        <w:rPr>
          <w:rFonts w:hint="eastAsia"/>
          <w:spacing w:val="-6"/>
          <w:rtl/>
        </w:rPr>
        <w:t xml:space="preserve"> والنظام الإداري للموظفين</w:t>
      </w:r>
      <w:r w:rsidRPr="00CB5259">
        <w:rPr>
          <w:rFonts w:hint="cs"/>
          <w:spacing w:val="-6"/>
          <w:rtl/>
        </w:rPr>
        <w:t xml:space="preserve"> و</w:t>
      </w:r>
      <w:r w:rsidRPr="00CB5259">
        <w:rPr>
          <w:spacing w:val="-6"/>
          <w:rtl/>
        </w:rPr>
        <w:t>النظامين الأساسي والإداري للموظفين الساريين على المسؤولين المنتخبين، و</w:t>
      </w:r>
      <w:r w:rsidRPr="00CB5259">
        <w:rPr>
          <w:rFonts w:hint="cs"/>
          <w:spacing w:val="-6"/>
          <w:rtl/>
        </w:rPr>
        <w:t>ال</w:t>
      </w:r>
      <w:r w:rsidRPr="00CB5259">
        <w:rPr>
          <w:spacing w:val="-6"/>
          <w:rtl/>
        </w:rPr>
        <w:t xml:space="preserve">أوامر </w:t>
      </w:r>
      <w:r w:rsidRPr="00CB5259">
        <w:rPr>
          <w:rFonts w:hint="cs"/>
          <w:spacing w:val="-6"/>
          <w:rtl/>
        </w:rPr>
        <w:t>الإدارية</w:t>
      </w:r>
      <w:r w:rsidRPr="00CB5259">
        <w:rPr>
          <w:spacing w:val="-6"/>
          <w:rtl/>
        </w:rPr>
        <w:t xml:space="preserve"> ذات الصلة (</w:t>
      </w:r>
      <w:hyperlink r:id="rId27" w:history="1">
        <w:r w:rsidRPr="00CB5259">
          <w:rPr>
            <w:rStyle w:val="Hyperlink"/>
            <w:rFonts w:hint="eastAsia"/>
            <w:noProof w:val="0"/>
            <w:spacing w:val="-6"/>
            <w:rtl/>
            <w:lang w:val="en-US" w:eastAsia="zh-CN" w:bidi="ar-SA"/>
          </w:rPr>
          <w:t>الأمر</w:t>
        </w:r>
        <w:r w:rsidR="00CB5259" w:rsidRPr="00CB5259">
          <w:rPr>
            <w:rStyle w:val="Hyperlink"/>
            <w:rFonts w:hint="cs"/>
            <w:noProof w:val="0"/>
            <w:spacing w:val="-6"/>
            <w:rtl/>
            <w:lang w:val="en-US" w:eastAsia="zh-CN" w:bidi="ar-SA"/>
          </w:rPr>
          <w:t> </w:t>
        </w:r>
        <w:r w:rsidRPr="00CB5259">
          <w:rPr>
            <w:rStyle w:val="Hyperlink"/>
            <w:rFonts w:hint="eastAsia"/>
            <w:noProof w:val="0"/>
            <w:spacing w:val="-6"/>
            <w:rtl/>
            <w:lang w:val="en-US" w:eastAsia="zh-CN" w:bidi="ar-SA"/>
          </w:rPr>
          <w:t>الإداري</w:t>
        </w:r>
        <w:r w:rsidR="00035ACB" w:rsidRPr="00CB5259">
          <w:rPr>
            <w:rStyle w:val="Hyperlink"/>
            <w:rFonts w:hint="cs"/>
            <w:noProof w:val="0"/>
            <w:spacing w:val="-6"/>
            <w:rtl/>
            <w:lang w:val="en-US" w:eastAsia="zh-CN" w:bidi="ar-SA"/>
          </w:rPr>
          <w:t> </w:t>
        </w:r>
        <w:r w:rsidR="00035ACB" w:rsidRPr="00CB5259">
          <w:rPr>
            <w:rStyle w:val="Hyperlink"/>
            <w:noProof w:val="0"/>
            <w:spacing w:val="-6"/>
            <w:lang w:val="en-US" w:eastAsia="zh-CN" w:bidi="ar-SA"/>
          </w:rPr>
          <w:t>17/07</w:t>
        </w:r>
        <w:r w:rsidR="00035ACB" w:rsidRPr="00CB5259">
          <w:rPr>
            <w:rStyle w:val="Hyperlink"/>
            <w:rFonts w:hint="cs"/>
            <w:noProof w:val="0"/>
            <w:color w:val="auto"/>
            <w:spacing w:val="-6"/>
            <w:u w:val="none"/>
            <w:rtl/>
            <w:lang w:val="en-US" w:eastAsia="zh-CN" w:bidi="ar-SA"/>
          </w:rPr>
          <w:t>،</w:t>
        </w:r>
      </w:hyperlink>
      <w:r w:rsidRPr="00CB5259">
        <w:rPr>
          <w:rFonts w:hint="eastAsia"/>
          <w:spacing w:val="-6"/>
          <w:rtl/>
        </w:rPr>
        <w:t xml:space="preserve"> </w:t>
      </w:r>
      <w:hyperlink r:id="rId28" w:history="1">
        <w:r w:rsidRPr="00CB5259">
          <w:rPr>
            <w:rStyle w:val="Hyperlink"/>
            <w:rFonts w:hint="eastAsia"/>
            <w:noProof w:val="0"/>
            <w:spacing w:val="-6"/>
            <w:rtl/>
            <w:lang w:val="en-US" w:eastAsia="zh-CN" w:bidi="ar-SA"/>
          </w:rPr>
          <w:t>الأمر</w:t>
        </w:r>
        <w:r w:rsidR="00CB5259" w:rsidRPr="00CB5259">
          <w:rPr>
            <w:rStyle w:val="Hyperlink"/>
            <w:rFonts w:hint="cs"/>
            <w:noProof w:val="0"/>
            <w:spacing w:val="-6"/>
            <w:rtl/>
            <w:lang w:val="en-US" w:eastAsia="zh-CN" w:bidi="ar-SA"/>
          </w:rPr>
          <w:t> </w:t>
        </w:r>
        <w:r w:rsidRPr="00CB5259">
          <w:rPr>
            <w:rStyle w:val="Hyperlink"/>
            <w:rFonts w:hint="eastAsia"/>
            <w:noProof w:val="0"/>
            <w:spacing w:val="-6"/>
            <w:rtl/>
            <w:lang w:val="en-US" w:eastAsia="zh-CN" w:bidi="ar-SA"/>
          </w:rPr>
          <w:t>الإداري</w:t>
        </w:r>
        <w:r w:rsidR="00035ACB" w:rsidRPr="00CB5259">
          <w:rPr>
            <w:rStyle w:val="Hyperlink"/>
            <w:rFonts w:hint="cs"/>
            <w:noProof w:val="0"/>
            <w:spacing w:val="-6"/>
            <w:rtl/>
            <w:lang w:val="en-US" w:eastAsia="zh-CN" w:bidi="ar-SA"/>
          </w:rPr>
          <w:t> </w:t>
        </w:r>
        <w:r w:rsidR="00035ACB" w:rsidRPr="00CB5259">
          <w:rPr>
            <w:rStyle w:val="Hyperlink"/>
            <w:noProof w:val="0"/>
            <w:spacing w:val="-6"/>
            <w:lang w:val="en-US" w:eastAsia="zh-CN" w:bidi="ar-SA"/>
          </w:rPr>
          <w:t>11/02</w:t>
        </w:r>
        <w:r w:rsidR="00035ACB" w:rsidRPr="00CB5259">
          <w:rPr>
            <w:rStyle w:val="Hyperlink"/>
            <w:rFonts w:hint="cs"/>
            <w:noProof w:val="0"/>
            <w:color w:val="auto"/>
            <w:spacing w:val="-6"/>
            <w:u w:val="none"/>
            <w:rtl/>
            <w:lang w:val="en-US" w:eastAsia="zh-CN" w:bidi="ar-SA"/>
          </w:rPr>
          <w:t>،</w:t>
        </w:r>
      </w:hyperlink>
      <w:r w:rsidRPr="00CB5259">
        <w:rPr>
          <w:rFonts w:hint="eastAsia"/>
          <w:spacing w:val="-6"/>
          <w:rtl/>
        </w:rPr>
        <w:t xml:space="preserve"> </w:t>
      </w:r>
      <w:hyperlink r:id="rId29" w:history="1">
        <w:r w:rsidRPr="00CB5259">
          <w:rPr>
            <w:rStyle w:val="Hyperlink"/>
            <w:rFonts w:hint="eastAsia"/>
            <w:noProof w:val="0"/>
            <w:spacing w:val="-6"/>
            <w:rtl/>
            <w:lang w:val="en-US" w:eastAsia="zh-CN" w:bidi="ar-SA"/>
          </w:rPr>
          <w:t>الأمر</w:t>
        </w:r>
        <w:r w:rsidR="00CB5259" w:rsidRPr="00CB5259">
          <w:rPr>
            <w:rStyle w:val="Hyperlink"/>
            <w:rFonts w:hint="cs"/>
            <w:noProof w:val="0"/>
            <w:spacing w:val="-6"/>
            <w:rtl/>
            <w:lang w:val="en-US" w:eastAsia="zh-CN" w:bidi="ar-SA"/>
          </w:rPr>
          <w:t> </w:t>
        </w:r>
        <w:r w:rsidRPr="00CB5259">
          <w:rPr>
            <w:rStyle w:val="Hyperlink"/>
            <w:rFonts w:hint="eastAsia"/>
            <w:noProof w:val="0"/>
            <w:spacing w:val="-6"/>
            <w:rtl/>
            <w:lang w:val="en-US" w:eastAsia="zh-CN" w:bidi="ar-SA"/>
          </w:rPr>
          <w:t>الإداري</w:t>
        </w:r>
        <w:r w:rsidR="00035ACB" w:rsidRPr="00CB5259">
          <w:rPr>
            <w:rStyle w:val="Hyperlink"/>
            <w:rFonts w:hint="cs"/>
            <w:noProof w:val="0"/>
            <w:spacing w:val="-6"/>
            <w:rtl/>
            <w:lang w:val="en-US" w:eastAsia="zh-CN" w:bidi="ar-SA"/>
          </w:rPr>
          <w:t> </w:t>
        </w:r>
        <w:r w:rsidR="00035ACB" w:rsidRPr="00CB5259">
          <w:rPr>
            <w:rStyle w:val="Hyperlink"/>
            <w:noProof w:val="0"/>
            <w:spacing w:val="-6"/>
            <w:lang w:val="en-US" w:eastAsia="zh-CN" w:bidi="ar-SA"/>
          </w:rPr>
          <w:t>19/09</w:t>
        </w:r>
        <w:r w:rsidR="00035ACB" w:rsidRPr="00CB5259">
          <w:rPr>
            <w:rStyle w:val="Hyperlink"/>
            <w:rFonts w:hint="cs"/>
            <w:noProof w:val="0"/>
            <w:color w:val="auto"/>
            <w:spacing w:val="-6"/>
            <w:u w:val="none"/>
            <w:rtl/>
            <w:lang w:val="en-US" w:eastAsia="zh-CN" w:bidi="ar-SA"/>
          </w:rPr>
          <w:t>،</w:t>
        </w:r>
      </w:hyperlink>
      <w:r w:rsidRPr="00CB5259">
        <w:rPr>
          <w:rFonts w:hint="eastAsia"/>
          <w:spacing w:val="-6"/>
          <w:rtl/>
        </w:rPr>
        <w:t xml:space="preserve"> </w:t>
      </w:r>
      <w:hyperlink r:id="rId30" w:history="1">
        <w:r w:rsidRPr="00CB5259">
          <w:rPr>
            <w:rStyle w:val="Hyperlink"/>
            <w:rFonts w:hint="eastAsia"/>
            <w:noProof w:val="0"/>
            <w:spacing w:val="-6"/>
            <w:rtl/>
            <w:lang w:val="en-US" w:eastAsia="zh-CN" w:bidi="ar-SA"/>
          </w:rPr>
          <w:t>الأمر الإداري</w:t>
        </w:r>
        <w:r w:rsidR="00035ACB" w:rsidRPr="00CB5259">
          <w:rPr>
            <w:rStyle w:val="Hyperlink"/>
            <w:rFonts w:hint="eastAsia"/>
            <w:noProof w:val="0"/>
            <w:spacing w:val="-6"/>
            <w:rtl/>
            <w:lang w:val="en-US" w:eastAsia="zh-CN" w:bidi="ar-SA"/>
          </w:rPr>
          <w:t> </w:t>
        </w:r>
        <w:r w:rsidR="00035ACB" w:rsidRPr="00CB5259">
          <w:rPr>
            <w:rStyle w:val="Hyperlink"/>
            <w:noProof w:val="0"/>
            <w:spacing w:val="-6"/>
            <w:lang w:val="en-US" w:eastAsia="zh-CN" w:bidi="ar-SA"/>
          </w:rPr>
          <w:t>22/03</w:t>
        </w:r>
        <w:r w:rsidR="00035ACB" w:rsidRPr="00CB5259">
          <w:rPr>
            <w:rStyle w:val="Hyperlink"/>
            <w:rFonts w:hint="cs"/>
            <w:noProof w:val="0"/>
            <w:color w:val="auto"/>
            <w:spacing w:val="-6"/>
            <w:u w:val="none"/>
            <w:rtl/>
            <w:lang w:val="en-US" w:eastAsia="zh-CN" w:bidi="ar-SA"/>
          </w:rPr>
          <w:t>،</w:t>
        </w:r>
      </w:hyperlink>
      <w:r w:rsidRPr="00CB5259">
        <w:rPr>
          <w:rFonts w:hint="eastAsia"/>
          <w:spacing w:val="-6"/>
          <w:rtl/>
        </w:rPr>
        <w:t xml:space="preserve"> </w:t>
      </w:r>
      <w:hyperlink r:id="rId31" w:history="1">
        <w:r w:rsidRPr="00CB5259">
          <w:rPr>
            <w:rStyle w:val="Hyperlink"/>
            <w:rFonts w:hint="eastAsia"/>
            <w:noProof w:val="0"/>
            <w:spacing w:val="-6"/>
            <w:rtl/>
            <w:lang w:val="en-US" w:eastAsia="zh-CN" w:bidi="ar-SA"/>
          </w:rPr>
          <w:t>الأمر الإداري</w:t>
        </w:r>
        <w:r w:rsidR="00035ACB" w:rsidRPr="00CB5259">
          <w:rPr>
            <w:rStyle w:val="Hyperlink"/>
            <w:noProof w:val="0"/>
            <w:spacing w:val="-6"/>
            <w:lang w:val="en-US" w:eastAsia="zh-CN" w:bidi="ar-SA"/>
          </w:rPr>
          <w:t>20/6 </w:t>
        </w:r>
      </w:hyperlink>
      <w:r w:rsidRPr="00CB5259">
        <w:rPr>
          <w:spacing w:val="-6"/>
          <w:rtl/>
        </w:rPr>
        <w:t>)</w:t>
      </w:r>
      <w:r w:rsidR="00035ACB" w:rsidRPr="00CB5259">
        <w:rPr>
          <w:rFonts w:hint="cs"/>
          <w:spacing w:val="-6"/>
          <w:rtl/>
        </w:rPr>
        <w:t>،</w:t>
      </w:r>
      <w:r w:rsidRPr="00CB5259">
        <w:rPr>
          <w:spacing w:val="-6"/>
          <w:rtl/>
        </w:rPr>
        <w:t xml:space="preserve"> </w:t>
      </w:r>
      <w:r w:rsidRPr="00CB5259">
        <w:rPr>
          <w:rFonts w:hint="eastAsia"/>
          <w:spacing w:val="-6"/>
          <w:rtl/>
        </w:rPr>
        <w:t>بشكل فعال</w:t>
      </w:r>
      <w:r w:rsidR="00283117">
        <w:rPr>
          <w:rFonts w:hint="cs"/>
          <w:spacing w:val="-6"/>
          <w:rtl/>
        </w:rPr>
        <w:t xml:space="preserve"> </w:t>
      </w:r>
      <w:r w:rsidR="00283117" w:rsidRPr="00283117">
        <w:rPr>
          <w:spacing w:val="-6"/>
          <w:rtl/>
          <w:lang w:bidi="ar-SA"/>
        </w:rPr>
        <w:t>لضمان الاتساق بين الصكوك القانونية القائمة</w:t>
      </w:r>
      <w:r w:rsidR="00F15397">
        <w:rPr>
          <w:rFonts w:hint="cs"/>
          <w:spacing w:val="-6"/>
          <w:rtl/>
        </w:rPr>
        <w:t>؛</w:t>
      </w:r>
    </w:p>
    <w:p w14:paraId="2B2EB9DF" w14:textId="37CCD9DB" w:rsidR="008E6D9D" w:rsidRPr="008E6D9D" w:rsidRDefault="008E6D9D" w:rsidP="00A91177">
      <w:pPr>
        <w:pStyle w:val="enumlev1"/>
        <w:rPr>
          <w:lang w:val="en-GB" w:bidi="ar-EG"/>
        </w:rPr>
      </w:pPr>
      <w:r w:rsidRPr="008E6D9D">
        <w:rPr>
          <w:rFonts w:hint="eastAsia"/>
          <w:rtl/>
        </w:rPr>
        <w:t>-</w:t>
      </w:r>
      <w:r w:rsidRPr="008E6D9D">
        <w:rPr>
          <w:rtl/>
        </w:rPr>
        <w:tab/>
      </w:r>
      <w:r w:rsidRPr="008E6D9D">
        <w:rPr>
          <w:rFonts w:hint="eastAsia"/>
          <w:rtl/>
        </w:rPr>
        <w:t xml:space="preserve">دراسة </w:t>
      </w:r>
      <w:r w:rsidRPr="008E6D9D">
        <w:rPr>
          <w:rtl/>
        </w:rPr>
        <w:t>الممارسات</w:t>
      </w:r>
      <w:r w:rsidRPr="008E6D9D">
        <w:rPr>
          <w:rFonts w:hint="cs"/>
          <w:rtl/>
        </w:rPr>
        <w:t xml:space="preserve"> الفضلى</w:t>
      </w:r>
      <w:r w:rsidRPr="008E6D9D">
        <w:rPr>
          <w:rtl/>
        </w:rPr>
        <w:t xml:space="preserve"> في منظومة الأمم المتحدة </w:t>
      </w:r>
      <w:r w:rsidRPr="008E6D9D">
        <w:rPr>
          <w:rFonts w:hint="cs"/>
          <w:rtl/>
        </w:rPr>
        <w:t>و</w:t>
      </w:r>
      <w:r w:rsidRPr="008E6D9D">
        <w:rPr>
          <w:rFonts w:hint="eastAsia"/>
          <w:rtl/>
        </w:rPr>
        <w:t xml:space="preserve">تكييفها </w:t>
      </w:r>
      <w:r w:rsidRPr="008E6D9D">
        <w:rPr>
          <w:rFonts w:hint="cs"/>
          <w:rtl/>
        </w:rPr>
        <w:t>مع</w:t>
      </w:r>
      <w:r w:rsidRPr="008E6D9D">
        <w:rPr>
          <w:rtl/>
        </w:rPr>
        <w:t xml:space="preserve"> سياق الاتحاد </w:t>
      </w:r>
      <w:r w:rsidRPr="008E6D9D">
        <w:rPr>
          <w:rFonts w:hint="cs"/>
          <w:rtl/>
        </w:rPr>
        <w:t>حسب الاقتضاء</w:t>
      </w:r>
      <w:r w:rsidRPr="008E6D9D">
        <w:rPr>
          <w:rFonts w:hint="eastAsia"/>
          <w:rtl/>
        </w:rPr>
        <w:t>.</w:t>
      </w:r>
    </w:p>
    <w:p w14:paraId="3A9D6FD0" w14:textId="27188229" w:rsidR="008E6D9D" w:rsidRPr="008E6D9D" w:rsidRDefault="008E6D9D" w:rsidP="008E6D9D">
      <w:pPr>
        <w:rPr>
          <w:lang w:val="en-GB" w:bidi="ar-EG"/>
        </w:rPr>
      </w:pPr>
      <w:r w:rsidRPr="008E6D9D">
        <w:rPr>
          <w:rFonts w:hint="cs"/>
          <w:rtl/>
        </w:rPr>
        <w:lastRenderedPageBreak/>
        <w:t>ف</w:t>
      </w:r>
      <w:r w:rsidRPr="008E6D9D">
        <w:rPr>
          <w:rFonts w:hint="eastAsia"/>
          <w:rtl/>
        </w:rPr>
        <w:t>على سبيل المثال:</w:t>
      </w:r>
    </w:p>
    <w:p w14:paraId="44D74332" w14:textId="7A6704E7" w:rsidR="008E6D9D" w:rsidRPr="008E6D9D" w:rsidRDefault="00035ACB" w:rsidP="00283117">
      <w:pPr>
        <w:pStyle w:val="enumlev1"/>
        <w:rPr>
          <w:lang w:val="en-GB" w:bidi="ar-EG"/>
        </w:rPr>
      </w:pPr>
      <w:r>
        <w:rPr>
          <w:rFonts w:hint="eastAsia"/>
        </w:rPr>
        <w:sym w:font="Symbol" w:char="F0B7"/>
      </w:r>
      <w:r>
        <w:rPr>
          <w:rFonts w:hint="eastAsia"/>
          <w:rtl/>
        </w:rPr>
        <w:tab/>
      </w:r>
      <w:r w:rsidR="008E6D9D" w:rsidRPr="008E6D9D">
        <w:rPr>
          <w:rFonts w:hint="eastAsia"/>
          <w:rtl/>
        </w:rPr>
        <w:t xml:space="preserve">إذا كان زعم سوء السلوك </w:t>
      </w:r>
      <w:r w:rsidR="008E6D9D" w:rsidRPr="008E6D9D">
        <w:rPr>
          <w:rFonts w:hint="cs"/>
          <w:rtl/>
        </w:rPr>
        <w:t>يخص</w:t>
      </w:r>
      <w:r w:rsidR="008E6D9D" w:rsidRPr="008E6D9D">
        <w:rPr>
          <w:rFonts w:hint="eastAsia"/>
          <w:rtl/>
        </w:rPr>
        <w:t xml:space="preserve"> </w:t>
      </w:r>
      <w:r w:rsidR="008E6D9D" w:rsidRPr="008E6D9D">
        <w:rPr>
          <w:rFonts w:hint="eastAsia"/>
          <w:b/>
          <w:bCs/>
          <w:rtl/>
        </w:rPr>
        <w:t>موظفي</w:t>
      </w:r>
      <w:r w:rsidR="008E6D9D" w:rsidRPr="008E6D9D">
        <w:rPr>
          <w:b/>
          <w:bCs/>
          <w:rtl/>
        </w:rPr>
        <w:t xml:space="preserve"> وحدة الرقابة</w:t>
      </w:r>
      <w:r w:rsidR="008E6D9D" w:rsidRPr="008E6D9D">
        <w:rPr>
          <w:rtl/>
        </w:rPr>
        <w:t xml:space="preserve">، ينبغي </w:t>
      </w:r>
      <w:r w:rsidR="008E6D9D" w:rsidRPr="008E6D9D">
        <w:rPr>
          <w:rFonts w:hint="eastAsia"/>
          <w:rtl/>
        </w:rPr>
        <w:t xml:space="preserve">لرئيس وحدة الرقابة </w:t>
      </w:r>
      <w:r w:rsidR="008E6D9D" w:rsidRPr="008E6D9D">
        <w:rPr>
          <w:rtl/>
        </w:rPr>
        <w:t>أن يتشاور مع اللجنة الاستشارية المستقلة للإدارة بشأن</w:t>
      </w:r>
      <w:r w:rsidR="00283117">
        <w:rPr>
          <w:rFonts w:hint="cs"/>
          <w:rtl/>
        </w:rPr>
        <w:t xml:space="preserve"> </w:t>
      </w:r>
      <w:r w:rsidR="00283117" w:rsidRPr="00283117">
        <w:rPr>
          <w:rtl/>
          <w:lang w:bidi="ar-SA"/>
        </w:rPr>
        <w:t>إجراء الإحالة</w:t>
      </w:r>
      <w:r w:rsidR="008E6D9D" w:rsidRPr="008E6D9D">
        <w:rPr>
          <w:rFonts w:hint="eastAsia"/>
          <w:rtl/>
        </w:rPr>
        <w:t>؛</w:t>
      </w:r>
    </w:p>
    <w:p w14:paraId="1139BDB1" w14:textId="78FD4F5A" w:rsidR="008E6D9D" w:rsidRPr="008E6D9D" w:rsidRDefault="00035ACB" w:rsidP="00035ACB">
      <w:pPr>
        <w:pStyle w:val="enumlev1"/>
        <w:rPr>
          <w:lang w:val="en-GB" w:bidi="ar-EG"/>
        </w:rPr>
      </w:pPr>
      <w:r>
        <w:rPr>
          <w:rFonts w:hint="cs"/>
        </w:rPr>
        <w:sym w:font="Symbol" w:char="F0B7"/>
      </w:r>
      <w:r>
        <w:rPr>
          <w:rtl/>
        </w:rPr>
        <w:tab/>
      </w:r>
      <w:r w:rsidR="008E6D9D" w:rsidRPr="008E6D9D">
        <w:rPr>
          <w:rFonts w:hint="cs"/>
          <w:rtl/>
        </w:rPr>
        <w:t>و</w:t>
      </w:r>
      <w:r w:rsidR="008E6D9D" w:rsidRPr="008E6D9D">
        <w:rPr>
          <w:rFonts w:hint="eastAsia"/>
          <w:rtl/>
        </w:rPr>
        <w:t xml:space="preserve">إذا كان الزعم </w:t>
      </w:r>
      <w:r w:rsidR="008E6D9D" w:rsidRPr="008E6D9D">
        <w:rPr>
          <w:rFonts w:hint="cs"/>
          <w:rtl/>
        </w:rPr>
        <w:t>يخص</w:t>
      </w:r>
      <w:r w:rsidR="008E6D9D" w:rsidRPr="008E6D9D">
        <w:rPr>
          <w:rFonts w:hint="eastAsia"/>
          <w:rtl/>
        </w:rPr>
        <w:t xml:space="preserve"> </w:t>
      </w:r>
      <w:r w:rsidR="008E6D9D" w:rsidRPr="008E6D9D">
        <w:rPr>
          <w:rFonts w:hint="eastAsia"/>
          <w:b/>
          <w:bCs/>
          <w:rtl/>
        </w:rPr>
        <w:t>رئيس وحدة الرقابة</w:t>
      </w:r>
      <w:r w:rsidR="008E6D9D" w:rsidRPr="008E6D9D">
        <w:rPr>
          <w:rtl/>
        </w:rPr>
        <w:t>، فيجب إبلاغ الأمين العام ونائبه</w:t>
      </w:r>
      <w:r w:rsidR="008E6D9D" w:rsidRPr="008E6D9D">
        <w:rPr>
          <w:rFonts w:hint="eastAsia"/>
          <w:rtl/>
        </w:rPr>
        <w:t>، اللذين</w:t>
      </w:r>
      <w:r w:rsidR="008E6D9D" w:rsidRPr="008E6D9D">
        <w:rPr>
          <w:rtl/>
        </w:rPr>
        <w:t xml:space="preserve"> </w:t>
      </w:r>
      <w:r w:rsidR="008E6D9D" w:rsidRPr="008E6D9D">
        <w:rPr>
          <w:rFonts w:hint="cs"/>
          <w:rtl/>
        </w:rPr>
        <w:t>ينبغي ل</w:t>
      </w:r>
      <w:r w:rsidR="008E6D9D" w:rsidRPr="008E6D9D">
        <w:rPr>
          <w:rFonts w:hint="eastAsia"/>
          <w:rtl/>
        </w:rPr>
        <w:t xml:space="preserve">هما بعد ذلك </w:t>
      </w:r>
      <w:r w:rsidR="008E6D9D" w:rsidRPr="008E6D9D">
        <w:rPr>
          <w:rtl/>
        </w:rPr>
        <w:t>إبلاغ رئيس المجلس بالأمر في أقرب وقت ممكن</w:t>
      </w:r>
      <w:r>
        <w:rPr>
          <w:rFonts w:hint="cs"/>
          <w:rtl/>
          <w:lang w:bidi="ar-SA"/>
        </w:rPr>
        <w:t xml:space="preserve">، </w:t>
      </w:r>
      <w:r w:rsidR="008E6D9D" w:rsidRPr="008E6D9D">
        <w:rPr>
          <w:rFonts w:hint="eastAsia"/>
          <w:rtl/>
        </w:rPr>
        <w:t>ولكن</w:t>
      </w:r>
      <w:r w:rsidR="008E6D9D" w:rsidRPr="008E6D9D">
        <w:rPr>
          <w:rtl/>
        </w:rPr>
        <w:t xml:space="preserve"> في موعد</w:t>
      </w:r>
      <w:r>
        <w:rPr>
          <w:rFonts w:hint="cs"/>
          <w:rtl/>
        </w:rPr>
        <w:t>ٍ</w:t>
      </w:r>
      <w:r w:rsidR="008E6D9D" w:rsidRPr="008E6D9D">
        <w:rPr>
          <w:rtl/>
        </w:rPr>
        <w:t xml:space="preserve"> </w:t>
      </w:r>
      <w:r w:rsidR="008E6D9D" w:rsidRPr="008E6D9D">
        <w:rPr>
          <w:rFonts w:hint="cs"/>
          <w:rtl/>
        </w:rPr>
        <w:t>أقصاه</w:t>
      </w:r>
      <w:r w:rsidR="008E6D9D" w:rsidRPr="008E6D9D">
        <w:rPr>
          <w:rtl/>
        </w:rPr>
        <w:t xml:space="preserve"> شهر</w:t>
      </w:r>
      <w:r w:rsidR="00F15397">
        <w:rPr>
          <w:rFonts w:hint="cs"/>
          <w:rtl/>
        </w:rPr>
        <w:t>اً</w:t>
      </w:r>
      <w:r w:rsidR="008E6D9D" w:rsidRPr="008E6D9D">
        <w:rPr>
          <w:rtl/>
        </w:rPr>
        <w:t xml:space="preserve"> واحدا</w:t>
      </w:r>
      <w:r>
        <w:rPr>
          <w:rFonts w:hint="cs"/>
          <w:rtl/>
        </w:rPr>
        <w:t>ً</w:t>
      </w:r>
      <w:r w:rsidR="008E6D9D" w:rsidRPr="008E6D9D">
        <w:rPr>
          <w:rtl/>
        </w:rPr>
        <w:t xml:space="preserve"> من </w:t>
      </w:r>
      <w:r w:rsidR="008E6D9D" w:rsidRPr="008E6D9D">
        <w:rPr>
          <w:rFonts w:hint="cs"/>
          <w:rtl/>
        </w:rPr>
        <w:t>تلقي</w:t>
      </w:r>
      <w:r w:rsidR="008E6D9D" w:rsidRPr="008E6D9D">
        <w:rPr>
          <w:rFonts w:hint="eastAsia"/>
          <w:rtl/>
        </w:rPr>
        <w:t xml:space="preserve"> الزعم</w:t>
      </w:r>
      <w:r w:rsidR="008E6D9D" w:rsidRPr="008E6D9D">
        <w:rPr>
          <w:rtl/>
        </w:rPr>
        <w:t xml:space="preserve"> والتشاور مع اللجنة الاستشارية المستقلة للإدارة بشأن كيفية التعامل </w:t>
      </w:r>
      <w:r w:rsidR="008E6D9D" w:rsidRPr="008E6D9D">
        <w:rPr>
          <w:rFonts w:hint="eastAsia"/>
          <w:rtl/>
        </w:rPr>
        <w:t>مع القضية</w:t>
      </w:r>
      <w:r w:rsidR="008E6D9D" w:rsidRPr="008E6D9D">
        <w:rPr>
          <w:rtl/>
        </w:rPr>
        <w:t>. ولا يجوز الشروع في أي تحقيق في المزاعم الموجهة ضد رئيس وحدة الرقابة دون موافقة مسبقة من المجلس</w:t>
      </w:r>
      <w:r w:rsidR="008E6D9D" w:rsidRPr="008E6D9D">
        <w:rPr>
          <w:rFonts w:hint="eastAsia"/>
          <w:rtl/>
        </w:rPr>
        <w:t>؛</w:t>
      </w:r>
    </w:p>
    <w:p w14:paraId="6F2EF1AF" w14:textId="1AE1BD48" w:rsidR="008E6D9D" w:rsidRPr="008E6D9D" w:rsidRDefault="00035ACB" w:rsidP="00283117">
      <w:pPr>
        <w:pStyle w:val="enumlev1"/>
        <w:rPr>
          <w:lang w:val="en-GB" w:bidi="ar-EG"/>
        </w:rPr>
      </w:pPr>
      <w:r>
        <w:rPr>
          <w:rFonts w:hint="eastAsia"/>
        </w:rPr>
        <w:sym w:font="Symbol" w:char="F0B7"/>
      </w:r>
      <w:r>
        <w:rPr>
          <w:rtl/>
        </w:rPr>
        <w:tab/>
      </w:r>
      <w:r w:rsidR="008E6D9D" w:rsidRPr="008E6D9D">
        <w:rPr>
          <w:rFonts w:hint="eastAsia"/>
          <w:rtl/>
        </w:rPr>
        <w:t xml:space="preserve">وإذا كان الزعم </w:t>
      </w:r>
      <w:r w:rsidR="008E6D9D" w:rsidRPr="008E6D9D">
        <w:rPr>
          <w:rFonts w:hint="cs"/>
          <w:rtl/>
        </w:rPr>
        <w:t>يخص</w:t>
      </w:r>
      <w:r w:rsidR="008E6D9D" w:rsidRPr="008E6D9D">
        <w:rPr>
          <w:rFonts w:hint="eastAsia"/>
          <w:rtl/>
        </w:rPr>
        <w:t xml:space="preserve"> </w:t>
      </w:r>
      <w:r w:rsidR="008E6D9D" w:rsidRPr="008E6D9D">
        <w:rPr>
          <w:b/>
          <w:bCs/>
          <w:rtl/>
        </w:rPr>
        <w:t>مسؤول</w:t>
      </w:r>
      <w:r w:rsidR="008E6D9D" w:rsidRPr="008E6D9D">
        <w:rPr>
          <w:rFonts w:hint="cs"/>
          <w:b/>
          <w:bCs/>
          <w:rtl/>
        </w:rPr>
        <w:t>اً</w:t>
      </w:r>
      <w:r w:rsidR="008E6D9D" w:rsidRPr="008E6D9D">
        <w:rPr>
          <w:b/>
          <w:bCs/>
          <w:rtl/>
        </w:rPr>
        <w:t xml:space="preserve"> منتخب</w:t>
      </w:r>
      <w:r w:rsidR="008E6D9D" w:rsidRPr="008E6D9D">
        <w:rPr>
          <w:rFonts w:hint="cs"/>
          <w:b/>
          <w:bCs/>
          <w:rtl/>
        </w:rPr>
        <w:t>اً</w:t>
      </w:r>
      <w:r w:rsidR="008E6D9D" w:rsidRPr="008E6D9D">
        <w:rPr>
          <w:rtl/>
        </w:rPr>
        <w:t xml:space="preserve">، فينبغي إبلاغ </w:t>
      </w:r>
      <w:r w:rsidR="008E6D9D" w:rsidRPr="008E6D9D">
        <w:rPr>
          <w:rFonts w:hint="eastAsia"/>
          <w:rtl/>
        </w:rPr>
        <w:t>رئيس</w:t>
      </w:r>
      <w:r w:rsidR="008E6D9D" w:rsidRPr="008E6D9D">
        <w:rPr>
          <w:rtl/>
        </w:rPr>
        <w:t xml:space="preserve"> وحدة الرقابة</w:t>
      </w:r>
      <w:r w:rsidR="008E6D9D" w:rsidRPr="008E6D9D">
        <w:rPr>
          <w:rFonts w:hint="eastAsia"/>
          <w:rtl/>
        </w:rPr>
        <w:t xml:space="preserve"> بذلك،</w:t>
      </w:r>
      <w:r w:rsidR="008E6D9D" w:rsidRPr="008E6D9D">
        <w:rPr>
          <w:rtl/>
        </w:rPr>
        <w:t xml:space="preserve"> الذي </w:t>
      </w:r>
      <w:r w:rsidR="008E6D9D" w:rsidRPr="008E6D9D">
        <w:rPr>
          <w:rFonts w:hint="eastAsia"/>
          <w:rtl/>
        </w:rPr>
        <w:t>ينبغي</w:t>
      </w:r>
      <w:r w:rsidR="008E6D9D" w:rsidRPr="008E6D9D">
        <w:rPr>
          <w:rFonts w:hint="cs"/>
          <w:rtl/>
        </w:rPr>
        <w:t xml:space="preserve"> </w:t>
      </w:r>
      <w:r w:rsidR="008E6D9D" w:rsidRPr="008E6D9D">
        <w:rPr>
          <w:rFonts w:hint="eastAsia"/>
          <w:rtl/>
        </w:rPr>
        <w:t xml:space="preserve">أن </w:t>
      </w:r>
      <w:r w:rsidR="008E6D9D" w:rsidRPr="008E6D9D">
        <w:rPr>
          <w:rFonts w:hint="cs"/>
          <w:rtl/>
          <w:lang w:bidi="ar-EG"/>
        </w:rPr>
        <w:t>يبادر</w:t>
      </w:r>
      <w:r w:rsidR="008E6D9D" w:rsidRPr="008E6D9D">
        <w:rPr>
          <w:rtl/>
        </w:rPr>
        <w:t xml:space="preserve"> فورا</w:t>
      </w:r>
      <w:r w:rsidR="008E6D9D" w:rsidRPr="008E6D9D">
        <w:rPr>
          <w:rFonts w:hint="cs"/>
          <w:rtl/>
        </w:rPr>
        <w:t>ً بدوره إلى إبلاغ</w:t>
      </w:r>
      <w:r w:rsidR="008E6D9D" w:rsidRPr="008E6D9D">
        <w:rPr>
          <w:rtl/>
        </w:rPr>
        <w:t xml:space="preserve"> رئيس المجلس </w:t>
      </w:r>
      <w:r w:rsidR="008E6D9D" w:rsidRPr="008E6D9D">
        <w:rPr>
          <w:rFonts w:hint="cs"/>
          <w:rtl/>
        </w:rPr>
        <w:t>وال</w:t>
      </w:r>
      <w:r w:rsidR="008E6D9D" w:rsidRPr="008E6D9D">
        <w:rPr>
          <w:rtl/>
        </w:rPr>
        <w:t xml:space="preserve">تشاور مع اللجنة الاستشارية المستقلة للإدارة بشأن الخطوات التالية. وينبغي للجنة الاستشارية المستقلة للإدارة أن تسدي المشورة إلى </w:t>
      </w:r>
      <w:r w:rsidR="008E6D9D" w:rsidRPr="008E6D9D">
        <w:rPr>
          <w:rFonts w:hint="eastAsia"/>
          <w:rtl/>
        </w:rPr>
        <w:t xml:space="preserve">رئيس </w:t>
      </w:r>
      <w:r w:rsidR="008E6D9D" w:rsidRPr="008E6D9D">
        <w:rPr>
          <w:rtl/>
        </w:rPr>
        <w:t xml:space="preserve">وحدة الرقابة بشأن ما إذا كان ينبغي إجراء تقييم أولي أو </w:t>
      </w:r>
      <w:r w:rsidR="008E6D9D" w:rsidRPr="008E6D9D">
        <w:rPr>
          <w:rFonts w:hint="eastAsia"/>
          <w:rtl/>
        </w:rPr>
        <w:t xml:space="preserve">تكليف </w:t>
      </w:r>
      <w:r w:rsidR="008E6D9D" w:rsidRPr="008E6D9D">
        <w:rPr>
          <w:rtl/>
        </w:rPr>
        <w:t>كيان تحقيق خارجي مستقل</w:t>
      </w:r>
      <w:r w:rsidR="008E6D9D" w:rsidRPr="008E6D9D">
        <w:rPr>
          <w:rFonts w:hint="eastAsia"/>
          <w:rtl/>
        </w:rPr>
        <w:t xml:space="preserve"> بإجراء </w:t>
      </w:r>
      <w:r w:rsidR="008E6D9D" w:rsidRPr="008E6D9D">
        <w:rPr>
          <w:rtl/>
        </w:rPr>
        <w:t>التقييم الأولي. واستنادا</w:t>
      </w:r>
      <w:r w:rsidR="00CB5259">
        <w:rPr>
          <w:rFonts w:hint="cs"/>
          <w:rtl/>
        </w:rPr>
        <w:t>ً</w:t>
      </w:r>
      <w:r w:rsidR="008E6D9D" w:rsidRPr="008E6D9D">
        <w:rPr>
          <w:rtl/>
        </w:rPr>
        <w:t xml:space="preserve"> إلى نتائج التقييم الأولي، ينبغي </w:t>
      </w:r>
      <w:r w:rsidR="008E6D9D" w:rsidRPr="008E6D9D">
        <w:rPr>
          <w:rFonts w:hint="eastAsia"/>
          <w:rtl/>
        </w:rPr>
        <w:t>لرئيس</w:t>
      </w:r>
      <w:r w:rsidR="008E6D9D" w:rsidRPr="008E6D9D">
        <w:rPr>
          <w:rtl/>
        </w:rPr>
        <w:t xml:space="preserve"> وحدة الرقابة أن يقدم تقريرا</w:t>
      </w:r>
      <w:r w:rsidR="00CB5259">
        <w:rPr>
          <w:rFonts w:hint="cs"/>
          <w:rtl/>
        </w:rPr>
        <w:t>ً</w:t>
      </w:r>
      <w:r w:rsidR="008E6D9D" w:rsidRPr="008E6D9D">
        <w:rPr>
          <w:rtl/>
        </w:rPr>
        <w:t xml:space="preserve"> إلى </w:t>
      </w:r>
      <w:r w:rsidR="008E6D9D" w:rsidRPr="008E6D9D">
        <w:rPr>
          <w:rFonts w:hint="eastAsia"/>
          <w:rtl/>
        </w:rPr>
        <w:t xml:space="preserve">رئيس </w:t>
      </w:r>
      <w:r w:rsidR="008E6D9D" w:rsidRPr="008E6D9D">
        <w:rPr>
          <w:rtl/>
        </w:rPr>
        <w:t>المجلس، مبينا</w:t>
      </w:r>
      <w:r w:rsidR="00F15397">
        <w:rPr>
          <w:rFonts w:hint="cs"/>
          <w:rtl/>
        </w:rPr>
        <w:t>ً</w:t>
      </w:r>
      <w:r w:rsidR="008E6D9D" w:rsidRPr="008E6D9D">
        <w:rPr>
          <w:rtl/>
        </w:rPr>
        <w:t xml:space="preserve"> ما إذا كان ينبغي</w:t>
      </w:r>
      <w:r w:rsidR="008E6D9D" w:rsidRPr="008E6D9D">
        <w:rPr>
          <w:rFonts w:hint="eastAsia"/>
          <w:rtl/>
        </w:rPr>
        <w:t xml:space="preserve"> </w:t>
      </w:r>
      <w:r w:rsidR="008E6D9D" w:rsidRPr="008E6D9D">
        <w:rPr>
          <w:rFonts w:hint="cs"/>
          <w:rtl/>
        </w:rPr>
        <w:t>ب</w:t>
      </w:r>
      <w:r w:rsidR="008E6D9D" w:rsidRPr="008E6D9D">
        <w:rPr>
          <w:rFonts w:hint="eastAsia"/>
          <w:rtl/>
        </w:rPr>
        <w:t>وحدة الرقابة</w:t>
      </w:r>
      <w:r w:rsidR="008E6D9D" w:rsidRPr="008E6D9D">
        <w:rPr>
          <w:rtl/>
        </w:rPr>
        <w:t xml:space="preserve"> </w:t>
      </w:r>
      <w:r w:rsidR="008E6D9D" w:rsidRPr="008E6D9D">
        <w:rPr>
          <w:rFonts w:hint="cs"/>
          <w:rtl/>
        </w:rPr>
        <w:t>أن تغلق</w:t>
      </w:r>
      <w:r w:rsidR="008E6D9D" w:rsidRPr="008E6D9D">
        <w:rPr>
          <w:rtl/>
        </w:rPr>
        <w:t xml:space="preserve"> القضية أو </w:t>
      </w:r>
      <w:r w:rsidR="008E6D9D" w:rsidRPr="008E6D9D">
        <w:rPr>
          <w:rFonts w:hint="cs"/>
          <w:rtl/>
        </w:rPr>
        <w:t>أن تحيلها</w:t>
      </w:r>
      <w:r w:rsidR="008E6D9D" w:rsidRPr="008E6D9D">
        <w:rPr>
          <w:rtl/>
        </w:rPr>
        <w:t xml:space="preserve"> إلى كيان</w:t>
      </w:r>
      <w:r w:rsidR="00CB5259">
        <w:rPr>
          <w:rFonts w:hint="cs"/>
          <w:rtl/>
        </w:rPr>
        <w:t>ٍ</w:t>
      </w:r>
      <w:r w:rsidR="008E6D9D" w:rsidRPr="008E6D9D">
        <w:rPr>
          <w:rtl/>
        </w:rPr>
        <w:t xml:space="preserve"> خارجي</w:t>
      </w:r>
      <w:r w:rsidR="00CB5259">
        <w:rPr>
          <w:rFonts w:hint="cs"/>
          <w:rtl/>
        </w:rPr>
        <w:t>ٍ</w:t>
      </w:r>
      <w:r w:rsidR="008E6D9D" w:rsidRPr="008E6D9D">
        <w:rPr>
          <w:rtl/>
        </w:rPr>
        <w:t xml:space="preserve"> مستقل</w:t>
      </w:r>
      <w:r w:rsidR="00CB5259">
        <w:rPr>
          <w:rFonts w:hint="cs"/>
          <w:rtl/>
        </w:rPr>
        <w:t>ٍ</w:t>
      </w:r>
      <w:r w:rsidR="008E6D9D" w:rsidRPr="008E6D9D">
        <w:rPr>
          <w:rtl/>
        </w:rPr>
        <w:t xml:space="preserve"> لإجراء تحقيق</w:t>
      </w:r>
      <w:r w:rsidR="00CB5259">
        <w:rPr>
          <w:rFonts w:hint="cs"/>
          <w:rtl/>
        </w:rPr>
        <w:t>ٍ</w:t>
      </w:r>
      <w:r w:rsidR="008E6D9D" w:rsidRPr="008E6D9D">
        <w:rPr>
          <w:rtl/>
        </w:rPr>
        <w:t xml:space="preserve"> كامل</w:t>
      </w:r>
      <w:r w:rsidR="00CB5259">
        <w:rPr>
          <w:rFonts w:hint="cs"/>
          <w:rtl/>
        </w:rPr>
        <w:t>ٍ</w:t>
      </w:r>
      <w:r w:rsidR="008E6D9D" w:rsidRPr="008E6D9D">
        <w:rPr>
          <w:rtl/>
        </w:rPr>
        <w:t>.</w:t>
      </w:r>
      <w:r w:rsidR="00283117">
        <w:rPr>
          <w:rFonts w:hint="cs"/>
          <w:rtl/>
        </w:rPr>
        <w:t xml:space="preserve"> </w:t>
      </w:r>
      <w:r w:rsidR="00283117" w:rsidRPr="00283117">
        <w:rPr>
          <w:rtl/>
          <w:lang w:bidi="ar-SA"/>
        </w:rPr>
        <w:t>وفي هذه الحالات، يتخذ المجلس قراره استناداً إلى نتيجة التحقيق.</w:t>
      </w:r>
    </w:p>
    <w:p w14:paraId="76FAC43A" w14:textId="3020325E" w:rsidR="008E6D9D" w:rsidRPr="008E6D9D" w:rsidRDefault="00CB5259" w:rsidP="008E6D9D">
      <w:pPr>
        <w:rPr>
          <w:lang w:val="en-GB" w:bidi="ar-EG"/>
        </w:rPr>
      </w:pPr>
      <w:r>
        <w:t>3</w:t>
      </w:r>
      <w:r>
        <w:rPr>
          <w:rtl/>
        </w:rPr>
        <w:tab/>
      </w:r>
      <w:r w:rsidR="008E6D9D" w:rsidRPr="008E6D9D">
        <w:rPr>
          <w:rtl/>
        </w:rPr>
        <w:t xml:space="preserve">ينبغي تقديم مشروعي الإجراءين المشار إليهما في </w:t>
      </w:r>
      <w:r w:rsidR="008E6D9D" w:rsidRPr="008E6D9D">
        <w:rPr>
          <w:rFonts w:hint="eastAsia"/>
          <w:rtl/>
        </w:rPr>
        <w:t>المقترح</w:t>
      </w:r>
      <w:r w:rsidR="008E6D9D" w:rsidRPr="008E6D9D">
        <w:rPr>
          <w:rtl/>
        </w:rPr>
        <w:t xml:space="preserve"> (1) أعلاه إلى المجلس للنظر فيهما والموافقة عليهما في الوقت المناسب وفقا</w:t>
      </w:r>
      <w:r w:rsidR="00F15397">
        <w:rPr>
          <w:rFonts w:hint="cs"/>
          <w:rtl/>
        </w:rPr>
        <w:t>ً</w:t>
      </w:r>
      <w:r w:rsidR="008E6D9D" w:rsidRPr="008E6D9D">
        <w:rPr>
          <w:rtl/>
        </w:rPr>
        <w:t xml:space="preserve"> للإجراءات المعمول بها.</w:t>
      </w:r>
    </w:p>
    <w:p w14:paraId="0E2DF4E2" w14:textId="77777777" w:rsidR="00CB5259" w:rsidRDefault="00CB5259" w:rsidP="00CB5259">
      <w:pPr>
        <w:spacing w:before="600"/>
        <w:jc w:val="center"/>
        <w:rPr>
          <w:rtl/>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CB5259" w:rsidSect="006F363C">
      <w:footerReference w:type="default" r:id="rId32"/>
      <w:headerReference w:type="first" r:id="rId33"/>
      <w:footerReference w:type="first" r:id="rId34"/>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42989" w14:textId="77777777" w:rsidR="008E6D9D" w:rsidRDefault="008E6D9D" w:rsidP="006C3242">
      <w:pPr>
        <w:spacing w:before="0" w:line="240" w:lineRule="auto"/>
      </w:pPr>
      <w:r>
        <w:separator/>
      </w:r>
    </w:p>
  </w:endnote>
  <w:endnote w:type="continuationSeparator" w:id="0">
    <w:p w14:paraId="25448CE0" w14:textId="77777777" w:rsidR="008E6D9D" w:rsidRDefault="008E6D9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TKaiti">
    <w:charset w:val="86"/>
    <w:family w:val="auto"/>
    <w:pitch w:val="variable"/>
    <w:sig w:usb0="00000287" w:usb1="080F0000" w:usb2="00000010" w:usb3="00000000" w:csb0="000400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2DC1D42B" w14:textId="77777777" w:rsidTr="00A67F05">
      <w:trPr>
        <w:jc w:val="center"/>
      </w:trPr>
      <w:tc>
        <w:tcPr>
          <w:tcW w:w="868" w:type="pct"/>
          <w:vAlign w:val="center"/>
        </w:tcPr>
        <w:p w14:paraId="2FB74987" w14:textId="02DC952F" w:rsidR="00F50E3F" w:rsidRPr="008E6D9D" w:rsidRDefault="00283117" w:rsidP="00077FC5">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283117">
            <w:rPr>
              <w:rFonts w:ascii="Calibri" w:hAnsi="Calibri" w:cs="Arial"/>
              <w:sz w:val="18"/>
              <w:szCs w:val="14"/>
              <w:lang w:val="en-US"/>
            </w:rPr>
            <w:t>2501473</w:t>
          </w:r>
        </w:p>
      </w:tc>
      <w:tc>
        <w:tcPr>
          <w:tcW w:w="3912" w:type="pct"/>
        </w:tcPr>
        <w:p w14:paraId="258C80A2" w14:textId="3D00BDEB" w:rsidR="00F50E3F" w:rsidRPr="007B0AA0" w:rsidRDefault="00F50E3F" w:rsidP="00077FC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283117" w:rsidRPr="00283117">
            <w:rPr>
              <w:rFonts w:ascii="Calibri" w:hAnsi="Calibri" w:cs="Arial"/>
              <w:bCs/>
              <w:color w:val="7F7F7F"/>
              <w:sz w:val="18"/>
              <w:lang w:val="en-US"/>
            </w:rPr>
            <w:t>87(Rev.1)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A2F905C" w14:textId="77777777" w:rsidR="00F50E3F" w:rsidRPr="007B0AA0" w:rsidRDefault="00F50E3F" w:rsidP="00077FC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FF538AE"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226537B9" w14:textId="77777777" w:rsidTr="00A67F05">
      <w:trPr>
        <w:jc w:val="center"/>
      </w:trPr>
      <w:tc>
        <w:tcPr>
          <w:tcW w:w="1013" w:type="pct"/>
          <w:vAlign w:val="center"/>
        </w:tcPr>
        <w:p w14:paraId="01E29B84" w14:textId="77777777" w:rsidR="007B0AA0" w:rsidRPr="0096716C" w:rsidRDefault="00660DEA" w:rsidP="00077FC5">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6D74C3FC" w14:textId="71D433EE" w:rsidR="007B0AA0" w:rsidRPr="007B0AA0" w:rsidRDefault="007B0AA0" w:rsidP="00077FC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283117" w:rsidRPr="00283117">
            <w:rPr>
              <w:rFonts w:ascii="Calibri" w:hAnsi="Calibri" w:cs="Arial"/>
              <w:bCs/>
              <w:color w:val="7F7F7F"/>
              <w:sz w:val="18"/>
              <w:lang w:val="en-US"/>
            </w:rPr>
            <w:t>87(Rev.1)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38F7AC2" w14:textId="77777777" w:rsidR="007B0AA0" w:rsidRPr="007B0AA0" w:rsidRDefault="00F50E3F" w:rsidP="00077FC5">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017867B"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66051" w14:textId="77777777" w:rsidR="008E6D9D" w:rsidRDefault="008E6D9D" w:rsidP="006C3242">
      <w:pPr>
        <w:spacing w:before="0" w:line="240" w:lineRule="auto"/>
      </w:pPr>
      <w:r>
        <w:separator/>
      </w:r>
    </w:p>
  </w:footnote>
  <w:footnote w:type="continuationSeparator" w:id="0">
    <w:p w14:paraId="0A6476D5" w14:textId="77777777" w:rsidR="008E6D9D" w:rsidRDefault="008E6D9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4FEA"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464BD5B" wp14:editId="17C1223B">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CC23F"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674AE090" wp14:editId="3E95D7D1">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E605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38CB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FC76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6E66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F60D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C438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5C1B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664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1AAD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660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B85A22"/>
    <w:multiLevelType w:val="hybridMultilevel"/>
    <w:tmpl w:val="CD527D46"/>
    <w:lvl w:ilvl="0" w:tplc="32AAF9E0">
      <w:start w:val="2"/>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06D26"/>
    <w:multiLevelType w:val="hybridMultilevel"/>
    <w:tmpl w:val="36942C7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1646858883">
    <w:abstractNumId w:val="12"/>
  </w:num>
  <w:num w:numId="13" w16cid:durableId="635336161">
    <w:abstractNumId w:val="8"/>
  </w:num>
  <w:num w:numId="14" w16cid:durableId="945311731">
    <w:abstractNumId w:val="3"/>
  </w:num>
  <w:num w:numId="15" w16cid:durableId="1363049555">
    <w:abstractNumId w:val="2"/>
  </w:num>
  <w:num w:numId="16" w16cid:durableId="855458755">
    <w:abstractNumId w:val="1"/>
  </w:num>
  <w:num w:numId="17" w16cid:durableId="1639721091">
    <w:abstractNumId w:val="0"/>
  </w:num>
  <w:num w:numId="18" w16cid:durableId="1415468603">
    <w:abstractNumId w:val="8"/>
  </w:num>
  <w:num w:numId="19" w16cid:durableId="1413821367">
    <w:abstractNumId w:val="3"/>
  </w:num>
  <w:num w:numId="20" w16cid:durableId="2104065577">
    <w:abstractNumId w:val="2"/>
  </w:num>
  <w:num w:numId="21" w16cid:durableId="230508032">
    <w:abstractNumId w:val="1"/>
  </w:num>
  <w:num w:numId="22" w16cid:durableId="1661809164">
    <w:abstractNumId w:val="0"/>
  </w:num>
  <w:num w:numId="23" w16cid:durableId="1160728782">
    <w:abstractNumId w:val="8"/>
  </w:num>
  <w:num w:numId="24" w16cid:durableId="1503623678">
    <w:abstractNumId w:val="3"/>
  </w:num>
  <w:num w:numId="25" w16cid:durableId="1237784043">
    <w:abstractNumId w:val="2"/>
  </w:num>
  <w:num w:numId="26" w16cid:durableId="802698417">
    <w:abstractNumId w:val="1"/>
  </w:num>
  <w:num w:numId="27" w16cid:durableId="859974751">
    <w:abstractNumId w:val="0"/>
  </w:num>
  <w:num w:numId="28" w16cid:durableId="2067609361">
    <w:abstractNumId w:val="8"/>
  </w:num>
  <w:num w:numId="29" w16cid:durableId="1884713175">
    <w:abstractNumId w:val="3"/>
  </w:num>
  <w:num w:numId="30" w16cid:durableId="1198158176">
    <w:abstractNumId w:val="2"/>
  </w:num>
  <w:num w:numId="31" w16cid:durableId="362831464">
    <w:abstractNumId w:val="1"/>
  </w:num>
  <w:num w:numId="32" w16cid:durableId="118300226">
    <w:abstractNumId w:val="0"/>
  </w:num>
  <w:num w:numId="33" w16cid:durableId="1637762527">
    <w:abstractNumId w:val="8"/>
  </w:num>
  <w:num w:numId="34" w16cid:durableId="1639797770">
    <w:abstractNumId w:val="3"/>
  </w:num>
  <w:num w:numId="35" w16cid:durableId="729882041">
    <w:abstractNumId w:val="2"/>
  </w:num>
  <w:num w:numId="36" w16cid:durableId="1072199564">
    <w:abstractNumId w:val="1"/>
  </w:num>
  <w:num w:numId="37" w16cid:durableId="67654800">
    <w:abstractNumId w:val="0"/>
  </w:num>
  <w:num w:numId="38" w16cid:durableId="340401601">
    <w:abstractNumId w:val="8"/>
  </w:num>
  <w:num w:numId="39" w16cid:durableId="286090362">
    <w:abstractNumId w:val="3"/>
  </w:num>
  <w:num w:numId="40" w16cid:durableId="816922196">
    <w:abstractNumId w:val="2"/>
  </w:num>
  <w:num w:numId="41" w16cid:durableId="108865918">
    <w:abstractNumId w:val="1"/>
  </w:num>
  <w:num w:numId="42" w16cid:durableId="2064668586">
    <w:abstractNumId w:val="0"/>
  </w:num>
  <w:num w:numId="43" w16cid:durableId="1086027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9D"/>
    <w:rsid w:val="00035ACB"/>
    <w:rsid w:val="0006468A"/>
    <w:rsid w:val="00077A58"/>
    <w:rsid w:val="00077FC5"/>
    <w:rsid w:val="00090574"/>
    <w:rsid w:val="000C1C0E"/>
    <w:rsid w:val="000C548A"/>
    <w:rsid w:val="00126DCC"/>
    <w:rsid w:val="00143C94"/>
    <w:rsid w:val="00154F3D"/>
    <w:rsid w:val="00191059"/>
    <w:rsid w:val="001B6E2B"/>
    <w:rsid w:val="001C0169"/>
    <w:rsid w:val="001C0C21"/>
    <w:rsid w:val="001D1D50"/>
    <w:rsid w:val="001D64C7"/>
    <w:rsid w:val="001D6745"/>
    <w:rsid w:val="001E446E"/>
    <w:rsid w:val="002154EE"/>
    <w:rsid w:val="002276D2"/>
    <w:rsid w:val="0023283D"/>
    <w:rsid w:val="00254393"/>
    <w:rsid w:val="0026373E"/>
    <w:rsid w:val="00271C43"/>
    <w:rsid w:val="00283117"/>
    <w:rsid w:val="002846D0"/>
    <w:rsid w:val="00290728"/>
    <w:rsid w:val="002978F4"/>
    <w:rsid w:val="002B028D"/>
    <w:rsid w:val="002C3F32"/>
    <w:rsid w:val="002E6541"/>
    <w:rsid w:val="00303CCA"/>
    <w:rsid w:val="00334924"/>
    <w:rsid w:val="003409BC"/>
    <w:rsid w:val="00357185"/>
    <w:rsid w:val="00383829"/>
    <w:rsid w:val="00397F90"/>
    <w:rsid w:val="003B7686"/>
    <w:rsid w:val="003C060C"/>
    <w:rsid w:val="003F4B29"/>
    <w:rsid w:val="00410B26"/>
    <w:rsid w:val="00420F8A"/>
    <w:rsid w:val="0042686F"/>
    <w:rsid w:val="004317D8"/>
    <w:rsid w:val="0043260A"/>
    <w:rsid w:val="00434183"/>
    <w:rsid w:val="00443869"/>
    <w:rsid w:val="00447F32"/>
    <w:rsid w:val="00491BA9"/>
    <w:rsid w:val="00494119"/>
    <w:rsid w:val="004A4701"/>
    <w:rsid w:val="004B7334"/>
    <w:rsid w:val="004E11DC"/>
    <w:rsid w:val="005130DE"/>
    <w:rsid w:val="00513157"/>
    <w:rsid w:val="00525DDD"/>
    <w:rsid w:val="005409AC"/>
    <w:rsid w:val="005434E0"/>
    <w:rsid w:val="005546CF"/>
    <w:rsid w:val="0055516A"/>
    <w:rsid w:val="0058491B"/>
    <w:rsid w:val="00592EA5"/>
    <w:rsid w:val="005A3170"/>
    <w:rsid w:val="005C341E"/>
    <w:rsid w:val="006062CB"/>
    <w:rsid w:val="00657019"/>
    <w:rsid w:val="00660DEA"/>
    <w:rsid w:val="00677396"/>
    <w:rsid w:val="00683F16"/>
    <w:rsid w:val="0069200F"/>
    <w:rsid w:val="006A65CB"/>
    <w:rsid w:val="006B12E5"/>
    <w:rsid w:val="006C3242"/>
    <w:rsid w:val="006C7CC0"/>
    <w:rsid w:val="006F363C"/>
    <w:rsid w:val="006F63F7"/>
    <w:rsid w:val="007025C7"/>
    <w:rsid w:val="00706D7A"/>
    <w:rsid w:val="00722F0D"/>
    <w:rsid w:val="00735081"/>
    <w:rsid w:val="0074420E"/>
    <w:rsid w:val="007648A6"/>
    <w:rsid w:val="0077110E"/>
    <w:rsid w:val="00783E26"/>
    <w:rsid w:val="007A6684"/>
    <w:rsid w:val="007B0AA0"/>
    <w:rsid w:val="007C3BC7"/>
    <w:rsid w:val="007C3BCD"/>
    <w:rsid w:val="007D4ACF"/>
    <w:rsid w:val="007F0787"/>
    <w:rsid w:val="008003A6"/>
    <w:rsid w:val="00810B7B"/>
    <w:rsid w:val="0082358A"/>
    <w:rsid w:val="008235CD"/>
    <w:rsid w:val="008247DE"/>
    <w:rsid w:val="008339C0"/>
    <w:rsid w:val="00840B10"/>
    <w:rsid w:val="008513CB"/>
    <w:rsid w:val="00874E9F"/>
    <w:rsid w:val="008A7F84"/>
    <w:rsid w:val="008E3314"/>
    <w:rsid w:val="008E6D9D"/>
    <w:rsid w:val="009159BC"/>
    <w:rsid w:val="0091702E"/>
    <w:rsid w:val="00923B0C"/>
    <w:rsid w:val="00924F46"/>
    <w:rsid w:val="00932333"/>
    <w:rsid w:val="00935AAC"/>
    <w:rsid w:val="0093725D"/>
    <w:rsid w:val="0094021C"/>
    <w:rsid w:val="00952F86"/>
    <w:rsid w:val="0096716C"/>
    <w:rsid w:val="00982B28"/>
    <w:rsid w:val="009D313F"/>
    <w:rsid w:val="00A47A5A"/>
    <w:rsid w:val="00A63AE6"/>
    <w:rsid w:val="00A6683B"/>
    <w:rsid w:val="00A67F05"/>
    <w:rsid w:val="00A91177"/>
    <w:rsid w:val="00A97F94"/>
    <w:rsid w:val="00AA7EA2"/>
    <w:rsid w:val="00AB5A56"/>
    <w:rsid w:val="00B03099"/>
    <w:rsid w:val="00B05BC8"/>
    <w:rsid w:val="00B30F5E"/>
    <w:rsid w:val="00B64B47"/>
    <w:rsid w:val="00B84E4F"/>
    <w:rsid w:val="00B95654"/>
    <w:rsid w:val="00B97F32"/>
    <w:rsid w:val="00BA04B2"/>
    <w:rsid w:val="00C002DE"/>
    <w:rsid w:val="00C0602B"/>
    <w:rsid w:val="00C135C4"/>
    <w:rsid w:val="00C224DA"/>
    <w:rsid w:val="00C53BF8"/>
    <w:rsid w:val="00C66157"/>
    <w:rsid w:val="00C674FE"/>
    <w:rsid w:val="00C67501"/>
    <w:rsid w:val="00C75633"/>
    <w:rsid w:val="00CB5259"/>
    <w:rsid w:val="00CE2EE1"/>
    <w:rsid w:val="00CE3349"/>
    <w:rsid w:val="00CE36E5"/>
    <w:rsid w:val="00CE4360"/>
    <w:rsid w:val="00CF27F5"/>
    <w:rsid w:val="00CF3FFD"/>
    <w:rsid w:val="00D10CCF"/>
    <w:rsid w:val="00D13941"/>
    <w:rsid w:val="00D23F5F"/>
    <w:rsid w:val="00D43D6B"/>
    <w:rsid w:val="00D43F7D"/>
    <w:rsid w:val="00D63735"/>
    <w:rsid w:val="00D745F8"/>
    <w:rsid w:val="00D77D0F"/>
    <w:rsid w:val="00DA1CF0"/>
    <w:rsid w:val="00DC1E02"/>
    <w:rsid w:val="00DC24B4"/>
    <w:rsid w:val="00DC5FB0"/>
    <w:rsid w:val="00DF16DC"/>
    <w:rsid w:val="00DF2CCD"/>
    <w:rsid w:val="00E45211"/>
    <w:rsid w:val="00E473C5"/>
    <w:rsid w:val="00E56730"/>
    <w:rsid w:val="00E61BE8"/>
    <w:rsid w:val="00E83FF1"/>
    <w:rsid w:val="00E92863"/>
    <w:rsid w:val="00E979B2"/>
    <w:rsid w:val="00EB796D"/>
    <w:rsid w:val="00EE4EA6"/>
    <w:rsid w:val="00F058DC"/>
    <w:rsid w:val="00F10414"/>
    <w:rsid w:val="00F15397"/>
    <w:rsid w:val="00F24FC4"/>
    <w:rsid w:val="00F2676C"/>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A9064"/>
  <w15:chartTrackingRefBased/>
  <w15:docId w15:val="{9C863305-9869-4B7A-93CE-405E382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D43D6B"/>
    <w:rPr>
      <w:color w:val="954F72" w:themeColor="followedHyperlink"/>
      <w:u w:val="single"/>
    </w:rPr>
  </w:style>
  <w:style w:type="paragraph" w:styleId="Revision">
    <w:name w:val="Revision"/>
    <w:hidden/>
    <w:uiPriority w:val="99"/>
    <w:semiHidden/>
    <w:rsid w:val="0028311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ethics/Documents/SO-2024-009-OU-E.pdf" TargetMode="External"/><Relationship Id="rId18" Type="http://schemas.openxmlformats.org/officeDocument/2006/relationships/hyperlink" Target="https://www.itu.int/en/ethics/Documents/SO-2020-006-en.pdf" TargetMode="External"/><Relationship Id="rId26" Type="http://schemas.openxmlformats.org/officeDocument/2006/relationships/hyperlink" Target="https://www.itu.int/md/S24-CL-C-0109/en" TargetMode="External"/><Relationship Id="rId3" Type="http://schemas.openxmlformats.org/officeDocument/2006/relationships/styles" Target="styles.xml"/><Relationship Id="rId21" Type="http://schemas.openxmlformats.org/officeDocument/2006/relationships/hyperlink" Target="https://www.itu.int/en/ethics/Documents/SO-2019-010-en.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uncil.itu.int/2024/wp-content/uploads/sites/4/2024/05/Staff-Regulations-and-Staff-Rules-2024-secured-A.pdf" TargetMode="External"/><Relationship Id="rId17" Type="http://schemas.openxmlformats.org/officeDocument/2006/relationships/hyperlink" Target="https://www.itu.int/en/ethics/Documents/SO-2022-003-en.pdf" TargetMode="External"/><Relationship Id="rId25" Type="http://schemas.openxmlformats.org/officeDocument/2006/relationships/hyperlink" Target="https://www.itu.int/en/ethics/Documents/SO-2024-009-OU-E.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ethics/Documents/SO-2019-009-en.pdf" TargetMode="External"/><Relationship Id="rId20" Type="http://schemas.openxmlformats.org/officeDocument/2006/relationships/hyperlink" Target="https://www.itu.int/en/ethics/Documents/SO-2011-003-en.pdf" TargetMode="External"/><Relationship Id="rId29" Type="http://schemas.openxmlformats.org/officeDocument/2006/relationships/hyperlink" Target="https://www.itu.int/en/ethics/Documents/SO-2019-009-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57/en" TargetMode="External"/><Relationship Id="rId24" Type="http://schemas.openxmlformats.org/officeDocument/2006/relationships/hyperlink" Target="https://www.itu.int/md/S24-CL-C-0120/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ethics/Documents/SO-2011-002-en.pdf" TargetMode="External"/><Relationship Id="rId23" Type="http://schemas.openxmlformats.org/officeDocument/2006/relationships/hyperlink" Target="https://www.unjiu.org/sites/www.unjiu.org/files/jiu_rep_2023_2_english_0.pdf" TargetMode="External"/><Relationship Id="rId28" Type="http://schemas.openxmlformats.org/officeDocument/2006/relationships/hyperlink" Target="https://www.itu.int/en/ethics/Documents/SO-2011-002-en.pdf" TargetMode="External"/><Relationship Id="rId36" Type="http://schemas.openxmlformats.org/officeDocument/2006/relationships/theme" Target="theme/theme1.xml"/><Relationship Id="rId10" Type="http://schemas.openxmlformats.org/officeDocument/2006/relationships/hyperlink" Target="https://www.itu.int/md/S24-CL-C-0120/en" TargetMode="External"/><Relationship Id="rId19" Type="http://schemas.openxmlformats.org/officeDocument/2006/relationships/hyperlink" Target="https://www.itu.int/en/ethics/Documents/SO-2022-002-en.pdf" TargetMode="External"/><Relationship Id="rId31" Type="http://schemas.openxmlformats.org/officeDocument/2006/relationships/hyperlink" Target="https://www.itu.int/en/ethics/Documents/SO-2020-006-en.pdf" TargetMode="External"/><Relationship Id="rId4" Type="http://schemas.openxmlformats.org/officeDocument/2006/relationships/settings" Target="settings.xml"/><Relationship Id="rId9" Type="http://schemas.openxmlformats.org/officeDocument/2006/relationships/hyperlink" Target="https://www.itu.int/md/S24-CL-C-0109/en" TargetMode="External"/><Relationship Id="rId14" Type="http://schemas.openxmlformats.org/officeDocument/2006/relationships/hyperlink" Target="https://www.itu.int/en/ethics/Documents/SO-2017-007-en.pdf" TargetMode="External"/><Relationship Id="rId22" Type="http://schemas.openxmlformats.org/officeDocument/2006/relationships/hyperlink" Target="https://www.unjiu.org/sites/www.unjiu.org/files/jiu_rep_2020_1_english_0.pdf" TargetMode="External"/><Relationship Id="rId27" Type="http://schemas.openxmlformats.org/officeDocument/2006/relationships/hyperlink" Target="https://www.itu.int/en/ethics/Documents/SO-2017-007-en.pdf" TargetMode="External"/><Relationship Id="rId30" Type="http://schemas.openxmlformats.org/officeDocument/2006/relationships/hyperlink" Target="https://www.itu.int/en/ethics/Documents/SO-2022-003-en.pdf" TargetMode="External"/><Relationship Id="rId35" Type="http://schemas.openxmlformats.org/officeDocument/2006/relationships/fontTable" Target="fontTable.xml"/><Relationship Id="rId8" Type="http://schemas.openxmlformats.org/officeDocument/2006/relationships/hyperlink" Target="https://www.itu.int/md/S18-CL-C-011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3</Pages>
  <Words>980</Words>
  <Characters>5585</Characters>
  <Application>Microsoft Office Word</Application>
  <DocSecurity>0</DocSecurity>
  <Lines>91</Lines>
  <Paragraphs>43</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Proposals for further improvement of the internal oversight system in ITU</dc:title>
  <dc:subject>ITU Council 2025</dc:subject>
  <cp:keywords>C2025, C25, Council-25</cp:keywords>
  <dc:description/>
  <dcterms:created xsi:type="dcterms:W3CDTF">2025-06-17T15:00:00Z</dcterms:created>
  <dcterms:modified xsi:type="dcterms:W3CDTF">2025-06-17T15:00:00Z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