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146A96" w14:paraId="3F6C88CF" w14:textId="77777777">
        <w:trPr>
          <w:cantSplit/>
          <w:trHeight w:val="23"/>
        </w:trPr>
        <w:tc>
          <w:tcPr>
            <w:tcW w:w="3969" w:type="dxa"/>
            <w:vMerge w:val="restart"/>
            <w:tcMar>
              <w:left w:w="0" w:type="dxa"/>
            </w:tcMar>
          </w:tcPr>
          <w:p w14:paraId="5F4DCB77" w14:textId="77777777" w:rsidR="00146A96" w:rsidRDefault="00CA702F">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Pr>
                <w:rFonts w:cs="Calibri" w:hint="eastAsia"/>
                <w:b/>
                <w:bCs/>
                <w:lang w:val="ru-RU"/>
              </w:rPr>
              <w:t>议项</w:t>
            </w:r>
            <w:proofErr w:type="spellEnd"/>
            <w:r>
              <w:rPr>
                <w:rFonts w:cs="Calibri" w:hint="eastAsia"/>
                <w:b/>
                <w:bCs/>
                <w:lang w:val="ru-RU"/>
              </w:rPr>
              <w:t>：</w:t>
            </w:r>
          </w:p>
        </w:tc>
        <w:tc>
          <w:tcPr>
            <w:tcW w:w="5245" w:type="dxa"/>
          </w:tcPr>
          <w:p w14:paraId="46838AB1" w14:textId="3E400B38" w:rsidR="00146A96" w:rsidRDefault="00CA702F">
            <w:pPr>
              <w:tabs>
                <w:tab w:val="left" w:pos="851"/>
              </w:tabs>
              <w:spacing w:before="0" w:line="240" w:lineRule="atLeast"/>
              <w:jc w:val="right"/>
              <w:rPr>
                <w:b/>
                <w:lang w:val="fr-CH"/>
              </w:rPr>
            </w:pPr>
            <w:proofErr w:type="spellStart"/>
            <w:r>
              <w:rPr>
                <w:rFonts w:cs="Calibri"/>
                <w:b/>
                <w:bCs/>
                <w:lang w:val="ru-RU"/>
              </w:rPr>
              <w:t>文件</w:t>
            </w:r>
            <w:proofErr w:type="spellEnd"/>
            <w:r>
              <w:rPr>
                <w:rFonts w:cs="Calibri" w:hint="eastAsia"/>
                <w:b/>
                <w:bCs/>
                <w:lang w:val="ru-RU"/>
              </w:rPr>
              <w:t xml:space="preserve"> </w:t>
            </w:r>
            <w:proofErr w:type="spellStart"/>
            <w:r>
              <w:rPr>
                <w:b/>
                <w:lang w:val="fr-CH"/>
              </w:rPr>
              <w:t>C25</w:t>
            </w:r>
            <w:proofErr w:type="spellEnd"/>
            <w:r>
              <w:rPr>
                <w:b/>
                <w:lang w:val="fr-CH"/>
              </w:rPr>
              <w:t>/</w:t>
            </w:r>
            <w:r w:rsidR="00D50F8E">
              <w:rPr>
                <w:b/>
                <w:lang w:val="fr-CH"/>
              </w:rPr>
              <w:t>XX</w:t>
            </w:r>
            <w:r>
              <w:rPr>
                <w:b/>
                <w:lang w:val="fr-CH"/>
              </w:rPr>
              <w:t>-C</w:t>
            </w:r>
          </w:p>
        </w:tc>
      </w:tr>
      <w:tr w:rsidR="00146A96" w14:paraId="722BC859" w14:textId="77777777">
        <w:trPr>
          <w:cantSplit/>
        </w:trPr>
        <w:tc>
          <w:tcPr>
            <w:tcW w:w="3969" w:type="dxa"/>
            <w:vMerge/>
          </w:tcPr>
          <w:p w14:paraId="41C9453D" w14:textId="77777777" w:rsidR="00146A96" w:rsidRDefault="00146A96">
            <w:pPr>
              <w:tabs>
                <w:tab w:val="left" w:pos="851"/>
              </w:tabs>
              <w:spacing w:line="240" w:lineRule="atLeast"/>
              <w:rPr>
                <w:b/>
                <w:lang w:val="fr-CH"/>
              </w:rPr>
            </w:pPr>
            <w:bookmarkStart w:id="3" w:name="ddate" w:colFirst="1" w:colLast="1"/>
            <w:bookmarkEnd w:id="0"/>
            <w:bookmarkEnd w:id="1"/>
          </w:p>
        </w:tc>
        <w:tc>
          <w:tcPr>
            <w:tcW w:w="5245" w:type="dxa"/>
          </w:tcPr>
          <w:p w14:paraId="61721F68" w14:textId="7F923A8D" w:rsidR="00146A96" w:rsidRDefault="00F14803">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6</w:t>
            </w:r>
            <w:r>
              <w:rPr>
                <w:rFonts w:hint="eastAsia"/>
                <w:b/>
                <w:lang w:eastAsia="zh-CN"/>
              </w:rPr>
              <w:t>月</w:t>
            </w:r>
            <w:r>
              <w:rPr>
                <w:rFonts w:hint="eastAsia"/>
                <w:b/>
                <w:lang w:eastAsia="zh-CN"/>
              </w:rPr>
              <w:t>3</w:t>
            </w:r>
            <w:r>
              <w:rPr>
                <w:rFonts w:hint="eastAsia"/>
                <w:b/>
                <w:lang w:eastAsia="zh-CN"/>
              </w:rPr>
              <w:t>日</w:t>
            </w:r>
          </w:p>
        </w:tc>
      </w:tr>
      <w:tr w:rsidR="00146A96" w14:paraId="1E13CB83" w14:textId="77777777">
        <w:trPr>
          <w:cantSplit/>
          <w:trHeight w:val="23"/>
        </w:trPr>
        <w:tc>
          <w:tcPr>
            <w:tcW w:w="3969" w:type="dxa"/>
            <w:vMerge/>
          </w:tcPr>
          <w:p w14:paraId="14B1E9EF" w14:textId="77777777" w:rsidR="00146A96" w:rsidRDefault="00146A96">
            <w:pPr>
              <w:tabs>
                <w:tab w:val="left" w:pos="851"/>
              </w:tabs>
              <w:spacing w:line="240" w:lineRule="atLeast"/>
              <w:rPr>
                <w:b/>
              </w:rPr>
            </w:pPr>
            <w:bookmarkStart w:id="4" w:name="dorlang" w:colFirst="1" w:colLast="1"/>
            <w:bookmarkEnd w:id="3"/>
          </w:p>
        </w:tc>
        <w:tc>
          <w:tcPr>
            <w:tcW w:w="5245" w:type="dxa"/>
          </w:tcPr>
          <w:p w14:paraId="08682302" w14:textId="77777777" w:rsidR="00146A96" w:rsidRDefault="00CA702F">
            <w:pPr>
              <w:tabs>
                <w:tab w:val="left" w:pos="851"/>
              </w:tabs>
              <w:spacing w:before="0" w:line="240" w:lineRule="atLeast"/>
              <w:jc w:val="right"/>
              <w:rPr>
                <w:b/>
                <w:lang w:val="es-ES" w:eastAsia="zh-CN"/>
              </w:rPr>
            </w:pPr>
            <w:proofErr w:type="spellStart"/>
            <w:r>
              <w:rPr>
                <w:rFonts w:cs="Calibri" w:hint="eastAsia"/>
                <w:b/>
                <w:bCs/>
                <w:lang w:val="ru-RU"/>
              </w:rPr>
              <w:t>原文：中文</w:t>
            </w:r>
            <w:proofErr w:type="spellEnd"/>
          </w:p>
        </w:tc>
      </w:tr>
      <w:tr w:rsidR="00146A96" w14:paraId="41555691" w14:textId="77777777">
        <w:trPr>
          <w:cantSplit/>
          <w:trHeight w:val="23"/>
        </w:trPr>
        <w:tc>
          <w:tcPr>
            <w:tcW w:w="3969" w:type="dxa"/>
          </w:tcPr>
          <w:p w14:paraId="78731483" w14:textId="77777777" w:rsidR="00146A96" w:rsidRDefault="00146A96">
            <w:pPr>
              <w:tabs>
                <w:tab w:val="left" w:pos="851"/>
              </w:tabs>
              <w:spacing w:line="240" w:lineRule="atLeast"/>
              <w:rPr>
                <w:b/>
              </w:rPr>
            </w:pPr>
          </w:p>
        </w:tc>
        <w:tc>
          <w:tcPr>
            <w:tcW w:w="5245" w:type="dxa"/>
          </w:tcPr>
          <w:p w14:paraId="71E6E112" w14:textId="77777777" w:rsidR="00146A96" w:rsidRDefault="00146A96">
            <w:pPr>
              <w:tabs>
                <w:tab w:val="left" w:pos="851"/>
              </w:tabs>
              <w:spacing w:before="0" w:line="240" w:lineRule="atLeast"/>
              <w:jc w:val="right"/>
              <w:rPr>
                <w:b/>
              </w:rPr>
            </w:pPr>
          </w:p>
        </w:tc>
      </w:tr>
      <w:tr w:rsidR="00146A96" w14:paraId="0DC273AA" w14:textId="77777777">
        <w:trPr>
          <w:cantSplit/>
        </w:trPr>
        <w:tc>
          <w:tcPr>
            <w:tcW w:w="9214" w:type="dxa"/>
            <w:gridSpan w:val="2"/>
            <w:tcMar>
              <w:left w:w="0" w:type="dxa"/>
            </w:tcMar>
          </w:tcPr>
          <w:p w14:paraId="01E6C93A" w14:textId="77777777" w:rsidR="00146A96" w:rsidRDefault="00CA702F">
            <w:pPr>
              <w:pStyle w:val="Source"/>
              <w:spacing w:before="840"/>
              <w:jc w:val="left"/>
              <w:rPr>
                <w:sz w:val="32"/>
                <w:szCs w:val="32"/>
                <w:lang w:eastAsia="zh-CN"/>
              </w:rPr>
            </w:pPr>
            <w:bookmarkStart w:id="5" w:name="dsource" w:colFirst="0" w:colLast="0"/>
            <w:bookmarkEnd w:id="4"/>
            <w:r>
              <w:rPr>
                <w:rFonts w:cs="Calibri" w:hint="eastAsia"/>
                <w:sz w:val="32"/>
                <w:szCs w:val="32"/>
                <w:lang w:val="en-US" w:eastAsia="zh-CN"/>
              </w:rPr>
              <w:t>中华人民共和国</w:t>
            </w:r>
            <w:r>
              <w:rPr>
                <w:rFonts w:cs="Calibri" w:hint="eastAsia"/>
                <w:sz w:val="32"/>
                <w:szCs w:val="32"/>
                <w:lang w:val="ru-RU" w:eastAsia="zh-CN"/>
              </w:rPr>
              <w:t>的文稿</w:t>
            </w:r>
          </w:p>
        </w:tc>
      </w:tr>
      <w:tr w:rsidR="00146A96" w14:paraId="4DFBB60A" w14:textId="77777777">
        <w:trPr>
          <w:cantSplit/>
        </w:trPr>
        <w:tc>
          <w:tcPr>
            <w:tcW w:w="9214" w:type="dxa"/>
            <w:gridSpan w:val="2"/>
            <w:tcMar>
              <w:left w:w="0" w:type="dxa"/>
            </w:tcMar>
          </w:tcPr>
          <w:p w14:paraId="77DC0012" w14:textId="77777777" w:rsidR="00146A96" w:rsidRDefault="00CA702F">
            <w:pPr>
              <w:pStyle w:val="Subtitle"/>
              <w:framePr w:hSpace="0" w:wrap="auto" w:hAnchor="text" w:xAlign="left" w:yAlign="inline"/>
              <w:rPr>
                <w:rFonts w:ascii="SimSun" w:eastAsia="SimSun" w:hAnsi="SimSun"/>
                <w:sz w:val="32"/>
                <w:szCs w:val="32"/>
                <w:lang w:val="en-US" w:eastAsia="zh-CN"/>
              </w:rPr>
            </w:pPr>
            <w:bookmarkStart w:id="6" w:name="dtitle1" w:colFirst="0" w:colLast="0"/>
            <w:bookmarkEnd w:id="5"/>
            <w:r>
              <w:rPr>
                <w:rFonts w:ascii="SimSun" w:eastAsia="SimSun" w:hAnsi="SimSun" w:hint="eastAsia"/>
                <w:sz w:val="32"/>
                <w:szCs w:val="32"/>
                <w:lang w:val="en-US" w:eastAsia="zh-CN"/>
              </w:rPr>
              <w:t>关于继续完善国际电联内部监督制度的建议</w:t>
            </w:r>
          </w:p>
        </w:tc>
      </w:tr>
      <w:tr w:rsidR="00146A96" w14:paraId="50FA46F5" w14:textId="77777777">
        <w:trPr>
          <w:cantSplit/>
        </w:trPr>
        <w:tc>
          <w:tcPr>
            <w:tcW w:w="9214" w:type="dxa"/>
            <w:gridSpan w:val="2"/>
            <w:tcBorders>
              <w:top w:val="single" w:sz="4" w:space="0" w:color="auto"/>
              <w:bottom w:val="single" w:sz="4" w:space="0" w:color="auto"/>
            </w:tcBorders>
            <w:tcMar>
              <w:left w:w="0" w:type="dxa"/>
            </w:tcMar>
          </w:tcPr>
          <w:p w14:paraId="4C836F14" w14:textId="77777777" w:rsidR="00146A96" w:rsidRDefault="00CA702F">
            <w:pPr>
              <w:pStyle w:val="Subtitle"/>
              <w:framePr w:hSpace="0" w:wrap="auto" w:hAnchor="text" w:xAlign="left" w:yAlign="inline"/>
              <w:rPr>
                <w:rFonts w:ascii="SimSun" w:eastAsia="SimSun" w:hAnsi="SimSun" w:cs="Calibri"/>
                <w:b/>
                <w:bCs/>
                <w:sz w:val="26"/>
                <w:szCs w:val="26"/>
                <w:lang w:eastAsia="zh-CN"/>
              </w:rPr>
            </w:pPr>
            <w:r>
              <w:rPr>
                <w:rFonts w:ascii="SimSun" w:eastAsia="SimSun" w:hAnsi="SimSun" w:cs="Calibri"/>
                <w:b/>
                <w:bCs/>
                <w:sz w:val="26"/>
                <w:szCs w:val="26"/>
                <w:lang w:eastAsia="zh-CN"/>
              </w:rPr>
              <w:t>目的</w:t>
            </w:r>
          </w:p>
          <w:p w14:paraId="69493D1C" w14:textId="77777777" w:rsidR="00146A96" w:rsidRDefault="00CA702F">
            <w:pPr>
              <w:pStyle w:val="Subtitle"/>
              <w:framePr w:hSpace="0" w:wrap="auto" w:hAnchor="text" w:xAlign="left" w:yAlign="inline"/>
              <w:rPr>
                <w:rFonts w:ascii="SimSun" w:eastAsia="SimSun" w:hAnsi="SimSun" w:cs="Calibri"/>
                <w:b/>
                <w:bCs/>
                <w:sz w:val="24"/>
                <w:szCs w:val="24"/>
                <w:lang w:eastAsia="zh-CN"/>
              </w:rPr>
            </w:pPr>
            <w:r>
              <w:rPr>
                <w:rFonts w:eastAsia="SimSun" w:hint="eastAsia"/>
                <w:sz w:val="24"/>
                <w:lang w:val="en-US" w:eastAsia="zh-CN"/>
              </w:rPr>
              <w:t>2024</w:t>
            </w:r>
            <w:r>
              <w:rPr>
                <w:rFonts w:eastAsia="SimSun" w:hint="eastAsia"/>
                <w:sz w:val="24"/>
                <w:lang w:val="en-US" w:eastAsia="zh-CN"/>
              </w:rPr>
              <w:t>年</w:t>
            </w:r>
            <w:r>
              <w:rPr>
                <w:rFonts w:eastAsia="SimSun" w:hint="eastAsia"/>
                <w:sz w:val="24"/>
                <w:lang w:val="en-US" w:eastAsia="zh-CN"/>
              </w:rPr>
              <w:t>6</w:t>
            </w:r>
            <w:r>
              <w:rPr>
                <w:rFonts w:eastAsia="SimSun" w:hint="eastAsia"/>
                <w:sz w:val="24"/>
                <w:lang w:val="en-US" w:eastAsia="zh-CN"/>
              </w:rPr>
              <w:t>月，理事会通过了《国际电联内部监督章程》</w:t>
            </w:r>
            <w:r>
              <w:rPr>
                <w:rFonts w:hint="eastAsia"/>
                <w:sz w:val="24"/>
                <w:lang w:val="en-US" w:eastAsia="zh-CN"/>
              </w:rPr>
              <w:t>。</w:t>
            </w:r>
            <w:r>
              <w:rPr>
                <w:rFonts w:ascii="SimSun" w:eastAsia="SimSun" w:hAnsi="SimSun" w:cs="Calibri" w:hint="eastAsia"/>
                <w:sz w:val="24"/>
                <w:szCs w:val="24"/>
                <w:lang w:eastAsia="zh-CN"/>
              </w:rPr>
              <w:t>为落实理事会有关完善内部监督的决定，推进《国际电联内部监督章程》实施，</w:t>
            </w:r>
            <w:r>
              <w:rPr>
                <w:rFonts w:ascii="SimSun" w:eastAsia="SimSun" w:hAnsi="SimSun" w:cs="Calibri" w:hint="eastAsia"/>
                <w:sz w:val="24"/>
                <w:szCs w:val="24"/>
                <w:lang w:val="en-US" w:eastAsia="zh-CN"/>
              </w:rPr>
              <w:t>本文件提出进一步工作建议。</w:t>
            </w:r>
          </w:p>
          <w:p w14:paraId="39BA5C20" w14:textId="77777777" w:rsidR="00146A96" w:rsidRDefault="00CA702F">
            <w:pPr>
              <w:pStyle w:val="Subtitle"/>
              <w:framePr w:hSpace="0" w:wrap="auto" w:hAnchor="text" w:xAlign="left" w:yAlign="inline"/>
              <w:rPr>
                <w:rFonts w:ascii="SimSun" w:eastAsia="SimSun" w:hAnsi="SimSun" w:cs="Calibri"/>
                <w:sz w:val="26"/>
                <w:szCs w:val="26"/>
                <w:lang w:eastAsia="zh-CN"/>
              </w:rPr>
            </w:pPr>
            <w:r>
              <w:rPr>
                <w:rFonts w:ascii="SimSun" w:eastAsia="SimSun" w:hAnsi="SimSun" w:cs="Calibri"/>
                <w:b/>
                <w:bCs/>
                <w:sz w:val="26"/>
                <w:szCs w:val="26"/>
                <w:lang w:eastAsia="zh-CN"/>
              </w:rPr>
              <w:t>理事会需采取的行动</w:t>
            </w:r>
          </w:p>
          <w:p w14:paraId="3D6D0241" w14:textId="77777777" w:rsidR="00146A96" w:rsidRDefault="00CA702F">
            <w:pPr>
              <w:pStyle w:val="Subtitle"/>
              <w:framePr w:hSpace="0" w:wrap="auto" w:hAnchor="text" w:xAlign="left" w:yAlign="inline"/>
              <w:rPr>
                <w:rFonts w:ascii="SimSun" w:eastAsia="SimSun" w:hAnsi="SimSun" w:cs="Calibri"/>
                <w:b/>
                <w:bCs/>
                <w:sz w:val="24"/>
                <w:szCs w:val="24"/>
                <w:lang w:val="en-US" w:eastAsia="zh-CN"/>
              </w:rPr>
            </w:pPr>
            <w:r>
              <w:rPr>
                <w:rFonts w:ascii="SimSun" w:eastAsia="SimSun" w:hAnsi="SimSun" w:cs="Calibri" w:hint="eastAsia"/>
                <w:sz w:val="24"/>
                <w:szCs w:val="24"/>
                <w:lang w:val="en-US" w:eastAsia="zh-CN"/>
              </w:rPr>
              <w:t>审议本文件所附建议，并以适当形式采取行动。</w:t>
            </w:r>
          </w:p>
          <w:p w14:paraId="19FC4E28" w14:textId="77777777" w:rsidR="00146A96" w:rsidRDefault="00CA702F">
            <w:pPr>
              <w:pStyle w:val="Subtitle"/>
              <w:framePr w:hSpace="0" w:wrap="auto" w:hAnchor="text" w:xAlign="left" w:yAlign="inline"/>
              <w:rPr>
                <w:rFonts w:ascii="SimSun" w:eastAsia="SimSun" w:hAnsi="SimSun" w:cs="Calibri"/>
                <w:b/>
                <w:bCs/>
                <w:sz w:val="26"/>
                <w:szCs w:val="26"/>
                <w:lang w:eastAsia="zh-CN"/>
              </w:rPr>
            </w:pPr>
            <w:r>
              <w:rPr>
                <w:rFonts w:ascii="SimSun" w:eastAsia="SimSun" w:hAnsi="SimSun" w:cs="Calibri"/>
                <w:b/>
                <w:bCs/>
                <w:sz w:val="26"/>
                <w:szCs w:val="26"/>
                <w:lang w:eastAsia="zh-CN"/>
              </w:rPr>
              <w:t>__________________</w:t>
            </w:r>
          </w:p>
          <w:p w14:paraId="7F4F2680" w14:textId="77777777" w:rsidR="00146A96" w:rsidRDefault="00CA702F">
            <w:pPr>
              <w:pStyle w:val="Subtitle"/>
              <w:framePr w:hSpace="0" w:wrap="auto" w:hAnchor="text" w:xAlign="left" w:yAlign="inline"/>
              <w:rPr>
                <w:rFonts w:ascii="SimSun" w:eastAsia="SimSun" w:hAnsi="SimSun" w:cs="Calibri"/>
                <w:b/>
                <w:bCs/>
                <w:sz w:val="26"/>
                <w:szCs w:val="26"/>
                <w:lang w:val="fr-CH" w:eastAsia="zh-CN"/>
              </w:rPr>
            </w:pPr>
            <w:r>
              <w:rPr>
                <w:rFonts w:ascii="SimSun" w:eastAsia="SimSun" w:hAnsi="SimSun" w:cs="Calibri" w:hint="eastAsia"/>
                <w:b/>
                <w:bCs/>
                <w:sz w:val="26"/>
                <w:szCs w:val="26"/>
                <w:lang w:eastAsia="zh-CN"/>
              </w:rPr>
              <w:t>参考文件</w:t>
            </w:r>
          </w:p>
          <w:p w14:paraId="1A84F1C4" w14:textId="77777777" w:rsidR="00146A96" w:rsidRDefault="00CA702F">
            <w:pPr>
              <w:pStyle w:val="Subtitle"/>
              <w:framePr w:hSpace="0" w:wrap="auto" w:hAnchor="text" w:xAlign="left" w:yAlign="inline"/>
              <w:snapToGrid w:val="0"/>
              <w:spacing w:before="0" w:after="0"/>
              <w:rPr>
                <w:rFonts w:ascii="SimSun" w:eastAsia="SimSun" w:hAnsi="SimSun" w:cs="Calibri"/>
                <w:i/>
                <w:iCs/>
                <w:sz w:val="24"/>
                <w:szCs w:val="24"/>
                <w:lang w:val="fr-CH" w:eastAsia="zh-CN"/>
              </w:rPr>
            </w:pPr>
            <w:r>
              <w:rPr>
                <w:rFonts w:ascii="SimSun" w:eastAsia="SimSun" w:hAnsi="SimSun" w:cs="Calibri" w:hint="eastAsia"/>
                <w:i/>
                <w:iCs/>
                <w:sz w:val="24"/>
                <w:szCs w:val="24"/>
                <w:lang w:val="fr-CH" w:eastAsia="zh-CN"/>
              </w:rPr>
              <w:t>理事会第1392号决议（</w:t>
            </w:r>
            <w:proofErr w:type="spellStart"/>
            <w:r>
              <w:rPr>
                <w:rFonts w:ascii="SimSun" w:eastAsia="SimSun" w:hAnsi="SimSun" w:cs="Calibri" w:hint="eastAsia"/>
                <w:i/>
                <w:iCs/>
                <w:sz w:val="24"/>
                <w:szCs w:val="24"/>
                <w:lang w:val="fr-CH" w:eastAsia="zh-CN"/>
              </w:rPr>
              <w:t>C18</w:t>
            </w:r>
            <w:proofErr w:type="spellEnd"/>
            <w:r>
              <w:rPr>
                <w:rFonts w:ascii="SimSun" w:eastAsia="SimSun" w:hAnsi="SimSun" w:cs="Calibri" w:hint="eastAsia"/>
                <w:i/>
                <w:iCs/>
                <w:sz w:val="24"/>
                <w:szCs w:val="24"/>
                <w:lang w:val="fr-CH" w:eastAsia="zh-CN"/>
              </w:rPr>
              <w:t>）及其通过的</w:t>
            </w:r>
            <w:proofErr w:type="spellStart"/>
            <w:r>
              <w:rPr>
                <w:rFonts w:ascii="SimSun" w:eastAsia="SimSun" w:hAnsi="SimSun" w:cs="Calibri" w:hint="eastAsia"/>
                <w:i/>
                <w:iCs/>
                <w:sz w:val="24"/>
                <w:szCs w:val="24"/>
                <w:lang w:val="fr-CH" w:eastAsia="zh-CN"/>
              </w:rPr>
              <w:t>C18</w:t>
            </w:r>
            <w:proofErr w:type="spellEnd"/>
            <w:r>
              <w:rPr>
                <w:rFonts w:ascii="SimSun" w:eastAsia="SimSun" w:hAnsi="SimSun" w:cs="Calibri" w:hint="eastAsia"/>
                <w:i/>
                <w:iCs/>
                <w:sz w:val="24"/>
                <w:szCs w:val="24"/>
                <w:lang w:val="fr-CH" w:eastAsia="zh-CN"/>
              </w:rPr>
              <w:t>/116文件；</w:t>
            </w:r>
          </w:p>
          <w:p w14:paraId="793BAA04" w14:textId="77777777" w:rsidR="00146A96" w:rsidRDefault="00CA702F">
            <w:pPr>
              <w:pStyle w:val="Subtitle"/>
              <w:framePr w:hSpace="0" w:wrap="auto" w:hAnchor="text" w:xAlign="left" w:yAlign="inline"/>
              <w:snapToGrid w:val="0"/>
              <w:spacing w:before="0" w:after="0"/>
              <w:rPr>
                <w:rFonts w:ascii="SimSun" w:eastAsia="SimSun" w:hAnsi="SimSun" w:cs="Calibri"/>
                <w:i/>
                <w:iCs/>
                <w:sz w:val="24"/>
                <w:szCs w:val="24"/>
                <w:lang w:val="en-US" w:eastAsia="zh-CN"/>
              </w:rPr>
            </w:pPr>
            <w:r>
              <w:rPr>
                <w:rFonts w:ascii="SimSun" w:eastAsia="SimSun" w:hAnsi="SimSun" w:cs="Calibri" w:hint="eastAsia"/>
                <w:i/>
                <w:iCs/>
                <w:sz w:val="24"/>
                <w:szCs w:val="24"/>
                <w:lang w:val="en-US" w:eastAsia="zh-CN"/>
              </w:rPr>
              <w:t>理事会文件：</w:t>
            </w:r>
            <w:proofErr w:type="spellStart"/>
            <w:r>
              <w:rPr>
                <w:rFonts w:ascii="SimSun" w:eastAsia="SimSun" w:hAnsi="SimSun" w:cs="Calibri" w:hint="eastAsia"/>
                <w:i/>
                <w:iCs/>
                <w:sz w:val="24"/>
                <w:szCs w:val="24"/>
                <w:lang w:val="en-US" w:eastAsia="zh-CN"/>
              </w:rPr>
              <w:t>C24</w:t>
            </w:r>
            <w:proofErr w:type="spellEnd"/>
            <w:r>
              <w:rPr>
                <w:rFonts w:ascii="SimSun" w:eastAsia="SimSun" w:hAnsi="SimSun" w:cs="Calibri" w:hint="eastAsia"/>
                <w:i/>
                <w:iCs/>
                <w:sz w:val="24"/>
                <w:szCs w:val="24"/>
                <w:lang w:val="en-US" w:eastAsia="zh-CN"/>
              </w:rPr>
              <w:t>/109（</w:t>
            </w:r>
            <w:proofErr w:type="spellStart"/>
            <w:r>
              <w:rPr>
                <w:rFonts w:ascii="SimSun" w:eastAsia="SimSun" w:hAnsi="SimSun" w:cs="Calibri" w:hint="eastAsia"/>
                <w:i/>
                <w:iCs/>
                <w:sz w:val="24"/>
                <w:szCs w:val="24"/>
                <w:lang w:val="en-US" w:eastAsia="zh-CN"/>
              </w:rPr>
              <w:t>Rev.1</w:t>
            </w:r>
            <w:proofErr w:type="spellEnd"/>
            <w:r>
              <w:rPr>
                <w:rFonts w:ascii="SimSun" w:eastAsia="SimSun" w:hAnsi="SimSun" w:cs="Calibri" w:hint="eastAsia"/>
                <w:i/>
                <w:iCs/>
                <w:sz w:val="24"/>
                <w:szCs w:val="24"/>
                <w:lang w:val="en-US" w:eastAsia="zh-CN"/>
              </w:rPr>
              <w:t>），</w:t>
            </w:r>
            <w:proofErr w:type="spellStart"/>
            <w:r>
              <w:rPr>
                <w:rFonts w:ascii="SimSun" w:eastAsia="SimSun" w:hAnsi="SimSun" w:cs="Calibri" w:hint="eastAsia"/>
                <w:i/>
                <w:iCs/>
                <w:sz w:val="24"/>
                <w:szCs w:val="24"/>
                <w:lang w:val="en-US" w:eastAsia="zh-CN"/>
              </w:rPr>
              <w:t>C24</w:t>
            </w:r>
            <w:proofErr w:type="spellEnd"/>
            <w:r>
              <w:rPr>
                <w:rFonts w:ascii="SimSun" w:eastAsia="SimSun" w:hAnsi="SimSun" w:cs="Calibri" w:hint="eastAsia"/>
                <w:i/>
                <w:iCs/>
                <w:sz w:val="24"/>
                <w:szCs w:val="24"/>
                <w:lang w:val="en-US" w:eastAsia="zh-CN"/>
              </w:rPr>
              <w:t>/120，</w:t>
            </w:r>
            <w:proofErr w:type="spellStart"/>
            <w:r>
              <w:rPr>
                <w:rFonts w:ascii="SimSun" w:eastAsia="SimSun" w:hAnsi="SimSun" w:cs="Calibri" w:hint="eastAsia"/>
                <w:i/>
                <w:iCs/>
                <w:sz w:val="24"/>
                <w:szCs w:val="24"/>
                <w:lang w:val="en-US" w:eastAsia="zh-CN"/>
              </w:rPr>
              <w:t>C22</w:t>
            </w:r>
            <w:proofErr w:type="spellEnd"/>
            <w:r>
              <w:rPr>
                <w:rFonts w:ascii="SimSun" w:eastAsia="SimSun" w:hAnsi="SimSun" w:cs="Calibri" w:hint="eastAsia"/>
                <w:i/>
                <w:iCs/>
                <w:sz w:val="24"/>
                <w:szCs w:val="24"/>
                <w:lang w:val="en-US" w:eastAsia="zh-CN"/>
              </w:rPr>
              <w:t>/57；</w:t>
            </w:r>
          </w:p>
          <w:p w14:paraId="00F6560A" w14:textId="77777777" w:rsidR="00146A96" w:rsidRDefault="00CA702F">
            <w:pPr>
              <w:pStyle w:val="Subtitle"/>
              <w:framePr w:hSpace="0" w:wrap="auto" w:hAnchor="text" w:xAlign="left" w:yAlign="inline"/>
              <w:snapToGrid w:val="0"/>
              <w:spacing w:before="0" w:after="0"/>
              <w:rPr>
                <w:rFonts w:ascii="SimSun" w:eastAsia="SimSun" w:hAnsi="SimSun" w:cs="Calibri"/>
                <w:i/>
                <w:iCs/>
                <w:sz w:val="24"/>
                <w:szCs w:val="24"/>
                <w:lang w:val="en-US" w:eastAsia="zh-CN"/>
              </w:rPr>
            </w:pPr>
            <w:r>
              <w:rPr>
                <w:rFonts w:ascii="SimSun" w:eastAsia="SimSun" w:hAnsi="SimSun" w:cs="Calibri" w:hint="eastAsia"/>
                <w:i/>
                <w:iCs/>
                <w:sz w:val="24"/>
                <w:szCs w:val="24"/>
                <w:lang w:val="fr-CH" w:eastAsia="zh-CN"/>
              </w:rPr>
              <w:t>人事规则和人事细则（</w:t>
            </w:r>
            <w:r>
              <w:rPr>
                <w:rFonts w:ascii="SimSun" w:eastAsia="SimSun" w:hAnsi="SimSun" w:cs="Calibri" w:hint="eastAsia"/>
                <w:i/>
                <w:iCs/>
                <w:sz w:val="24"/>
                <w:szCs w:val="24"/>
                <w:lang w:val="en-US" w:eastAsia="zh-CN"/>
              </w:rPr>
              <w:t>2024年），</w:t>
            </w:r>
            <w:r>
              <w:rPr>
                <w:rFonts w:ascii="SimSun" w:eastAsia="SimSun" w:hAnsi="SimSun" w:cs="Calibri" w:hint="eastAsia"/>
                <w:i/>
                <w:iCs/>
                <w:sz w:val="24"/>
                <w:szCs w:val="24"/>
                <w:lang w:val="fr-CH" w:eastAsia="zh-CN"/>
              </w:rPr>
              <w:t>适用于选任官员的《人事规则和人事规则》；</w:t>
            </w:r>
          </w:p>
          <w:p w14:paraId="054F7768" w14:textId="77777777" w:rsidR="00146A96" w:rsidRDefault="00CA702F">
            <w:pPr>
              <w:pStyle w:val="Subtitle"/>
              <w:framePr w:hSpace="0" w:wrap="auto" w:hAnchor="text" w:xAlign="left" w:yAlign="inline"/>
              <w:snapToGrid w:val="0"/>
              <w:spacing w:before="0" w:after="0"/>
              <w:rPr>
                <w:rFonts w:ascii="SimSun" w:eastAsia="SimSun" w:hAnsi="SimSun" w:cs="Calibri"/>
                <w:i/>
                <w:iCs/>
                <w:sz w:val="24"/>
                <w:szCs w:val="24"/>
                <w:lang w:val="fr-CH" w:eastAsia="zh-CN"/>
              </w:rPr>
            </w:pPr>
            <w:r>
              <w:rPr>
                <w:rFonts w:ascii="SimSun" w:eastAsia="SimSun" w:hAnsi="SimSun" w:cs="Calibri" w:hint="eastAsia"/>
                <w:i/>
                <w:iCs/>
                <w:sz w:val="24"/>
                <w:szCs w:val="24"/>
                <w:lang w:val="fr-CH" w:eastAsia="zh-CN"/>
              </w:rPr>
              <w:t>内部监督：国际电联内部监督章程（</w:t>
            </w:r>
            <w:proofErr w:type="spellStart"/>
            <w:r>
              <w:rPr>
                <w:rFonts w:ascii="SimSun" w:eastAsia="SimSun" w:hAnsi="SimSun" w:cs="Calibri" w:hint="eastAsia"/>
                <w:i/>
                <w:iCs/>
                <w:sz w:val="24"/>
                <w:szCs w:val="24"/>
                <w:lang w:val="fr-CH" w:eastAsia="zh-CN"/>
              </w:rPr>
              <w:t>S.O.24</w:t>
            </w:r>
            <w:proofErr w:type="spellEnd"/>
            <w:r>
              <w:rPr>
                <w:rFonts w:ascii="SimSun" w:eastAsia="SimSun" w:hAnsi="SimSun" w:cs="Calibri" w:hint="eastAsia"/>
                <w:i/>
                <w:iCs/>
                <w:sz w:val="24"/>
                <w:szCs w:val="24"/>
                <w:lang w:val="fr-CH" w:eastAsia="zh-CN"/>
              </w:rPr>
              <w:t>/09）；</w:t>
            </w:r>
          </w:p>
          <w:p w14:paraId="54A485FB" w14:textId="77777777" w:rsidR="00146A96" w:rsidRDefault="00CA702F">
            <w:pPr>
              <w:pStyle w:val="Subtitle"/>
              <w:framePr w:hSpace="0" w:wrap="auto" w:hAnchor="text" w:xAlign="left" w:yAlign="inline"/>
              <w:snapToGrid w:val="0"/>
              <w:spacing w:before="0" w:after="0"/>
              <w:rPr>
                <w:rFonts w:ascii="SimSun" w:eastAsia="SimSun" w:hAnsi="SimSun" w:cs="Calibri"/>
                <w:i/>
                <w:iCs/>
                <w:sz w:val="24"/>
                <w:szCs w:val="24"/>
                <w:lang w:val="fr-CH" w:eastAsia="zh-CN"/>
              </w:rPr>
            </w:pPr>
            <w:r>
              <w:rPr>
                <w:rFonts w:ascii="SimSun" w:eastAsia="SimSun" w:hAnsi="SimSun" w:cs="Calibri" w:hint="eastAsia"/>
                <w:i/>
                <w:iCs/>
                <w:sz w:val="24"/>
                <w:szCs w:val="24"/>
                <w:lang w:val="fr-CH" w:eastAsia="zh-CN"/>
              </w:rPr>
              <w:t>职业道德：国际公务员准则（</w:t>
            </w:r>
            <w:proofErr w:type="spellStart"/>
            <w:r>
              <w:rPr>
                <w:rFonts w:ascii="SimSun" w:eastAsia="SimSun" w:hAnsi="SimSun" w:cs="Calibri" w:hint="eastAsia"/>
                <w:i/>
                <w:iCs/>
                <w:sz w:val="24"/>
                <w:szCs w:val="24"/>
                <w:lang w:val="fr-CH" w:eastAsia="zh-CN"/>
              </w:rPr>
              <w:t>S.O.17</w:t>
            </w:r>
            <w:proofErr w:type="spellEnd"/>
            <w:r>
              <w:rPr>
                <w:rFonts w:ascii="SimSun" w:eastAsia="SimSun" w:hAnsi="SimSun" w:cs="Calibri" w:hint="eastAsia"/>
                <w:i/>
                <w:iCs/>
                <w:sz w:val="24"/>
                <w:szCs w:val="24"/>
                <w:lang w:val="fr-CH" w:eastAsia="zh-CN"/>
              </w:rPr>
              <w:t>/07）、国际电联职员道德准则（</w:t>
            </w:r>
            <w:proofErr w:type="spellStart"/>
            <w:r>
              <w:rPr>
                <w:rFonts w:ascii="SimSun" w:eastAsia="SimSun" w:hAnsi="SimSun" w:cs="Calibri" w:hint="eastAsia"/>
                <w:i/>
                <w:iCs/>
                <w:sz w:val="24"/>
                <w:szCs w:val="24"/>
                <w:lang w:val="fr-CH" w:eastAsia="zh-CN"/>
              </w:rPr>
              <w:t>S.O.11</w:t>
            </w:r>
            <w:proofErr w:type="spellEnd"/>
            <w:r>
              <w:rPr>
                <w:rFonts w:ascii="SimSun" w:eastAsia="SimSun" w:hAnsi="SimSun" w:cs="Calibri" w:hint="eastAsia"/>
                <w:i/>
                <w:iCs/>
                <w:sz w:val="24"/>
                <w:szCs w:val="24"/>
                <w:lang w:val="fr-CH" w:eastAsia="zh-CN"/>
              </w:rPr>
              <w:t>/02）；</w:t>
            </w:r>
          </w:p>
          <w:p w14:paraId="46B4D22C" w14:textId="77777777" w:rsidR="00146A96" w:rsidRDefault="00CA702F">
            <w:pPr>
              <w:pStyle w:val="Subtitle"/>
              <w:framePr w:hSpace="0" w:wrap="auto" w:hAnchor="text" w:xAlign="left" w:yAlign="inline"/>
              <w:snapToGrid w:val="0"/>
              <w:spacing w:before="0" w:after="0"/>
              <w:rPr>
                <w:rFonts w:ascii="SimSun" w:eastAsia="SimSun" w:hAnsi="SimSun" w:cs="Calibri"/>
                <w:i/>
                <w:iCs/>
                <w:sz w:val="24"/>
                <w:szCs w:val="24"/>
                <w:lang w:val="fr-CH" w:eastAsia="zh-CN"/>
              </w:rPr>
            </w:pPr>
            <w:r>
              <w:rPr>
                <w:rFonts w:ascii="SimSun" w:eastAsia="SimSun" w:hAnsi="SimSun" w:cs="Calibri" w:hint="eastAsia"/>
                <w:i/>
                <w:iCs/>
                <w:sz w:val="24"/>
                <w:szCs w:val="24"/>
                <w:lang w:val="fr-CH" w:eastAsia="zh-CN"/>
              </w:rPr>
              <w:t>欺诈贪污：国际电联反欺诈、贪污和其他不当行为的政策（</w:t>
            </w:r>
            <w:proofErr w:type="spellStart"/>
            <w:r>
              <w:rPr>
                <w:rFonts w:ascii="SimSun" w:eastAsia="SimSun" w:hAnsi="SimSun" w:cs="Calibri" w:hint="eastAsia"/>
                <w:i/>
                <w:iCs/>
                <w:sz w:val="24"/>
                <w:szCs w:val="24"/>
                <w:lang w:val="fr-CH" w:eastAsia="zh-CN"/>
              </w:rPr>
              <w:t>S.O.19</w:t>
            </w:r>
            <w:proofErr w:type="spellEnd"/>
            <w:r>
              <w:rPr>
                <w:rFonts w:ascii="SimSun" w:eastAsia="SimSun" w:hAnsi="SimSun" w:cs="Calibri" w:hint="eastAsia"/>
                <w:i/>
                <w:iCs/>
                <w:sz w:val="24"/>
                <w:szCs w:val="24"/>
                <w:lang w:val="fr-CH" w:eastAsia="zh-CN"/>
              </w:rPr>
              <w:t>/09）；</w:t>
            </w:r>
          </w:p>
          <w:p w14:paraId="21EFB05D" w14:textId="77777777" w:rsidR="00146A96" w:rsidRDefault="00CA702F">
            <w:pPr>
              <w:pStyle w:val="Subtitle"/>
              <w:framePr w:hSpace="0" w:wrap="auto" w:hAnchor="text" w:xAlign="left" w:yAlign="inline"/>
              <w:snapToGrid w:val="0"/>
              <w:spacing w:before="0" w:after="0"/>
              <w:rPr>
                <w:rFonts w:ascii="SimSun" w:eastAsia="SimSun" w:hAnsi="SimSun" w:cs="Calibri"/>
                <w:i/>
                <w:iCs/>
                <w:sz w:val="24"/>
                <w:szCs w:val="24"/>
                <w:lang w:val="fr-CH" w:eastAsia="zh-CN"/>
              </w:rPr>
            </w:pPr>
            <w:r>
              <w:rPr>
                <w:rFonts w:ascii="SimSun" w:eastAsia="SimSun" w:hAnsi="SimSun" w:cs="Calibri" w:hint="eastAsia"/>
                <w:i/>
                <w:iCs/>
                <w:sz w:val="24"/>
                <w:szCs w:val="24"/>
                <w:lang w:val="fr-CH" w:eastAsia="zh-CN"/>
              </w:rPr>
              <w:t>骚扰和职权滥用：国际电联应对骚扰，包括性骚扰、滥用职权和歧视的政策（</w:t>
            </w:r>
            <w:proofErr w:type="spellStart"/>
            <w:r>
              <w:rPr>
                <w:rFonts w:ascii="SimSun" w:eastAsia="SimSun" w:hAnsi="SimSun" w:cs="Calibri" w:hint="eastAsia"/>
                <w:i/>
                <w:iCs/>
                <w:sz w:val="24"/>
                <w:szCs w:val="24"/>
                <w:lang w:val="fr-CH" w:eastAsia="zh-CN"/>
              </w:rPr>
              <w:t>S.O.22</w:t>
            </w:r>
            <w:proofErr w:type="spellEnd"/>
            <w:r>
              <w:rPr>
                <w:rFonts w:ascii="SimSun" w:eastAsia="SimSun" w:hAnsi="SimSun" w:cs="Calibri" w:hint="eastAsia"/>
                <w:i/>
                <w:iCs/>
                <w:sz w:val="24"/>
                <w:szCs w:val="24"/>
                <w:lang w:val="fr-CH" w:eastAsia="zh-CN"/>
              </w:rPr>
              <w:t>/03）；</w:t>
            </w:r>
          </w:p>
          <w:p w14:paraId="034D931D" w14:textId="77777777" w:rsidR="00146A96" w:rsidRDefault="00CA702F">
            <w:pPr>
              <w:pStyle w:val="Subtitle"/>
              <w:framePr w:hSpace="0" w:wrap="auto" w:hAnchor="text" w:xAlign="left" w:yAlign="inline"/>
              <w:snapToGrid w:val="0"/>
              <w:spacing w:before="0" w:after="0"/>
              <w:rPr>
                <w:rFonts w:ascii="SimSun" w:eastAsia="SimSun" w:hAnsi="SimSun" w:cs="Calibri"/>
                <w:i/>
                <w:iCs/>
                <w:sz w:val="24"/>
                <w:szCs w:val="24"/>
                <w:lang w:val="fr-CH" w:eastAsia="zh-CN"/>
              </w:rPr>
            </w:pPr>
            <w:r>
              <w:rPr>
                <w:rFonts w:ascii="SimSun" w:eastAsia="SimSun" w:hAnsi="SimSun" w:cs="Calibri" w:hint="eastAsia"/>
                <w:i/>
                <w:iCs/>
                <w:sz w:val="24"/>
                <w:szCs w:val="24"/>
                <w:lang w:val="fr-CH" w:eastAsia="zh-CN"/>
              </w:rPr>
              <w:t>举报处置：“吹哨人”保护政策（</w:t>
            </w:r>
            <w:proofErr w:type="spellStart"/>
            <w:r>
              <w:rPr>
                <w:rFonts w:ascii="SimSun" w:eastAsia="SimSun" w:hAnsi="SimSun" w:cs="Calibri" w:hint="eastAsia"/>
                <w:i/>
                <w:iCs/>
                <w:sz w:val="24"/>
                <w:szCs w:val="24"/>
                <w:lang w:val="fr-CH" w:eastAsia="zh-CN"/>
              </w:rPr>
              <w:t>S.O.20</w:t>
            </w:r>
            <w:proofErr w:type="spellEnd"/>
            <w:r>
              <w:rPr>
                <w:rFonts w:ascii="SimSun" w:eastAsia="SimSun" w:hAnsi="SimSun" w:cs="Calibri" w:hint="eastAsia"/>
                <w:i/>
                <w:iCs/>
                <w:sz w:val="24"/>
                <w:szCs w:val="24"/>
                <w:lang w:val="fr-CH" w:eastAsia="zh-CN"/>
              </w:rPr>
              <w:t>/06）；</w:t>
            </w:r>
          </w:p>
          <w:p w14:paraId="52118345" w14:textId="77777777" w:rsidR="00146A96" w:rsidRDefault="00CA702F">
            <w:pPr>
              <w:pStyle w:val="Subtitle"/>
              <w:framePr w:hSpace="0" w:wrap="auto" w:hAnchor="text" w:xAlign="left" w:yAlign="inline"/>
              <w:snapToGrid w:val="0"/>
              <w:spacing w:before="0" w:after="0"/>
              <w:rPr>
                <w:rFonts w:ascii="SimSun" w:eastAsia="SimSun" w:hAnsi="SimSun" w:cs="Calibri"/>
                <w:i/>
                <w:iCs/>
                <w:sz w:val="24"/>
                <w:szCs w:val="24"/>
                <w:lang w:val="fr-CH" w:eastAsia="zh-CN"/>
              </w:rPr>
            </w:pPr>
            <w:r>
              <w:rPr>
                <w:rFonts w:ascii="SimSun" w:eastAsia="SimSun" w:hAnsi="SimSun" w:cs="Calibri" w:hint="eastAsia"/>
                <w:i/>
                <w:iCs/>
                <w:sz w:val="24"/>
                <w:szCs w:val="24"/>
                <w:lang w:val="fr-CH" w:eastAsia="zh-CN"/>
              </w:rPr>
              <w:t>利益冲突：国际电联利益申报政策（</w:t>
            </w:r>
            <w:proofErr w:type="spellStart"/>
            <w:r>
              <w:rPr>
                <w:rFonts w:ascii="SimSun" w:eastAsia="SimSun" w:hAnsi="SimSun" w:cs="Calibri" w:hint="eastAsia"/>
                <w:i/>
                <w:iCs/>
                <w:sz w:val="24"/>
                <w:szCs w:val="24"/>
                <w:lang w:val="fr-CH" w:eastAsia="zh-CN"/>
              </w:rPr>
              <w:t>S.O.22</w:t>
            </w:r>
            <w:proofErr w:type="spellEnd"/>
            <w:r>
              <w:rPr>
                <w:rFonts w:ascii="SimSun" w:eastAsia="SimSun" w:hAnsi="SimSun" w:cs="Calibri" w:hint="eastAsia"/>
                <w:i/>
                <w:iCs/>
                <w:sz w:val="24"/>
                <w:szCs w:val="24"/>
                <w:lang w:val="fr-CH" w:eastAsia="zh-CN"/>
              </w:rPr>
              <w:t>/02）、国际电联财务披露政策（</w:t>
            </w:r>
            <w:proofErr w:type="spellStart"/>
            <w:r>
              <w:rPr>
                <w:rFonts w:ascii="SimSun" w:eastAsia="SimSun" w:hAnsi="SimSun" w:cs="Calibri" w:hint="eastAsia"/>
                <w:i/>
                <w:iCs/>
                <w:sz w:val="24"/>
                <w:szCs w:val="24"/>
                <w:lang w:val="fr-CH" w:eastAsia="zh-CN"/>
              </w:rPr>
              <w:t>S.O.11</w:t>
            </w:r>
            <w:proofErr w:type="spellEnd"/>
            <w:r>
              <w:rPr>
                <w:rFonts w:ascii="SimSun" w:eastAsia="SimSun" w:hAnsi="SimSun" w:cs="Calibri" w:hint="eastAsia"/>
                <w:i/>
                <w:iCs/>
                <w:sz w:val="24"/>
                <w:szCs w:val="24"/>
                <w:lang w:val="fr-CH" w:eastAsia="zh-CN"/>
              </w:rPr>
              <w:t>/03）；</w:t>
            </w:r>
          </w:p>
          <w:p w14:paraId="04E5CFB4" w14:textId="77777777" w:rsidR="00146A96" w:rsidRDefault="00CA702F">
            <w:pPr>
              <w:pStyle w:val="Subtitle"/>
              <w:framePr w:hSpace="0" w:wrap="auto" w:hAnchor="text" w:xAlign="left" w:yAlign="inline"/>
              <w:snapToGrid w:val="0"/>
              <w:spacing w:before="0" w:after="0"/>
              <w:rPr>
                <w:rFonts w:ascii="SimSun" w:eastAsia="SimSun" w:hAnsi="SimSun" w:cs="Calibri"/>
                <w:i/>
                <w:iCs/>
                <w:sz w:val="24"/>
                <w:szCs w:val="24"/>
                <w:lang w:val="fr-CH" w:eastAsia="zh-CN"/>
              </w:rPr>
            </w:pPr>
            <w:r>
              <w:rPr>
                <w:rFonts w:ascii="SimSun" w:eastAsia="SimSun" w:hAnsi="SimSun" w:cs="Calibri" w:hint="eastAsia"/>
                <w:i/>
                <w:iCs/>
                <w:sz w:val="24"/>
                <w:szCs w:val="24"/>
                <w:lang w:val="fr-CH" w:eastAsia="zh-CN"/>
              </w:rPr>
              <w:t>调查导则：国际电联调查导则（</w:t>
            </w:r>
            <w:proofErr w:type="spellStart"/>
            <w:r>
              <w:rPr>
                <w:rFonts w:ascii="SimSun" w:eastAsia="SimSun" w:hAnsi="SimSun" w:cs="Calibri" w:hint="eastAsia"/>
                <w:i/>
                <w:iCs/>
                <w:sz w:val="24"/>
                <w:szCs w:val="24"/>
                <w:lang w:val="fr-CH" w:eastAsia="zh-CN"/>
              </w:rPr>
              <w:t>S.O.19</w:t>
            </w:r>
            <w:proofErr w:type="spellEnd"/>
            <w:r>
              <w:rPr>
                <w:rFonts w:ascii="SimSun" w:eastAsia="SimSun" w:hAnsi="SimSun" w:cs="Calibri" w:hint="eastAsia"/>
                <w:i/>
                <w:iCs/>
                <w:sz w:val="24"/>
                <w:szCs w:val="24"/>
                <w:lang w:val="fr-CH" w:eastAsia="zh-CN"/>
              </w:rPr>
              <w:t>/10）；</w:t>
            </w:r>
          </w:p>
          <w:p w14:paraId="7F5DEA81" w14:textId="77777777" w:rsidR="00146A96" w:rsidRDefault="00CA702F">
            <w:pPr>
              <w:pStyle w:val="Subtitle"/>
              <w:framePr w:hSpace="0" w:wrap="auto" w:hAnchor="text" w:xAlign="left" w:yAlign="inline"/>
              <w:snapToGrid w:val="0"/>
              <w:spacing w:before="0" w:after="0"/>
            </w:pPr>
            <w:r>
              <w:rPr>
                <w:rFonts w:ascii="SimSun" w:eastAsia="SimSun" w:hAnsi="SimSun" w:cs="Calibri" w:hint="eastAsia"/>
                <w:i/>
                <w:iCs/>
                <w:sz w:val="24"/>
                <w:szCs w:val="24"/>
                <w:lang w:val="fr-CH" w:eastAsia="zh-CN"/>
              </w:rPr>
              <w:t>JIU报告：JIU/REP/2020/1，JIU/REP/2023/2。</w:t>
            </w:r>
          </w:p>
        </w:tc>
      </w:tr>
      <w:bookmarkEnd w:id="2"/>
      <w:bookmarkEnd w:id="6"/>
    </w:tbl>
    <w:p w14:paraId="2C80F4A7" w14:textId="77777777" w:rsidR="00146A96" w:rsidRDefault="00146A96">
      <w:pPr>
        <w:tabs>
          <w:tab w:val="clear" w:pos="794"/>
          <w:tab w:val="clear" w:pos="1191"/>
          <w:tab w:val="clear" w:pos="1588"/>
          <w:tab w:val="clear" w:pos="1985"/>
        </w:tabs>
        <w:overflowPunct/>
        <w:autoSpaceDE/>
        <w:autoSpaceDN/>
        <w:adjustRightInd/>
        <w:spacing w:before="0"/>
        <w:textAlignment w:val="auto"/>
      </w:pPr>
    </w:p>
    <w:p w14:paraId="6A3687BA" w14:textId="77777777" w:rsidR="00146A96" w:rsidRDefault="00CA702F">
      <w:pPr>
        <w:tabs>
          <w:tab w:val="clear" w:pos="794"/>
          <w:tab w:val="clear" w:pos="1191"/>
          <w:tab w:val="clear" w:pos="1588"/>
          <w:tab w:val="clear" w:pos="1985"/>
        </w:tabs>
        <w:overflowPunct/>
        <w:autoSpaceDE/>
        <w:autoSpaceDN/>
        <w:adjustRightInd/>
        <w:spacing w:before="0"/>
        <w:textAlignment w:val="auto"/>
      </w:pPr>
      <w:r>
        <w:br w:type="page"/>
      </w:r>
    </w:p>
    <w:p w14:paraId="4901DB56" w14:textId="67ACBBC8" w:rsidR="00146A96" w:rsidRDefault="00CA702F" w:rsidP="00CA702F">
      <w:pPr>
        <w:snapToGrid w:val="0"/>
        <w:ind w:firstLine="482"/>
        <w:rPr>
          <w:b/>
          <w:bCs/>
          <w:lang w:val="en-US" w:eastAsia="zh-CN"/>
        </w:rPr>
      </w:pPr>
      <w:r>
        <w:rPr>
          <w:b/>
          <w:bCs/>
          <w:lang w:val="en-US" w:eastAsia="zh-CN"/>
        </w:rPr>
        <w:lastRenderedPageBreak/>
        <w:t xml:space="preserve">1. </w:t>
      </w:r>
      <w:r>
        <w:rPr>
          <w:rFonts w:hint="eastAsia"/>
          <w:b/>
          <w:bCs/>
          <w:lang w:val="en-US" w:eastAsia="zh-CN"/>
        </w:rPr>
        <w:t>背景</w:t>
      </w:r>
    </w:p>
    <w:p w14:paraId="67485A3E" w14:textId="77777777" w:rsidR="00146A96" w:rsidRDefault="00CA702F">
      <w:pPr>
        <w:snapToGrid w:val="0"/>
        <w:ind w:firstLineChars="200" w:firstLine="480"/>
        <w:jc w:val="both"/>
        <w:rPr>
          <w:lang w:val="en-US" w:eastAsia="zh-CN"/>
        </w:rPr>
      </w:pPr>
      <w:r>
        <w:rPr>
          <w:rFonts w:hint="eastAsia"/>
          <w:lang w:val="en-US" w:eastAsia="zh-CN"/>
        </w:rPr>
        <w:t>2023</w:t>
      </w:r>
      <w:r>
        <w:rPr>
          <w:rFonts w:hint="eastAsia"/>
          <w:lang w:val="en-US" w:eastAsia="zh-CN"/>
        </w:rPr>
        <w:t>年以来，理事会和理事会财务和人力资源工作组就国际电联内部</w:t>
      </w:r>
      <w:r>
        <w:rPr>
          <w:rFonts w:hint="eastAsia"/>
          <w:lang w:eastAsia="zh-CN"/>
        </w:rPr>
        <w:t>监督</w:t>
      </w:r>
      <w:r>
        <w:rPr>
          <w:rFonts w:hint="eastAsia"/>
          <w:lang w:val="en-US" w:eastAsia="zh-CN"/>
        </w:rPr>
        <w:t>制度等议题进行讨论。</w:t>
      </w:r>
      <w:r>
        <w:rPr>
          <w:rFonts w:hint="eastAsia"/>
          <w:lang w:val="en-US" w:eastAsia="zh-CN"/>
        </w:rPr>
        <w:t>2024</w:t>
      </w:r>
      <w:r>
        <w:rPr>
          <w:rFonts w:hint="eastAsia"/>
          <w:lang w:val="en-US" w:eastAsia="zh-CN"/>
        </w:rPr>
        <w:t>年</w:t>
      </w:r>
      <w:r>
        <w:rPr>
          <w:rFonts w:hint="eastAsia"/>
          <w:lang w:val="en-US" w:eastAsia="zh-CN"/>
        </w:rPr>
        <w:t>6</w:t>
      </w:r>
      <w:r>
        <w:rPr>
          <w:rFonts w:hint="eastAsia"/>
          <w:lang w:val="en-US" w:eastAsia="zh-CN"/>
        </w:rPr>
        <w:t>月，理事会批准了《国际电联内部监督章程》，将总秘书处已有的内审和调查职能整合到新建的监督处，同时，道德规范办公室作为一个独立的单位在其职责范围内保持密切协作（</w:t>
      </w:r>
      <w:proofErr w:type="spellStart"/>
      <w:r>
        <w:rPr>
          <w:rFonts w:hint="eastAsia"/>
          <w:lang w:val="en-US" w:eastAsia="zh-CN"/>
        </w:rPr>
        <w:t>C24</w:t>
      </w:r>
      <w:proofErr w:type="spellEnd"/>
      <w:r>
        <w:rPr>
          <w:rFonts w:hint="eastAsia"/>
          <w:lang w:val="en-US" w:eastAsia="zh-CN"/>
        </w:rPr>
        <w:t>/120</w:t>
      </w:r>
      <w:r>
        <w:rPr>
          <w:rFonts w:hint="eastAsia"/>
          <w:lang w:val="en-US" w:eastAsia="zh-CN"/>
        </w:rPr>
        <w:t>）。《财务规则和财务细则》第二十九条和内部行政指令（</w:t>
      </w:r>
      <w:r>
        <w:rPr>
          <w:rFonts w:hint="eastAsia"/>
          <w:lang w:val="en-US" w:eastAsia="zh-CN"/>
        </w:rPr>
        <w:t>Service Order No. 24/09</w:t>
      </w:r>
      <w:r>
        <w:rPr>
          <w:rFonts w:hint="eastAsia"/>
          <w:lang w:val="en-US" w:eastAsia="zh-CN"/>
        </w:rPr>
        <w:t>）进行相应更新。</w:t>
      </w:r>
    </w:p>
    <w:p w14:paraId="5DBADADB" w14:textId="77777777" w:rsidR="00146A96" w:rsidRDefault="00CA702F">
      <w:pPr>
        <w:snapToGrid w:val="0"/>
        <w:ind w:firstLineChars="200" w:firstLine="480"/>
        <w:jc w:val="both"/>
        <w:rPr>
          <w:lang w:val="en-US" w:eastAsia="zh-CN"/>
        </w:rPr>
      </w:pPr>
      <w:r>
        <w:rPr>
          <w:rFonts w:hint="eastAsia"/>
          <w:lang w:val="en-US" w:eastAsia="zh-CN"/>
        </w:rPr>
        <w:t>根据国际电联</w:t>
      </w:r>
      <w:r>
        <w:rPr>
          <w:rFonts w:hint="eastAsia"/>
          <w:lang w:val="en-US" w:eastAsia="zh-CN"/>
        </w:rPr>
        <w:t>2024</w:t>
      </w:r>
      <w:r>
        <w:rPr>
          <w:rFonts w:hint="eastAsia"/>
          <w:lang w:val="en-US" w:eastAsia="zh-CN"/>
        </w:rPr>
        <w:t>年理事会讨论记录（</w:t>
      </w:r>
      <w:r>
        <w:rPr>
          <w:rFonts w:hint="eastAsia"/>
          <w:lang w:val="en-US" w:eastAsia="zh-CN"/>
        </w:rPr>
        <w:t>Summary Record</w:t>
      </w:r>
      <w:r>
        <w:rPr>
          <w:rFonts w:hint="eastAsia"/>
          <w:lang w:val="en-US" w:eastAsia="zh-CN"/>
        </w:rPr>
        <w:t>），《国际电联内部监督章程》有待完善（</w:t>
      </w:r>
      <w:proofErr w:type="spellStart"/>
      <w:r>
        <w:rPr>
          <w:rFonts w:hint="eastAsia"/>
          <w:lang w:val="en-US" w:eastAsia="zh-CN"/>
        </w:rPr>
        <w:t>C24</w:t>
      </w:r>
      <w:proofErr w:type="spellEnd"/>
      <w:r>
        <w:rPr>
          <w:rFonts w:hint="eastAsia"/>
          <w:lang w:val="en-US" w:eastAsia="zh-CN"/>
        </w:rPr>
        <w:t>/109</w:t>
      </w:r>
      <w:r>
        <w:rPr>
          <w:rFonts w:hint="eastAsia"/>
          <w:lang w:val="en-US" w:eastAsia="zh-CN"/>
        </w:rPr>
        <w:t>（</w:t>
      </w:r>
      <w:proofErr w:type="spellStart"/>
      <w:r>
        <w:rPr>
          <w:rFonts w:hint="eastAsia"/>
          <w:lang w:val="en-US" w:eastAsia="zh-CN"/>
        </w:rPr>
        <w:t>Rev.1</w:t>
      </w:r>
      <w:proofErr w:type="spellEnd"/>
      <w:r>
        <w:rPr>
          <w:rFonts w:hint="eastAsia"/>
          <w:lang w:val="en-US" w:eastAsia="zh-CN"/>
        </w:rPr>
        <w:t>）），特别是“独立性”部分第</w:t>
      </w:r>
      <w:r>
        <w:rPr>
          <w:rFonts w:hint="eastAsia"/>
          <w:lang w:val="en-US" w:eastAsia="zh-CN"/>
        </w:rPr>
        <w:t>25</w:t>
      </w:r>
      <w:r>
        <w:rPr>
          <w:rFonts w:hint="eastAsia"/>
          <w:lang w:val="en-US" w:eastAsia="zh-CN"/>
        </w:rPr>
        <w:t>至</w:t>
      </w:r>
      <w:r>
        <w:rPr>
          <w:rFonts w:hint="eastAsia"/>
          <w:lang w:val="en-US" w:eastAsia="zh-CN"/>
        </w:rPr>
        <w:t>27</w:t>
      </w:r>
      <w:r>
        <w:rPr>
          <w:rFonts w:hint="eastAsia"/>
          <w:lang w:val="en-US" w:eastAsia="zh-CN"/>
        </w:rPr>
        <w:t>段：</w:t>
      </w:r>
    </w:p>
    <w:p w14:paraId="646AF7B2" w14:textId="77777777" w:rsidR="00146A96" w:rsidRDefault="00CA702F">
      <w:pPr>
        <w:snapToGrid w:val="0"/>
        <w:ind w:firstLineChars="200" w:firstLine="480"/>
        <w:jc w:val="both"/>
        <w:rPr>
          <w:lang w:val="en-US" w:eastAsia="zh-CN"/>
        </w:rPr>
      </w:pPr>
      <w:r>
        <w:rPr>
          <w:rFonts w:hint="eastAsia"/>
          <w:lang w:val="en-US" w:eastAsia="zh-CN"/>
        </w:rPr>
        <w:t>“</w:t>
      </w:r>
      <w:r>
        <w:rPr>
          <w:rFonts w:hint="eastAsia"/>
          <w:lang w:val="en-US" w:eastAsia="zh-CN"/>
        </w:rPr>
        <w:t>25</w:t>
      </w:r>
      <w:r>
        <w:rPr>
          <w:rFonts w:hint="eastAsia"/>
          <w:lang w:val="en-US" w:eastAsia="zh-CN"/>
        </w:rPr>
        <w:tab/>
      </w:r>
      <w:r>
        <w:rPr>
          <w:rFonts w:hint="eastAsia"/>
          <w:lang w:val="en-US" w:eastAsia="zh-CN"/>
        </w:rPr>
        <w:t>为保持监督工作的独立性，从而使监督处工作人员能够客观地开展审计工作并做出公正判断，这些员工对其审计、调查或评价的任何活动均无管理权且无须对其负责，且其亦不得在国际电联履行任何其他职能。</w:t>
      </w:r>
    </w:p>
    <w:p w14:paraId="76AD5655" w14:textId="77777777" w:rsidR="00146A96" w:rsidRDefault="00CA702F">
      <w:pPr>
        <w:snapToGrid w:val="0"/>
        <w:ind w:firstLineChars="200" w:firstLine="480"/>
        <w:jc w:val="both"/>
        <w:rPr>
          <w:lang w:val="en-US" w:eastAsia="zh-CN"/>
        </w:rPr>
      </w:pPr>
      <w:r>
        <w:rPr>
          <w:rFonts w:hint="eastAsia"/>
          <w:lang w:val="en-US" w:eastAsia="zh-CN"/>
        </w:rPr>
        <w:t>“</w:t>
      </w:r>
      <w:r>
        <w:rPr>
          <w:rFonts w:hint="eastAsia"/>
          <w:lang w:val="en-US" w:eastAsia="zh-CN"/>
        </w:rPr>
        <w:t>26</w:t>
      </w:r>
      <w:r>
        <w:rPr>
          <w:rFonts w:hint="eastAsia"/>
          <w:lang w:val="en-US" w:eastAsia="zh-CN"/>
        </w:rPr>
        <w:tab/>
      </w:r>
      <w:r>
        <w:rPr>
          <w:rFonts w:hint="eastAsia"/>
          <w:lang w:val="en-US" w:eastAsia="zh-CN"/>
        </w:rPr>
        <w:t>监督处不得参与调查针对监督处处长或工作人员的不当行为指控。任何此类指控调查均须提交秘书长，秘书长则须征求</w:t>
      </w:r>
      <w:r>
        <w:rPr>
          <w:rFonts w:hint="eastAsia"/>
          <w:lang w:val="en-US" w:eastAsia="zh-CN"/>
        </w:rPr>
        <w:t>IMAC</w:t>
      </w:r>
      <w:r>
        <w:rPr>
          <w:rFonts w:hint="eastAsia"/>
          <w:lang w:val="en-US" w:eastAsia="zh-CN"/>
        </w:rPr>
        <w:t>的意见。</w:t>
      </w:r>
      <w:r>
        <w:rPr>
          <w:rFonts w:hint="eastAsia"/>
          <w:lang w:val="en-US" w:eastAsia="zh-CN"/>
        </w:rPr>
        <w:t>IMAC</w:t>
      </w:r>
      <w:r>
        <w:rPr>
          <w:rFonts w:hint="eastAsia"/>
          <w:lang w:val="en-US" w:eastAsia="zh-CN"/>
        </w:rPr>
        <w:t>须制定适当的详细移交程序，以便对指控进行独立的初步审查并酌情建立独立的调查机制。</w:t>
      </w:r>
    </w:p>
    <w:p w14:paraId="72D5DF94" w14:textId="77777777" w:rsidR="00146A96" w:rsidRDefault="00CA702F">
      <w:pPr>
        <w:snapToGrid w:val="0"/>
        <w:ind w:firstLineChars="200" w:firstLine="480"/>
        <w:jc w:val="both"/>
        <w:rPr>
          <w:lang w:val="en-US" w:eastAsia="zh-CN"/>
        </w:rPr>
      </w:pPr>
      <w:r>
        <w:rPr>
          <w:rFonts w:hint="eastAsia"/>
          <w:lang w:val="en-US" w:eastAsia="zh-CN"/>
        </w:rPr>
        <w:t>“</w:t>
      </w:r>
      <w:r>
        <w:rPr>
          <w:rFonts w:hint="eastAsia"/>
          <w:lang w:val="en-US" w:eastAsia="zh-CN"/>
        </w:rPr>
        <w:t>27</w:t>
      </w:r>
      <w:r>
        <w:rPr>
          <w:rFonts w:hint="eastAsia"/>
          <w:lang w:val="en-US" w:eastAsia="zh-CN"/>
        </w:rPr>
        <w:tab/>
      </w:r>
      <w:r>
        <w:rPr>
          <w:rFonts w:hint="eastAsia"/>
          <w:lang w:val="en-US" w:eastAsia="zh-CN"/>
        </w:rPr>
        <w:t>对秘书长和其他选任官员不当行为的指控不得由监督处进行调查。此类指控应报告理事会主席和</w:t>
      </w:r>
      <w:r>
        <w:rPr>
          <w:rFonts w:hint="eastAsia"/>
          <w:lang w:val="en-US" w:eastAsia="zh-CN"/>
        </w:rPr>
        <w:t>IMAC</w:t>
      </w:r>
      <w:r>
        <w:rPr>
          <w:rFonts w:hint="eastAsia"/>
          <w:lang w:val="en-US" w:eastAsia="zh-CN"/>
        </w:rPr>
        <w:t>主席。监督处将制定适当的详细移交程序，以便对指控进行独立的初步审查并酌情建立独立的调查机制。这些程序将基于联合国最佳做法，经</w:t>
      </w:r>
      <w:r>
        <w:rPr>
          <w:rFonts w:hint="eastAsia"/>
          <w:lang w:val="en-US" w:eastAsia="zh-CN"/>
        </w:rPr>
        <w:t>IMAC</w:t>
      </w:r>
      <w:r>
        <w:rPr>
          <w:rFonts w:hint="eastAsia"/>
          <w:lang w:val="en-US" w:eastAsia="zh-CN"/>
        </w:rPr>
        <w:t>审议，并提交国际电联理事会审议并采取行动。”</w:t>
      </w:r>
    </w:p>
    <w:p w14:paraId="11EF35C4" w14:textId="6C8C913D" w:rsidR="00146A96" w:rsidRDefault="00CA702F" w:rsidP="00CA702F">
      <w:pPr>
        <w:snapToGrid w:val="0"/>
        <w:ind w:firstLine="482"/>
        <w:rPr>
          <w:b/>
          <w:bCs/>
          <w:lang w:val="en-US" w:eastAsia="zh-CN"/>
        </w:rPr>
      </w:pPr>
      <w:r>
        <w:rPr>
          <w:b/>
          <w:bCs/>
          <w:lang w:val="en-US" w:eastAsia="zh-CN"/>
        </w:rPr>
        <w:t xml:space="preserve">2. </w:t>
      </w:r>
      <w:r>
        <w:rPr>
          <w:rFonts w:hint="eastAsia"/>
          <w:b/>
          <w:bCs/>
          <w:lang w:val="en-US" w:eastAsia="zh-CN"/>
        </w:rPr>
        <w:t>建议</w:t>
      </w:r>
    </w:p>
    <w:p w14:paraId="20EE6391" w14:textId="77777777" w:rsidR="00146A96" w:rsidRDefault="00CA702F">
      <w:pPr>
        <w:snapToGrid w:val="0"/>
        <w:ind w:firstLineChars="200" w:firstLine="480"/>
        <w:jc w:val="both"/>
        <w:rPr>
          <w:lang w:val="en-US" w:eastAsia="zh-CN"/>
        </w:rPr>
      </w:pPr>
      <w:r>
        <w:rPr>
          <w:rFonts w:hint="eastAsia"/>
          <w:lang w:val="en-US" w:eastAsia="zh-CN"/>
        </w:rPr>
        <w:t>（</w:t>
      </w:r>
      <w:r>
        <w:rPr>
          <w:rFonts w:hint="eastAsia"/>
          <w:lang w:val="en-US" w:eastAsia="zh-CN"/>
        </w:rPr>
        <w:t>1</w:t>
      </w:r>
      <w:r>
        <w:rPr>
          <w:rFonts w:hint="eastAsia"/>
          <w:lang w:val="en-US" w:eastAsia="zh-CN"/>
        </w:rPr>
        <w:t>）为落实理事会有关完善内部监督的决定，推进《国际电联内部监督章程》实施，</w:t>
      </w:r>
      <w:r>
        <w:rPr>
          <w:rFonts w:ascii="SimSun" w:hAnsi="SimSun" w:cs="SimSun" w:hint="eastAsia"/>
          <w:color w:val="000000"/>
          <w:szCs w:val="24"/>
          <w:lang w:val="en-US" w:eastAsia="zh-CN" w:bidi="ar"/>
        </w:rPr>
        <w:t>IMAC和监督处应当分别制定下列制度两项草案：</w:t>
      </w:r>
    </w:p>
    <w:p w14:paraId="746E7076" w14:textId="77777777" w:rsidR="00146A96" w:rsidRDefault="00CA702F">
      <w:pPr>
        <w:snapToGrid w:val="0"/>
        <w:ind w:firstLineChars="200" w:firstLine="480"/>
        <w:jc w:val="both"/>
        <w:rPr>
          <w:lang w:val="en-US" w:eastAsia="zh-CN"/>
        </w:rPr>
      </w:pPr>
      <w:r>
        <w:rPr>
          <w:rFonts w:hint="eastAsia"/>
          <w:lang w:val="en-US" w:eastAsia="zh-CN"/>
        </w:rPr>
        <w:t>—由</w:t>
      </w:r>
      <w:r>
        <w:rPr>
          <w:rFonts w:hint="eastAsia"/>
          <w:lang w:val="en-US" w:eastAsia="zh-CN"/>
        </w:rPr>
        <w:t>IMAC</w:t>
      </w:r>
      <w:r>
        <w:rPr>
          <w:rFonts w:hint="eastAsia"/>
          <w:lang w:val="en-US" w:eastAsia="zh-CN"/>
        </w:rPr>
        <w:t>拟定针对监督部门负责人或人员的不当行为指控的独立初步审查的详细转交程序，以及相应的独立调查机制。</w:t>
      </w:r>
    </w:p>
    <w:p w14:paraId="4BDD6750" w14:textId="77777777" w:rsidR="00146A96" w:rsidRDefault="00CA702F">
      <w:pPr>
        <w:snapToGrid w:val="0"/>
        <w:ind w:firstLineChars="200" w:firstLine="480"/>
        <w:jc w:val="both"/>
        <w:rPr>
          <w:lang w:val="en-US" w:eastAsia="zh-CN"/>
        </w:rPr>
      </w:pPr>
      <w:r>
        <w:rPr>
          <w:rFonts w:hint="eastAsia"/>
          <w:lang w:val="en-US" w:eastAsia="zh-CN"/>
        </w:rPr>
        <w:t>—由监督处拟定针对秘书长及其他当选官员的不当行为指控的独立初步审查的详细转交程序，以及相应的独立调查机制。</w:t>
      </w:r>
    </w:p>
    <w:p w14:paraId="07D13910" w14:textId="77777777" w:rsidR="00146A96" w:rsidRDefault="00CA702F">
      <w:pPr>
        <w:snapToGrid w:val="0"/>
        <w:ind w:firstLineChars="200" w:firstLine="480"/>
        <w:rPr>
          <w:rFonts w:ascii="SimSun" w:hAnsi="SimSun" w:cs="SimSun"/>
          <w:color w:val="000000"/>
          <w:szCs w:val="24"/>
          <w:lang w:val="en-US" w:eastAsia="zh-CN" w:bidi="ar"/>
        </w:rPr>
      </w:pPr>
      <w:r>
        <w:rPr>
          <w:rFonts w:hint="eastAsia"/>
          <w:lang w:val="en-US" w:eastAsia="zh-CN"/>
        </w:rPr>
        <w:t>（</w:t>
      </w:r>
      <w:r>
        <w:rPr>
          <w:rFonts w:hint="eastAsia"/>
          <w:lang w:val="en-US" w:eastAsia="zh-CN"/>
        </w:rPr>
        <w:t>2</w:t>
      </w:r>
      <w:r>
        <w:rPr>
          <w:rFonts w:hint="eastAsia"/>
          <w:lang w:val="en-US" w:eastAsia="zh-CN"/>
        </w:rPr>
        <w:t>）</w:t>
      </w:r>
      <w:r>
        <w:rPr>
          <w:rFonts w:hint="eastAsia"/>
          <w:lang w:val="en-US" w:eastAsia="zh-CN"/>
        </w:rPr>
        <w:t>IMAC</w:t>
      </w:r>
      <w:r>
        <w:rPr>
          <w:rFonts w:hint="eastAsia"/>
          <w:lang w:val="en-US" w:eastAsia="zh-CN"/>
        </w:rPr>
        <w:t>和监督处</w:t>
      </w:r>
      <w:r>
        <w:rPr>
          <w:rFonts w:ascii="SimSun" w:hAnsi="SimSun" w:cs="SimSun" w:hint="eastAsia"/>
          <w:color w:val="000000"/>
          <w:szCs w:val="24"/>
          <w:lang w:val="en-US" w:eastAsia="zh-CN" w:bidi="ar"/>
        </w:rPr>
        <w:t>在起草有关制度的过程中，将下列内容纳入考虑：</w:t>
      </w:r>
    </w:p>
    <w:p w14:paraId="0086DBDB" w14:textId="77777777" w:rsidR="00146A96" w:rsidRDefault="00CA702F">
      <w:pPr>
        <w:ind w:firstLineChars="200" w:firstLine="480"/>
        <w:jc w:val="both"/>
        <w:rPr>
          <w:lang w:val="en-US" w:eastAsia="zh-CN"/>
        </w:rPr>
      </w:pPr>
      <w:r>
        <w:rPr>
          <w:rFonts w:hint="eastAsia"/>
          <w:lang w:val="en-US" w:eastAsia="zh-CN"/>
        </w:rPr>
        <w:t>—明确秘书长、理事会、</w:t>
      </w:r>
      <w:r>
        <w:rPr>
          <w:rFonts w:hint="eastAsia"/>
          <w:lang w:val="en-US" w:eastAsia="zh-CN"/>
        </w:rPr>
        <w:t>IMAC</w:t>
      </w:r>
      <w:r>
        <w:rPr>
          <w:rFonts w:hint="eastAsia"/>
          <w:lang w:val="en-US" w:eastAsia="zh-CN"/>
        </w:rPr>
        <w:t>、监督处、道德办公室、内部上诉委员会（</w:t>
      </w:r>
      <w:r>
        <w:rPr>
          <w:rFonts w:hint="eastAsia"/>
          <w:lang w:val="en-US" w:eastAsia="zh-CN"/>
        </w:rPr>
        <w:t>Internal Appeal Board</w:t>
      </w:r>
      <w:r>
        <w:rPr>
          <w:rFonts w:hint="eastAsia"/>
          <w:lang w:val="en-US" w:eastAsia="zh-CN"/>
        </w:rPr>
        <w:t>）等部门在不当行为指控的受理、立案、调查、审理、裁判、救济等环节的职责，明确举报明确道德办公室与内部监督处工作流程的区分与合作；</w:t>
      </w:r>
    </w:p>
    <w:p w14:paraId="50AD0725" w14:textId="77777777" w:rsidR="00146A96" w:rsidRDefault="00CA702F">
      <w:pPr>
        <w:ind w:firstLineChars="200" w:firstLine="480"/>
        <w:jc w:val="both"/>
        <w:rPr>
          <w:lang w:val="en-US" w:eastAsia="zh-CN"/>
        </w:rPr>
      </w:pPr>
      <w:r>
        <w:rPr>
          <w:rFonts w:hint="eastAsia"/>
          <w:lang w:val="en-US" w:eastAsia="zh-CN"/>
        </w:rPr>
        <w:t>—充分考虑欺诈贪污、骚扰和职权滥用、利益冲突、打击报复等典型场景，用好国际电联现有的相关规定，以减少制度建设和制度适应的成本，如</w:t>
      </w:r>
      <w:r>
        <w:rPr>
          <w:rFonts w:ascii="SimSun" w:hAnsi="SimSun" w:cs="SimSun" w:hint="eastAsia"/>
          <w:color w:val="000000"/>
          <w:szCs w:val="24"/>
          <w:lang w:val="en-US" w:eastAsia="zh-CN" w:bidi="ar"/>
        </w:rPr>
        <w:t>《人力资源管理规定》、适用于选任官员的《人事规则》、相关行政指令（</w:t>
      </w:r>
      <w:proofErr w:type="spellStart"/>
      <w:r>
        <w:rPr>
          <w:rFonts w:ascii="SimSun" w:hAnsi="SimSun" w:cs="Calibri" w:hint="eastAsia"/>
          <w:szCs w:val="24"/>
          <w:lang w:val="fr-CH" w:eastAsia="zh-CN"/>
        </w:rPr>
        <w:t>S.O.17</w:t>
      </w:r>
      <w:proofErr w:type="spellEnd"/>
      <w:r>
        <w:rPr>
          <w:rFonts w:ascii="SimSun" w:hAnsi="SimSun" w:cs="Calibri" w:hint="eastAsia"/>
          <w:szCs w:val="24"/>
          <w:lang w:val="fr-CH" w:eastAsia="zh-CN"/>
        </w:rPr>
        <w:t>/07、</w:t>
      </w:r>
      <w:proofErr w:type="spellStart"/>
      <w:r>
        <w:rPr>
          <w:rFonts w:ascii="SimSun" w:hAnsi="SimSun" w:cs="Calibri" w:hint="eastAsia"/>
          <w:szCs w:val="24"/>
          <w:lang w:val="fr-CH" w:eastAsia="zh-CN"/>
        </w:rPr>
        <w:t>S.O.11</w:t>
      </w:r>
      <w:proofErr w:type="spellEnd"/>
      <w:r>
        <w:rPr>
          <w:rFonts w:ascii="SimSun" w:hAnsi="SimSun" w:cs="Calibri" w:hint="eastAsia"/>
          <w:szCs w:val="24"/>
          <w:lang w:val="fr-CH" w:eastAsia="zh-CN"/>
        </w:rPr>
        <w:t>/02、</w:t>
      </w:r>
      <w:proofErr w:type="spellStart"/>
      <w:r>
        <w:rPr>
          <w:rFonts w:ascii="SimSun" w:hAnsi="SimSun" w:cs="Calibri" w:hint="eastAsia"/>
          <w:szCs w:val="24"/>
          <w:lang w:val="fr-CH" w:eastAsia="zh-CN"/>
        </w:rPr>
        <w:t>S.O.19</w:t>
      </w:r>
      <w:proofErr w:type="spellEnd"/>
      <w:r>
        <w:rPr>
          <w:rFonts w:ascii="SimSun" w:hAnsi="SimSun" w:cs="Calibri" w:hint="eastAsia"/>
          <w:szCs w:val="24"/>
          <w:lang w:val="fr-CH" w:eastAsia="zh-CN"/>
        </w:rPr>
        <w:t>/09、</w:t>
      </w:r>
      <w:proofErr w:type="spellStart"/>
      <w:r>
        <w:rPr>
          <w:rFonts w:ascii="SimSun" w:hAnsi="SimSun" w:cs="Calibri" w:hint="eastAsia"/>
          <w:szCs w:val="24"/>
          <w:lang w:val="fr-CH" w:eastAsia="zh-CN"/>
        </w:rPr>
        <w:t>S.O.22</w:t>
      </w:r>
      <w:proofErr w:type="spellEnd"/>
      <w:r>
        <w:rPr>
          <w:rFonts w:ascii="SimSun" w:hAnsi="SimSun" w:cs="Calibri" w:hint="eastAsia"/>
          <w:szCs w:val="24"/>
          <w:lang w:val="fr-CH" w:eastAsia="zh-CN"/>
        </w:rPr>
        <w:t>/03、</w:t>
      </w:r>
      <w:proofErr w:type="spellStart"/>
      <w:r>
        <w:rPr>
          <w:rFonts w:ascii="SimSun" w:hAnsi="SimSun" w:cs="Calibri" w:hint="eastAsia"/>
          <w:szCs w:val="24"/>
          <w:lang w:val="fr-CH" w:eastAsia="zh-CN"/>
        </w:rPr>
        <w:t>S.O.20</w:t>
      </w:r>
      <w:proofErr w:type="spellEnd"/>
      <w:r>
        <w:rPr>
          <w:rFonts w:ascii="SimSun" w:hAnsi="SimSun" w:cs="Calibri" w:hint="eastAsia"/>
          <w:szCs w:val="24"/>
          <w:lang w:val="fr-CH" w:eastAsia="zh-CN"/>
        </w:rPr>
        <w:t>/06）；</w:t>
      </w:r>
    </w:p>
    <w:p w14:paraId="18F80530" w14:textId="77777777" w:rsidR="00146A96" w:rsidRDefault="00CA702F">
      <w:pPr>
        <w:ind w:firstLineChars="200" w:firstLine="480"/>
        <w:jc w:val="both"/>
        <w:rPr>
          <w:lang w:val="en-US" w:eastAsia="zh-CN"/>
        </w:rPr>
      </w:pPr>
      <w:r>
        <w:rPr>
          <w:rFonts w:hint="eastAsia"/>
          <w:lang w:val="en-US" w:eastAsia="zh-CN"/>
        </w:rPr>
        <w:t>—研究联合国系统的最佳做法，根据国际电联的实际情况加以借鉴。例如，</w:t>
      </w:r>
      <w:r>
        <w:rPr>
          <w:lang w:val="en-US" w:eastAsia="zh-CN"/>
        </w:rPr>
        <w:t>如果不当行为指控</w:t>
      </w:r>
      <w:r>
        <w:rPr>
          <w:b/>
          <w:bCs/>
          <w:lang w:val="en-US" w:eastAsia="zh-CN"/>
        </w:rPr>
        <w:t>涉及</w:t>
      </w:r>
      <w:r>
        <w:rPr>
          <w:rFonts w:hint="eastAsia"/>
          <w:b/>
          <w:bCs/>
          <w:lang w:val="en-US" w:eastAsia="zh-CN"/>
        </w:rPr>
        <w:t>监督处的</w:t>
      </w:r>
      <w:r>
        <w:rPr>
          <w:b/>
          <w:bCs/>
          <w:lang w:val="en-US" w:eastAsia="zh-CN"/>
        </w:rPr>
        <w:t>工作人员</w:t>
      </w:r>
      <w:r>
        <w:rPr>
          <w:lang w:val="en-US" w:eastAsia="zh-CN"/>
        </w:rPr>
        <w:t>，</w:t>
      </w:r>
      <w:r>
        <w:rPr>
          <w:rFonts w:hint="eastAsia"/>
          <w:lang w:val="en-US" w:eastAsia="zh-CN"/>
        </w:rPr>
        <w:t>监督处负责人</w:t>
      </w:r>
      <w:r>
        <w:rPr>
          <w:lang w:val="en-US" w:eastAsia="zh-CN"/>
        </w:rPr>
        <w:t>应就如何处理征求</w:t>
      </w:r>
      <w:r>
        <w:rPr>
          <w:rFonts w:hint="eastAsia"/>
          <w:lang w:val="en-US" w:eastAsia="zh-CN"/>
        </w:rPr>
        <w:t>IMAC</w:t>
      </w:r>
      <w:r>
        <w:rPr>
          <w:lang w:val="en-US" w:eastAsia="zh-CN"/>
        </w:rPr>
        <w:t>的意见</w:t>
      </w:r>
      <w:r>
        <w:rPr>
          <w:rFonts w:hint="eastAsia"/>
          <w:lang w:val="en-US" w:eastAsia="zh-CN"/>
        </w:rPr>
        <w:t>；</w:t>
      </w:r>
      <w:r>
        <w:rPr>
          <w:rFonts w:hint="eastAsia"/>
          <w:b/>
          <w:bCs/>
          <w:lang w:val="en-US" w:eastAsia="zh-CN"/>
        </w:rPr>
        <w:t>针对监督处负责人</w:t>
      </w:r>
      <w:r>
        <w:rPr>
          <w:lang w:val="en-US" w:eastAsia="zh-CN"/>
        </w:rPr>
        <w:t>不当行为的指控应报告给</w:t>
      </w:r>
      <w:r>
        <w:rPr>
          <w:rFonts w:hint="eastAsia"/>
          <w:lang w:val="en-US" w:eastAsia="zh-CN"/>
        </w:rPr>
        <w:t>秘书组长和副秘书长</w:t>
      </w:r>
      <w:r>
        <w:rPr>
          <w:lang w:val="en-US" w:eastAsia="zh-CN"/>
        </w:rPr>
        <w:t>，</w:t>
      </w:r>
      <w:r>
        <w:rPr>
          <w:rFonts w:hint="eastAsia"/>
          <w:lang w:val="en-US" w:eastAsia="zh-CN"/>
        </w:rPr>
        <w:t>秘书长和副秘书长</w:t>
      </w:r>
      <w:r>
        <w:rPr>
          <w:lang w:val="en-US" w:eastAsia="zh-CN"/>
        </w:rPr>
        <w:t>应尽早但不迟于一个月</w:t>
      </w:r>
      <w:r>
        <w:rPr>
          <w:rFonts w:hint="eastAsia"/>
          <w:lang w:val="en-US" w:eastAsia="zh-CN"/>
        </w:rPr>
        <w:t>向理事会</w:t>
      </w:r>
      <w:r>
        <w:rPr>
          <w:lang w:val="en-US" w:eastAsia="zh-CN"/>
        </w:rPr>
        <w:t>主席</w:t>
      </w:r>
      <w:r>
        <w:rPr>
          <w:rFonts w:hint="eastAsia"/>
          <w:lang w:val="en-US" w:eastAsia="zh-CN"/>
        </w:rPr>
        <w:t>报告</w:t>
      </w:r>
      <w:r>
        <w:rPr>
          <w:lang w:val="en-US" w:eastAsia="zh-CN"/>
        </w:rPr>
        <w:t>，并就如何处理</w:t>
      </w:r>
      <w:r>
        <w:rPr>
          <w:rFonts w:hint="eastAsia"/>
          <w:lang w:val="en-US" w:eastAsia="zh-CN"/>
        </w:rPr>
        <w:t>征求</w:t>
      </w:r>
      <w:r>
        <w:rPr>
          <w:rFonts w:hint="eastAsia"/>
          <w:lang w:val="en-US" w:eastAsia="zh-CN"/>
        </w:rPr>
        <w:t>IMAC</w:t>
      </w:r>
      <w:r>
        <w:rPr>
          <w:lang w:val="en-US" w:eastAsia="zh-CN"/>
        </w:rPr>
        <w:t>的意见</w:t>
      </w:r>
      <w:r>
        <w:rPr>
          <w:rFonts w:hint="eastAsia"/>
          <w:lang w:val="en-US" w:eastAsia="zh-CN"/>
        </w:rPr>
        <w:t>，</w:t>
      </w:r>
      <w:r>
        <w:rPr>
          <w:lang w:val="en-US" w:eastAsia="zh-CN"/>
        </w:rPr>
        <w:t>未经</w:t>
      </w:r>
      <w:r>
        <w:rPr>
          <w:rFonts w:hint="eastAsia"/>
          <w:lang w:val="en-US" w:eastAsia="zh-CN"/>
        </w:rPr>
        <w:t>理事会</w:t>
      </w:r>
      <w:r>
        <w:rPr>
          <w:lang w:val="en-US" w:eastAsia="zh-CN"/>
        </w:rPr>
        <w:t>同意，不得对针对</w:t>
      </w:r>
      <w:r>
        <w:rPr>
          <w:rFonts w:hint="eastAsia"/>
          <w:lang w:val="en-US" w:eastAsia="zh-CN"/>
        </w:rPr>
        <w:t>监督处负责人的</w:t>
      </w:r>
      <w:r>
        <w:rPr>
          <w:lang w:val="en-US" w:eastAsia="zh-CN"/>
        </w:rPr>
        <w:t>指控提起调查程序</w:t>
      </w:r>
      <w:r>
        <w:rPr>
          <w:rFonts w:hint="eastAsia"/>
          <w:lang w:val="en-US" w:eastAsia="zh-CN"/>
        </w:rPr>
        <w:t>；</w:t>
      </w:r>
      <w:r>
        <w:rPr>
          <w:rFonts w:hint="eastAsia"/>
          <w:b/>
          <w:bCs/>
          <w:lang w:val="en-US" w:eastAsia="zh-CN"/>
        </w:rPr>
        <w:t>针对选任官员</w:t>
      </w:r>
      <w:r>
        <w:rPr>
          <w:lang w:val="en-US" w:eastAsia="zh-CN"/>
        </w:rPr>
        <w:t>不当行为的指控应报告给</w:t>
      </w:r>
      <w:r>
        <w:rPr>
          <w:rFonts w:hint="eastAsia"/>
          <w:lang w:val="en-US" w:eastAsia="zh-CN"/>
        </w:rPr>
        <w:t>监督处负责人</w:t>
      </w:r>
      <w:r>
        <w:rPr>
          <w:lang w:val="en-US" w:eastAsia="zh-CN"/>
        </w:rPr>
        <w:t>，</w:t>
      </w:r>
      <w:r>
        <w:rPr>
          <w:rFonts w:hint="eastAsia"/>
          <w:lang w:val="en-US" w:eastAsia="zh-CN"/>
        </w:rPr>
        <w:t>该负责人</w:t>
      </w:r>
      <w:r>
        <w:rPr>
          <w:lang w:val="en-US" w:eastAsia="zh-CN"/>
        </w:rPr>
        <w:t>应立即通知</w:t>
      </w:r>
      <w:r>
        <w:rPr>
          <w:rFonts w:hint="eastAsia"/>
          <w:lang w:val="en-US" w:eastAsia="zh-CN"/>
        </w:rPr>
        <w:t>理事会主席</w:t>
      </w:r>
      <w:r>
        <w:rPr>
          <w:lang w:val="en-US" w:eastAsia="zh-CN"/>
        </w:rPr>
        <w:t>，并就如何处理征求</w:t>
      </w:r>
      <w:proofErr w:type="spellStart"/>
      <w:r>
        <w:rPr>
          <w:rFonts w:hint="eastAsia"/>
          <w:lang w:val="en-US" w:eastAsia="zh-CN"/>
        </w:rPr>
        <w:t>IMAC</w:t>
      </w:r>
      <w:proofErr w:type="spellEnd"/>
      <w:r>
        <w:rPr>
          <w:lang w:val="en-US" w:eastAsia="zh-CN"/>
        </w:rPr>
        <w:lastRenderedPageBreak/>
        <w:t>的意见</w:t>
      </w:r>
      <w:r>
        <w:rPr>
          <w:rFonts w:hint="eastAsia"/>
          <w:lang w:val="en-US" w:eastAsia="zh-CN"/>
        </w:rPr>
        <w:t>，</w:t>
      </w:r>
      <w:r>
        <w:rPr>
          <w:rFonts w:hint="eastAsia"/>
          <w:lang w:val="en-US" w:eastAsia="zh-CN"/>
        </w:rPr>
        <w:t>IMAC</w:t>
      </w:r>
      <w:r>
        <w:rPr>
          <w:lang w:val="en-US" w:eastAsia="zh-CN"/>
        </w:rPr>
        <w:t>应就是否进行初步评估或安排独立外部调查实体进行初步评估向</w:t>
      </w:r>
      <w:r>
        <w:rPr>
          <w:rFonts w:hint="eastAsia"/>
          <w:lang w:val="en-US" w:eastAsia="zh-CN"/>
        </w:rPr>
        <w:t>监督处负责人</w:t>
      </w:r>
      <w:r>
        <w:rPr>
          <w:lang w:val="en-US" w:eastAsia="zh-CN"/>
        </w:rPr>
        <w:t>提供建议。根据初步评估的结果，</w:t>
      </w:r>
      <w:r>
        <w:rPr>
          <w:rFonts w:hint="eastAsia"/>
          <w:lang w:val="en-US" w:eastAsia="zh-CN"/>
        </w:rPr>
        <w:t>监督处负责人</w:t>
      </w:r>
      <w:r>
        <w:rPr>
          <w:lang w:val="en-US" w:eastAsia="zh-CN"/>
        </w:rPr>
        <w:t>应向</w:t>
      </w:r>
      <w:r>
        <w:rPr>
          <w:rFonts w:hint="eastAsia"/>
          <w:lang w:val="en-US" w:eastAsia="zh-CN"/>
        </w:rPr>
        <w:t>理事会主席报告</w:t>
      </w:r>
      <w:r>
        <w:rPr>
          <w:lang w:val="en-US" w:eastAsia="zh-CN"/>
        </w:rPr>
        <w:t>，说明是要求</w:t>
      </w:r>
      <w:r>
        <w:rPr>
          <w:rFonts w:hint="eastAsia"/>
          <w:lang w:val="en-US" w:eastAsia="zh-CN"/>
        </w:rPr>
        <w:t>监督处</w:t>
      </w:r>
      <w:r>
        <w:rPr>
          <w:lang w:val="en-US" w:eastAsia="zh-CN"/>
        </w:rPr>
        <w:t>结案还是将此事提交独立的外部调查实体进行调查。</w:t>
      </w:r>
    </w:p>
    <w:p w14:paraId="7DEBD335" w14:textId="77777777" w:rsidR="00146A96" w:rsidRDefault="00CA702F">
      <w:pPr>
        <w:ind w:firstLineChars="200" w:firstLine="480"/>
        <w:jc w:val="both"/>
        <w:rPr>
          <w:rFonts w:ascii="SimSun" w:hAnsi="SimSun" w:cs="SimSun"/>
          <w:color w:val="000000"/>
          <w:szCs w:val="24"/>
          <w:lang w:val="en-US" w:eastAsia="zh-CN" w:bidi="ar"/>
        </w:rPr>
      </w:pPr>
      <w:r>
        <w:rPr>
          <w:rFonts w:hint="eastAsia"/>
          <w:lang w:val="en-US" w:eastAsia="zh-CN"/>
        </w:rPr>
        <w:t>（</w:t>
      </w:r>
      <w:r>
        <w:rPr>
          <w:rFonts w:hint="eastAsia"/>
          <w:lang w:val="en-US" w:eastAsia="zh-CN"/>
        </w:rPr>
        <w:t>3</w:t>
      </w:r>
      <w:r>
        <w:rPr>
          <w:rFonts w:hint="eastAsia"/>
          <w:lang w:val="en-US" w:eastAsia="zh-CN"/>
        </w:rPr>
        <w:t>）前述建议（</w:t>
      </w:r>
      <w:r>
        <w:rPr>
          <w:rFonts w:hint="eastAsia"/>
          <w:lang w:val="en-US" w:eastAsia="zh-CN"/>
        </w:rPr>
        <w:t>1</w:t>
      </w:r>
      <w:r>
        <w:rPr>
          <w:rFonts w:hint="eastAsia"/>
          <w:lang w:val="en-US" w:eastAsia="zh-CN"/>
        </w:rPr>
        <w:t>）的两项制度草案应</w:t>
      </w:r>
      <w:r>
        <w:rPr>
          <w:rFonts w:ascii="SimSun" w:hAnsi="SimSun" w:cs="SimSun" w:hint="eastAsia"/>
          <w:color w:val="000000"/>
          <w:szCs w:val="24"/>
          <w:lang w:val="en-US" w:eastAsia="zh-CN" w:bidi="ar"/>
        </w:rPr>
        <w:t>尽早提交理事会讨论，并由理事会根据相关程序要求进行批准。</w:t>
      </w:r>
    </w:p>
    <w:p w14:paraId="1C9156E7" w14:textId="77777777" w:rsidR="00CA702F" w:rsidRDefault="00CA702F" w:rsidP="0032202E">
      <w:pPr>
        <w:pStyle w:val="Reasons"/>
        <w:rPr>
          <w:lang w:eastAsia="zh-CN"/>
        </w:rPr>
      </w:pPr>
    </w:p>
    <w:p w14:paraId="122A2720" w14:textId="40C1F97A" w:rsidR="00CA702F" w:rsidRPr="00CA702F" w:rsidRDefault="00CA702F" w:rsidP="00CA702F">
      <w:pPr>
        <w:jc w:val="center"/>
      </w:pPr>
      <w:r>
        <w:t>______________</w:t>
      </w:r>
    </w:p>
    <w:sectPr w:rsidR="00CA702F" w:rsidRPr="00CA702F">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A4001" w14:textId="77777777" w:rsidR="00CA702F" w:rsidRDefault="00CA702F">
      <w:pPr>
        <w:spacing w:before="0"/>
      </w:pPr>
      <w:r>
        <w:separator/>
      </w:r>
    </w:p>
  </w:endnote>
  <w:endnote w:type="continuationSeparator" w:id="0">
    <w:p w14:paraId="22A42BA1" w14:textId="77777777" w:rsidR="00CA702F" w:rsidRDefault="00CA70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46A96" w14:paraId="4F1C52F5" w14:textId="77777777">
      <w:trPr>
        <w:jc w:val="center"/>
      </w:trPr>
      <w:tc>
        <w:tcPr>
          <w:tcW w:w="1803" w:type="dxa"/>
          <w:vAlign w:val="center"/>
        </w:tcPr>
        <w:p w14:paraId="715627BE" w14:textId="77777777" w:rsidR="00146A96" w:rsidRDefault="00CA702F">
          <w:pPr>
            <w:pStyle w:val="Header"/>
            <w:jc w:val="left"/>
            <w:rPr>
              <w:color w:val="7F7F7F"/>
            </w:rPr>
          </w:pPr>
          <w:r>
            <w:rPr>
              <w:color w:val="7F7F7F"/>
            </w:rPr>
            <w:t>#</w:t>
          </w:r>
          <w:proofErr w:type="spellStart"/>
          <w:r>
            <w:rPr>
              <w:color w:val="7F7F7F"/>
            </w:rPr>
            <w:t>gDoc</w:t>
          </w:r>
          <w:proofErr w:type="spellEnd"/>
        </w:p>
      </w:tc>
      <w:tc>
        <w:tcPr>
          <w:tcW w:w="8261" w:type="dxa"/>
        </w:tcPr>
        <w:p w14:paraId="113F93F8" w14:textId="0527C931" w:rsidR="00146A96" w:rsidRDefault="00CA702F">
          <w:pPr>
            <w:pStyle w:val="Header"/>
            <w:tabs>
              <w:tab w:val="left" w:pos="6164"/>
              <w:tab w:val="right" w:pos="8505"/>
              <w:tab w:val="right" w:pos="9639"/>
            </w:tabs>
            <w:jc w:val="left"/>
            <w:rPr>
              <w:rFonts w:ascii="Arial" w:hAnsi="Arial" w:cs="Arial"/>
              <w:b/>
              <w:bCs/>
              <w:color w:val="7F7F7F"/>
              <w:szCs w:val="18"/>
            </w:rPr>
          </w:pPr>
          <w:r>
            <w:rPr>
              <w:bCs/>
              <w:color w:val="7F7F7F"/>
            </w:rPr>
            <w:tab/>
          </w:r>
          <w:proofErr w:type="spellStart"/>
          <w:r>
            <w:rPr>
              <w:bCs/>
              <w:color w:val="7F7F7F"/>
            </w:rPr>
            <w:t>C25</w:t>
          </w:r>
          <w:proofErr w:type="spellEnd"/>
          <w:r>
            <w:rPr>
              <w:bCs/>
              <w:color w:val="7F7F7F"/>
            </w:rPr>
            <w:t>/</w:t>
          </w:r>
          <w:r w:rsidR="00F14803">
            <w:rPr>
              <w:bCs/>
              <w:color w:val="7F7F7F"/>
            </w:rPr>
            <w:t>87</w:t>
          </w:r>
          <w:r>
            <w:rPr>
              <w:bCs/>
              <w:color w:val="7F7F7F"/>
            </w:rPr>
            <w:t>-C</w:t>
          </w:r>
          <w:r>
            <w:rPr>
              <w:bCs/>
              <w:color w:val="7F7F7F"/>
            </w:rPr>
            <w:tab/>
          </w:r>
          <w:r>
            <w:rPr>
              <w:color w:val="7F7F7F"/>
            </w:rPr>
            <w:fldChar w:fldCharType="begin"/>
          </w:r>
          <w:r>
            <w:rPr>
              <w:color w:val="7F7F7F"/>
            </w:rPr>
            <w:instrText>PAGE</w:instrText>
          </w:r>
          <w:r>
            <w:rPr>
              <w:color w:val="7F7F7F"/>
            </w:rPr>
            <w:fldChar w:fldCharType="separate"/>
          </w:r>
          <w:r>
            <w:rPr>
              <w:color w:val="7F7F7F"/>
            </w:rPr>
            <w:t>1</w:t>
          </w:r>
          <w:r>
            <w:rPr>
              <w:color w:val="7F7F7F"/>
            </w:rPr>
            <w:fldChar w:fldCharType="end"/>
          </w:r>
        </w:p>
      </w:tc>
    </w:tr>
  </w:tbl>
  <w:p w14:paraId="0CA74DE2" w14:textId="77777777" w:rsidR="00146A96" w:rsidRDefault="00146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46A96" w14:paraId="423048AF" w14:textId="77777777">
      <w:trPr>
        <w:jc w:val="center"/>
      </w:trPr>
      <w:tc>
        <w:tcPr>
          <w:tcW w:w="1803" w:type="dxa"/>
          <w:vAlign w:val="center"/>
        </w:tcPr>
        <w:p w14:paraId="1F84C1E7" w14:textId="77777777" w:rsidR="00146A96" w:rsidRDefault="00CA702F">
          <w:pPr>
            <w:pStyle w:val="Header"/>
            <w:jc w:val="left"/>
          </w:pPr>
          <w:hyperlink r:id="rId1" w:history="1">
            <w:proofErr w:type="spellStart"/>
            <w:r>
              <w:rPr>
                <w:rStyle w:val="Hyperlink"/>
                <w:rFonts w:eastAsia="SimSun"/>
              </w:rPr>
              <w:t>council.itu.int</w:t>
            </w:r>
            <w:proofErr w:type="spellEnd"/>
            <w:r>
              <w:rPr>
                <w:rStyle w:val="Hyperlink"/>
                <w:rFonts w:eastAsia="SimSun"/>
              </w:rPr>
              <w:t>/2025</w:t>
            </w:r>
          </w:hyperlink>
        </w:p>
      </w:tc>
      <w:tc>
        <w:tcPr>
          <w:tcW w:w="8261" w:type="dxa"/>
        </w:tcPr>
        <w:p w14:paraId="430F6F5E" w14:textId="73329ED1" w:rsidR="00146A96" w:rsidRDefault="00CA702F">
          <w:pPr>
            <w:pStyle w:val="Header"/>
            <w:tabs>
              <w:tab w:val="left" w:pos="6448"/>
              <w:tab w:val="right" w:pos="8505"/>
              <w:tab w:val="right" w:pos="9639"/>
            </w:tabs>
            <w:jc w:val="left"/>
            <w:rPr>
              <w:rFonts w:ascii="Arial" w:hAnsi="Arial" w:cs="Arial"/>
              <w:b/>
              <w:bCs/>
              <w:color w:val="7F7F7F"/>
              <w:szCs w:val="18"/>
            </w:rPr>
          </w:pPr>
          <w:r>
            <w:rPr>
              <w:bCs/>
              <w:color w:val="7F7F7F"/>
            </w:rPr>
            <w:tab/>
          </w:r>
          <w:proofErr w:type="spellStart"/>
          <w:r>
            <w:rPr>
              <w:bCs/>
              <w:color w:val="7F7F7F"/>
            </w:rPr>
            <w:t>C25</w:t>
          </w:r>
          <w:proofErr w:type="spellEnd"/>
          <w:r>
            <w:rPr>
              <w:bCs/>
              <w:color w:val="7F7F7F"/>
            </w:rPr>
            <w:t>/</w:t>
          </w:r>
          <w:r w:rsidR="00F14803">
            <w:rPr>
              <w:bCs/>
              <w:color w:val="7F7F7F"/>
            </w:rPr>
            <w:t>87</w:t>
          </w:r>
          <w:r>
            <w:rPr>
              <w:bCs/>
              <w:color w:val="7F7F7F"/>
            </w:rPr>
            <w:t>-C</w:t>
          </w:r>
          <w:r>
            <w:rPr>
              <w:bCs/>
              <w:color w:val="7F7F7F"/>
            </w:rPr>
            <w:tab/>
          </w:r>
          <w:r>
            <w:rPr>
              <w:color w:val="7F7F7F"/>
            </w:rPr>
            <w:fldChar w:fldCharType="begin"/>
          </w:r>
          <w:r>
            <w:rPr>
              <w:color w:val="7F7F7F"/>
            </w:rPr>
            <w:instrText>PAGE</w:instrText>
          </w:r>
          <w:r>
            <w:rPr>
              <w:color w:val="7F7F7F"/>
            </w:rPr>
            <w:fldChar w:fldCharType="separate"/>
          </w:r>
          <w:r>
            <w:rPr>
              <w:color w:val="7F7F7F"/>
            </w:rPr>
            <w:t>1</w:t>
          </w:r>
          <w:r>
            <w:rPr>
              <w:color w:val="7F7F7F"/>
            </w:rPr>
            <w:fldChar w:fldCharType="end"/>
          </w:r>
        </w:p>
      </w:tc>
    </w:tr>
  </w:tbl>
  <w:p w14:paraId="51612BC1" w14:textId="77777777" w:rsidR="00146A96" w:rsidRDefault="00146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5DEEC" w14:textId="77777777" w:rsidR="00146A96" w:rsidRDefault="00CA702F">
      <w:pPr>
        <w:spacing w:before="0"/>
      </w:pPr>
      <w:r>
        <w:separator/>
      </w:r>
    </w:p>
  </w:footnote>
  <w:footnote w:type="continuationSeparator" w:id="0">
    <w:p w14:paraId="742453E7" w14:textId="77777777" w:rsidR="00146A96" w:rsidRDefault="00CA70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146A96" w14:paraId="072C8C9F" w14:textId="77777777">
      <w:trPr>
        <w:trHeight w:val="1104"/>
        <w:jc w:val="center"/>
      </w:trPr>
      <w:tc>
        <w:tcPr>
          <w:tcW w:w="4390" w:type="dxa"/>
          <w:vAlign w:val="center"/>
        </w:tcPr>
        <w:p w14:paraId="4CDEC962" w14:textId="77777777" w:rsidR="00146A96" w:rsidRDefault="00CA702F">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114300" distR="114300" wp14:anchorId="228EBA4B" wp14:editId="588DA21E">
                <wp:extent cx="3007360" cy="575945"/>
                <wp:effectExtent l="0" t="0" r="0" b="0"/>
                <wp:docPr id="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 and numbers&#10;&#10;AI-generated content may be incorrect."/>
                        <pic:cNvPicPr>
                          <a:picLocks noChangeAspect="1"/>
                        </pic:cNvPicPr>
                      </pic:nvPicPr>
                      <pic:blipFill>
                        <a:blip r:embed="rId1"/>
                        <a:srcRect r="18085"/>
                        <a:stretch>
                          <a:fillRect/>
                        </a:stretch>
                      </pic:blipFill>
                      <pic:spPr>
                        <a:xfrm>
                          <a:off x="0" y="0"/>
                          <a:ext cx="3007360" cy="575945"/>
                        </a:xfrm>
                        <a:prstGeom prst="rect">
                          <a:avLst/>
                        </a:prstGeom>
                        <a:noFill/>
                        <a:ln>
                          <a:noFill/>
                        </a:ln>
                      </pic:spPr>
                    </pic:pic>
                  </a:graphicData>
                </a:graphic>
              </wp:inline>
            </w:drawing>
          </w:r>
        </w:p>
      </w:tc>
      <w:tc>
        <w:tcPr>
          <w:tcW w:w="5630" w:type="dxa"/>
        </w:tcPr>
        <w:p w14:paraId="19E08EBE" w14:textId="77777777" w:rsidR="00146A96" w:rsidRDefault="00146A96">
          <w:pPr>
            <w:pStyle w:val="Header"/>
            <w:jc w:val="right"/>
            <w:rPr>
              <w:rFonts w:ascii="Arial" w:hAnsi="Arial" w:cs="Arial"/>
              <w:b/>
              <w:bCs/>
              <w:color w:val="009CD6"/>
              <w:szCs w:val="18"/>
            </w:rPr>
          </w:pPr>
        </w:p>
        <w:p w14:paraId="56D0D634" w14:textId="77777777" w:rsidR="00146A96" w:rsidRDefault="00146A96">
          <w:pPr>
            <w:pStyle w:val="Header"/>
            <w:jc w:val="right"/>
            <w:rPr>
              <w:rFonts w:ascii="Arial" w:hAnsi="Arial" w:cs="Arial"/>
              <w:b/>
              <w:bCs/>
              <w:color w:val="009CD6"/>
              <w:szCs w:val="18"/>
            </w:rPr>
          </w:pPr>
        </w:p>
        <w:p w14:paraId="24B67829" w14:textId="77777777" w:rsidR="00146A96" w:rsidRDefault="00CA702F">
          <w:pPr>
            <w:pStyle w:val="Header"/>
            <w:jc w:val="right"/>
            <w:rPr>
              <w:rFonts w:ascii="Arial" w:hAnsi="Arial" w:cs="Arial"/>
              <w:color w:val="009CD6"/>
              <w:szCs w:val="18"/>
            </w:rPr>
          </w:pPr>
          <w:r>
            <w:rPr>
              <w:rFonts w:ascii="Arial" w:hAnsi="Arial" w:cs="Arial"/>
              <w:b/>
              <w:bCs/>
              <w:color w:val="009CD6"/>
              <w:szCs w:val="18"/>
            </w:rPr>
            <w:t xml:space="preserve"> </w:t>
          </w:r>
        </w:p>
      </w:tc>
    </w:tr>
  </w:tbl>
  <w:bookmarkEnd w:id="7"/>
  <w:p w14:paraId="531B6D6D" w14:textId="77777777" w:rsidR="00146A96" w:rsidRDefault="00CA702F">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C912EB1" wp14:editId="78B91550">
              <wp:simplePos x="0" y="0"/>
              <wp:positionH relativeFrom="page">
                <wp:posOffset>-6985</wp:posOffset>
              </wp:positionH>
              <wp:positionV relativeFrom="page">
                <wp:posOffset>603250</wp:posOffset>
              </wp:positionV>
              <wp:extent cx="107950" cy="39624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ffectLst/>
                    </wps:spPr>
                    <wps:bodyPr rot="0" vert="horz" wrap="square" lIns="91440" tIns="45720" rIns="91440" bIns="45720" anchor="t" anchorCtr="0" upright="1">
                      <a:noAutofit/>
                    </wps:bodyPr>
                  </wps:wsp>
                </a:graphicData>
              </a:graphic>
            </wp:anchor>
          </w:drawing>
        </mc:Choice>
        <mc:Fallback>
          <w:pict>
            <v:rect w14:anchorId="32F7F0A6" id="Rectangle 5" o:spid="_x0000_s1026" style="position:absolute;margin-left:-.55pt;margin-top:47.5pt;width:8.5pt;height:31.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NX6AEAAMIDAAAOAAAAZHJzL2Uyb0RvYy54bWysU8Fu2zAMvQ/YPwi6L7aztGuMOEWRoMOA&#10;bh3Q7QMUWbaFyaJGKXGyrx8lO2mw3YZdBFKkHsnHp9X9sTfsoNBrsBUvZjlnykqotW0r/v3b47s7&#10;znwQthYGrKr4SXl+v377ZjW4Us2hA1MrZARifTm4inchuDLLvOxUL/wMnLIUbAB7EcjFNqtRDITe&#10;m2ye57fZAFg7BKm8p9vtGOTrhN80SobnpvEqMFNx6i2kE9O5i2e2XomyReE6Lac2xD900QttqegF&#10;aiuCYHvUf0H1WiJ4aMJMQp9B02ip0gw0TZH/Mc1LJ5xKsxA53l1o8v8PVn45vLivGFv37gnkD88s&#10;bDphW/WACEOnRE3likhUNjhfXh5Ex9NTths+Q02rFfsAiYNjg30EpOnYMVF9ulCtjoFJuizyuzyn&#10;hUgKvV/eRjtWEOX5sUMfPiroWTQqjrTJBC4OTz6MqeeU1DwYXT9qY5KD7W5jkB1E3Hq+3GxvJnR/&#10;nWZsTLYQn42I441KupnKnMeMivLlDuoTjYwwComET0YH+IuzgURUcf9zL1BxZj5Zom1ZLBZRdclZ&#10;3HyYk4PXkd11RFhJUBUPnI3mJoxK3TvUbUeVikSBhQeiutGJhteupgWRUBKRk6ijEq/9lPX69da/&#10;AQAA//8DAFBLAwQUAAYACAAAACEArQXEeuAAAAAIAQAADwAAAGRycy9kb3ducmV2LnhtbEyPQU/C&#10;QBCF7yb8h82QeINtGxGp3RJj9EDwoMiF29Id20J3tnYHKP56tyc9TV7ey5vvZcveNuKMna8dKYin&#10;EQikwpmaSgXbz9fJAwjPmoxuHKGCK3pY5qObTKfGXegDzxsuRSghn2oFFXObSumLCq32U9ciBe/L&#10;dVZzkF0pTacvodw2Momie2l1TeFDpVt8rrA4bk5WAe+Scn59X3OyfVl/vx1Wq/rH7JS6HfdPjyAY&#10;e/4Lw4Af0CEPTHt3IuNFo2ASxyGpYDELkwZ/tgCxH+78DmSeyf8D8l8AAAD//wMAUEsBAi0AFAAG&#10;AAgAAAAhALaDOJL+AAAA4QEAABMAAAAAAAAAAAAAAAAAAAAAAFtDb250ZW50X1R5cGVzXS54bWxQ&#10;SwECLQAUAAYACAAAACEAOP0h/9YAAACUAQAACwAAAAAAAAAAAAAAAAAvAQAAX3JlbHMvLnJlbHNQ&#10;SwECLQAUAAYACAAAACEAyzWTV+gBAADCAwAADgAAAAAAAAAAAAAAAAAuAgAAZHJzL2Uyb0RvYy54&#10;bWxQSwECLQAUAAYACAAAACEArQXEeuAAAAAIAQAADwAAAAAAAAAAAAAAAABCBAAAZHJzL2Rvd25y&#10;ZXYueG1sUEsFBgAAAAAEAAQA8wAAAE8FAAAAAA==&#10;" fillcolor="#009cd5"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DD9E1A"/>
    <w:multiLevelType w:val="singleLevel"/>
    <w:tmpl w:val="B2DD9E1A"/>
    <w:lvl w:ilvl="0">
      <w:start w:val="1"/>
      <w:numFmt w:val="decimal"/>
      <w:suff w:val="space"/>
      <w:lvlText w:val="%1."/>
      <w:lvlJc w:val="left"/>
    </w:lvl>
  </w:abstractNum>
  <w:num w:numId="1" w16cid:durableId="153145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ZjODNkYjgzYjc4NTVlMTcyNThmYWNlMTIzYTI4YmUifQ=="/>
  </w:docVars>
  <w:rsids>
    <w:rsidRoot w:val="00630DD5"/>
    <w:rsid w:val="00001B77"/>
    <w:rsid w:val="0000517A"/>
    <w:rsid w:val="00031E72"/>
    <w:rsid w:val="000404D2"/>
    <w:rsid w:val="000646BD"/>
    <w:rsid w:val="000853C0"/>
    <w:rsid w:val="0009409E"/>
    <w:rsid w:val="000A1C21"/>
    <w:rsid w:val="000C0BC5"/>
    <w:rsid w:val="000D15EA"/>
    <w:rsid w:val="000D7012"/>
    <w:rsid w:val="00100D84"/>
    <w:rsid w:val="00124C9D"/>
    <w:rsid w:val="001303F9"/>
    <w:rsid w:val="00146A96"/>
    <w:rsid w:val="0015333E"/>
    <w:rsid w:val="00157773"/>
    <w:rsid w:val="0018251A"/>
    <w:rsid w:val="00190272"/>
    <w:rsid w:val="00193244"/>
    <w:rsid w:val="00195C6C"/>
    <w:rsid w:val="00195FED"/>
    <w:rsid w:val="001A4BD6"/>
    <w:rsid w:val="001D5A18"/>
    <w:rsid w:val="00215132"/>
    <w:rsid w:val="00224449"/>
    <w:rsid w:val="00240B32"/>
    <w:rsid w:val="002667F8"/>
    <w:rsid w:val="00280EB8"/>
    <w:rsid w:val="002919D7"/>
    <w:rsid w:val="002A6670"/>
    <w:rsid w:val="00303502"/>
    <w:rsid w:val="00325C25"/>
    <w:rsid w:val="00372C8F"/>
    <w:rsid w:val="00380ECE"/>
    <w:rsid w:val="00393DDF"/>
    <w:rsid w:val="00397F55"/>
    <w:rsid w:val="003B4454"/>
    <w:rsid w:val="003C2E37"/>
    <w:rsid w:val="003D6B69"/>
    <w:rsid w:val="003F086E"/>
    <w:rsid w:val="003F1415"/>
    <w:rsid w:val="0040144C"/>
    <w:rsid w:val="00403EB7"/>
    <w:rsid w:val="0042717D"/>
    <w:rsid w:val="00430BF0"/>
    <w:rsid w:val="004672E6"/>
    <w:rsid w:val="00474ED1"/>
    <w:rsid w:val="00491BA9"/>
    <w:rsid w:val="00493085"/>
    <w:rsid w:val="004A36EC"/>
    <w:rsid w:val="004D163F"/>
    <w:rsid w:val="004E4BFF"/>
    <w:rsid w:val="004F2598"/>
    <w:rsid w:val="0052491C"/>
    <w:rsid w:val="005403F7"/>
    <w:rsid w:val="00540632"/>
    <w:rsid w:val="00541CF4"/>
    <w:rsid w:val="005451E8"/>
    <w:rsid w:val="005507F2"/>
    <w:rsid w:val="005759CC"/>
    <w:rsid w:val="005A72E1"/>
    <w:rsid w:val="005C6632"/>
    <w:rsid w:val="005D1C9E"/>
    <w:rsid w:val="005F4C2B"/>
    <w:rsid w:val="00630DD5"/>
    <w:rsid w:val="00644EC6"/>
    <w:rsid w:val="00654257"/>
    <w:rsid w:val="0065435A"/>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13406"/>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9445B"/>
    <w:rsid w:val="00BA7078"/>
    <w:rsid w:val="00BD0954"/>
    <w:rsid w:val="00BD1A5A"/>
    <w:rsid w:val="00BD7A9B"/>
    <w:rsid w:val="00BD7BE1"/>
    <w:rsid w:val="00BF416B"/>
    <w:rsid w:val="00C06509"/>
    <w:rsid w:val="00C45EB2"/>
    <w:rsid w:val="00C64E4E"/>
    <w:rsid w:val="00C66E64"/>
    <w:rsid w:val="00C761A0"/>
    <w:rsid w:val="00C85F7E"/>
    <w:rsid w:val="00C90D53"/>
    <w:rsid w:val="00CA0B2E"/>
    <w:rsid w:val="00CA6EF7"/>
    <w:rsid w:val="00CA702F"/>
    <w:rsid w:val="00CD47F0"/>
    <w:rsid w:val="00CD5566"/>
    <w:rsid w:val="00CD64D7"/>
    <w:rsid w:val="00CE6F22"/>
    <w:rsid w:val="00CF41F6"/>
    <w:rsid w:val="00CF7D3E"/>
    <w:rsid w:val="00D02B4E"/>
    <w:rsid w:val="00D21F11"/>
    <w:rsid w:val="00D36817"/>
    <w:rsid w:val="00D453EE"/>
    <w:rsid w:val="00D50F8E"/>
    <w:rsid w:val="00D5666C"/>
    <w:rsid w:val="00D666BC"/>
    <w:rsid w:val="00D83542"/>
    <w:rsid w:val="00D92F45"/>
    <w:rsid w:val="00D94637"/>
    <w:rsid w:val="00D9725C"/>
    <w:rsid w:val="00DA0E66"/>
    <w:rsid w:val="00DA7006"/>
    <w:rsid w:val="00DB3621"/>
    <w:rsid w:val="00DB6B5A"/>
    <w:rsid w:val="00DC6427"/>
    <w:rsid w:val="00DD62F5"/>
    <w:rsid w:val="00DD66A1"/>
    <w:rsid w:val="00DE196D"/>
    <w:rsid w:val="00DE6650"/>
    <w:rsid w:val="00DF6B49"/>
    <w:rsid w:val="00E067C5"/>
    <w:rsid w:val="00E24D59"/>
    <w:rsid w:val="00E265BF"/>
    <w:rsid w:val="00E34C96"/>
    <w:rsid w:val="00E378D8"/>
    <w:rsid w:val="00E43A12"/>
    <w:rsid w:val="00E67C67"/>
    <w:rsid w:val="00E77476"/>
    <w:rsid w:val="00E8228B"/>
    <w:rsid w:val="00EE5706"/>
    <w:rsid w:val="00EF373D"/>
    <w:rsid w:val="00F11595"/>
    <w:rsid w:val="00F13BC9"/>
    <w:rsid w:val="00F14803"/>
    <w:rsid w:val="00F357B2"/>
    <w:rsid w:val="00F36556"/>
    <w:rsid w:val="00F6736A"/>
    <w:rsid w:val="00F705DF"/>
    <w:rsid w:val="00F70622"/>
    <w:rsid w:val="00F85624"/>
    <w:rsid w:val="00F87C05"/>
    <w:rsid w:val="00F93191"/>
    <w:rsid w:val="00F93A17"/>
    <w:rsid w:val="00FA2AF6"/>
    <w:rsid w:val="00FB073D"/>
    <w:rsid w:val="00FB771F"/>
    <w:rsid w:val="00FC5386"/>
    <w:rsid w:val="057D5890"/>
    <w:rsid w:val="07071716"/>
    <w:rsid w:val="089229FE"/>
    <w:rsid w:val="09E510BC"/>
    <w:rsid w:val="0DDE3833"/>
    <w:rsid w:val="0E034623"/>
    <w:rsid w:val="13D068CD"/>
    <w:rsid w:val="1B314D22"/>
    <w:rsid w:val="1B6E410D"/>
    <w:rsid w:val="2B3E73A2"/>
    <w:rsid w:val="2F032695"/>
    <w:rsid w:val="392B52C7"/>
    <w:rsid w:val="3B7965A5"/>
    <w:rsid w:val="48E42085"/>
    <w:rsid w:val="59FA78F3"/>
    <w:rsid w:val="5F3C6532"/>
    <w:rsid w:val="5FBD400C"/>
    <w:rsid w:val="62E25EFF"/>
    <w:rsid w:val="63950D4D"/>
    <w:rsid w:val="658C41DB"/>
    <w:rsid w:val="6B701CB7"/>
    <w:rsid w:val="71B46619"/>
    <w:rsid w:val="72BF3A67"/>
    <w:rsid w:val="7AAB5E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4F66B"/>
  <w15:docId w15:val="{E24D5773-055F-466C-A362-583C7BFD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qFormat/>
  </w:style>
  <w:style w:type="paragraph" w:styleId="TOC4">
    <w:name w:val="toc 4"/>
    <w:basedOn w:val="TOC3"/>
    <w:semiHidden/>
    <w:qFormat/>
    <w:pPr>
      <w:spacing w:before="80"/>
    </w:pPr>
  </w:style>
  <w:style w:type="paragraph" w:styleId="TOC3">
    <w:name w:val="toc 3"/>
    <w:basedOn w:val="TOC2"/>
    <w:semiHidden/>
    <w:qFormat/>
  </w:style>
  <w:style w:type="paragraph" w:styleId="TOC2">
    <w:name w:val="toc 2"/>
    <w:basedOn w:val="TOC1"/>
    <w:semiHidden/>
    <w:qFormat/>
    <w:pPr>
      <w:spacing w:before="160"/>
    </w:pPr>
  </w:style>
  <w:style w:type="paragraph" w:styleId="TOC1">
    <w:name w:val="toc 1"/>
    <w:basedOn w:val="Normal"/>
    <w:semiHidden/>
    <w:qFormat/>
    <w:pPr>
      <w:keepLines/>
      <w:tabs>
        <w:tab w:val="clear" w:pos="794"/>
        <w:tab w:val="clear" w:pos="1191"/>
        <w:tab w:val="clear" w:pos="1588"/>
        <w:tab w:val="clear" w:pos="1985"/>
        <w:tab w:val="left" w:leader="dot" w:pos="7938"/>
        <w:tab w:val="center" w:pos="8789"/>
      </w:tabs>
      <w:spacing w:before="240"/>
      <w:ind w:left="567" w:hanging="567"/>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semiHidden/>
    <w:qFormat/>
  </w:style>
  <w:style w:type="paragraph" w:styleId="TOC8">
    <w:name w:val="toc 8"/>
    <w:basedOn w:val="TOC4"/>
    <w:semiHidden/>
    <w:qFormat/>
  </w:style>
  <w:style w:type="paragraph" w:styleId="Index3">
    <w:name w:val="index 3"/>
    <w:basedOn w:val="Normal"/>
    <w:next w:val="Normal"/>
    <w:semiHidden/>
    <w:qFormat/>
    <w:pPr>
      <w:ind w:left="566"/>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List">
    <w:name w:val="List"/>
    <w:basedOn w:val="Normal"/>
    <w:qFormat/>
    <w:pPr>
      <w:tabs>
        <w:tab w:val="clear" w:pos="794"/>
        <w:tab w:val="clear" w:pos="1191"/>
        <w:tab w:val="clear" w:pos="1588"/>
        <w:tab w:val="clear" w:pos="1985"/>
        <w:tab w:val="left" w:pos="1701"/>
        <w:tab w:val="left" w:pos="2127"/>
      </w:tabs>
      <w:ind w:left="2127" w:hanging="2127"/>
    </w:pPr>
  </w:style>
  <w:style w:type="paragraph" w:styleId="FootnoteText">
    <w:name w:val="footnote text"/>
    <w:basedOn w:val="Normal"/>
    <w:link w:val="FootnoteTextChar"/>
    <w:semiHidden/>
    <w:qFormat/>
    <w:pPr>
      <w:keepLines/>
      <w:tabs>
        <w:tab w:val="left" w:pos="255"/>
      </w:tabs>
      <w:ind w:left="255" w:hanging="255"/>
    </w:pPr>
  </w:style>
  <w:style w:type="paragraph" w:styleId="TOC6">
    <w:name w:val="toc 6"/>
    <w:basedOn w:val="TOC4"/>
    <w:semiHidden/>
    <w:qFormat/>
  </w:style>
  <w:style w:type="paragraph" w:styleId="BodyTextIndent3">
    <w:name w:val="Body Text Indent 3"/>
    <w:basedOn w:val="Normal"/>
    <w:link w:val="BodyTextIndent3Char"/>
    <w:qFormat/>
    <w:pPr>
      <w:spacing w:before="0"/>
      <w:ind w:firstLine="601"/>
      <w:textAlignment w:val="auto"/>
    </w:pPr>
    <w:rPr>
      <w:sz w:val="22"/>
      <w:lang w:val="fr-FR" w:eastAsia="zh-CN"/>
    </w:rPr>
  </w:style>
  <w:style w:type="paragraph" w:styleId="Index7">
    <w:name w:val="index 7"/>
    <w:basedOn w:val="Normal"/>
    <w:next w:val="Normal"/>
    <w:semiHidden/>
    <w:qFormat/>
    <w:pPr>
      <w:ind w:left="1698"/>
    </w:pPr>
  </w:style>
  <w:style w:type="paragraph" w:styleId="TOC9">
    <w:name w:val="toc 9"/>
    <w:basedOn w:val="TOC4"/>
    <w:semiHidden/>
    <w:qFormat/>
  </w:style>
  <w:style w:type="paragraph" w:styleId="Index2">
    <w:name w:val="index 2"/>
    <w:basedOn w:val="Normal"/>
    <w:next w:val="Normal"/>
    <w:semiHidden/>
    <w:qFormat/>
    <w:pPr>
      <w:ind w:left="283"/>
    </w:p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rFonts w:ascii="Calibri" w:hAnsi="Calibri"/>
      <w:color w:val="800080"/>
      <w:u w:val="single"/>
    </w:rPr>
  </w:style>
  <w:style w:type="character" w:styleId="LineNumber">
    <w:name w:val="line number"/>
    <w:basedOn w:val="DefaultParagraphFont"/>
    <w:qFormat/>
  </w:style>
  <w:style w:type="character" w:styleId="Hyperlink">
    <w:name w:val="Hyperlink"/>
    <w:basedOn w:val="DefaultParagraphFont"/>
    <w:qFormat/>
    <w:rPr>
      <w:rFonts w:eastAsia="Times New Roman"/>
      <w:color w:val="4F81BD"/>
    </w:rPr>
  </w:style>
  <w:style w:type="character" w:styleId="FootnoteReference">
    <w:name w:val="footnote reference"/>
    <w:basedOn w:val="DefaultParagraphFont"/>
    <w:semiHidden/>
    <w:qFormat/>
    <w:rPr>
      <w:position w:val="6"/>
      <w:sz w:val="18"/>
    </w:rPr>
  </w:style>
  <w:style w:type="character" w:customStyle="1" w:styleId="Heading1Char">
    <w:name w:val="Heading 1 Char"/>
    <w:basedOn w:val="DefaultParagraphFont"/>
    <w:link w:val="Heading1"/>
    <w:qFormat/>
    <w:rPr>
      <w:rFonts w:ascii="Calibri" w:hAnsi="Calibri"/>
      <w:b/>
      <w:sz w:val="28"/>
      <w:lang w:val="en-GB" w:eastAsia="en-US"/>
    </w:rPr>
  </w:style>
  <w:style w:type="character" w:customStyle="1" w:styleId="Heading2Char">
    <w:name w:val="Heading 2 Char"/>
    <w:basedOn w:val="DefaultParagraphFont"/>
    <w:link w:val="Heading2"/>
    <w:qFormat/>
    <w:rPr>
      <w:rFonts w:ascii="Calibri" w:hAnsi="Calibri"/>
      <w:b/>
      <w:sz w:val="24"/>
      <w:lang w:val="en-GB" w:eastAsia="en-US"/>
    </w:rPr>
  </w:style>
  <w:style w:type="character" w:customStyle="1" w:styleId="FooterChar">
    <w:name w:val="Footer Char"/>
    <w:basedOn w:val="DefaultParagraphFont"/>
    <w:link w:val="Footer"/>
    <w:qFormat/>
    <w:rPr>
      <w:rFonts w:ascii="Calibri" w:hAnsi="Calibri"/>
      <w:caps/>
      <w:sz w:val="16"/>
      <w:lang w:val="fr-FR" w:eastAsia="en-US"/>
    </w:rPr>
  </w:style>
  <w:style w:type="character" w:customStyle="1" w:styleId="HeaderChar">
    <w:name w:val="Header Char"/>
    <w:basedOn w:val="DefaultParagraphFont"/>
    <w:link w:val="Header"/>
    <w:uiPriority w:val="99"/>
    <w:qFormat/>
    <w:rPr>
      <w:rFonts w:ascii="Calibri" w:hAnsi="Calibri"/>
      <w:sz w:val="18"/>
      <w:lang w:val="fr-FR" w:eastAsia="en-US"/>
    </w:rPr>
  </w:style>
  <w:style w:type="character" w:customStyle="1" w:styleId="FootnoteTextChar">
    <w:name w:val="Footnote Text Char"/>
    <w:basedOn w:val="DefaultParagraphFont"/>
    <w:link w:val="FootnoteText"/>
    <w:semiHidden/>
    <w:qFormat/>
    <w:rPr>
      <w:rFonts w:ascii="Calibri" w:hAnsi="Calibri"/>
      <w:sz w:val="24"/>
      <w:lang w:val="en-GB" w:eastAsia="en-US"/>
    </w:rPr>
  </w:style>
  <w:style w:type="character" w:customStyle="1" w:styleId="BodyTextIndent3Char">
    <w:name w:val="Body Text Indent 3 Char"/>
    <w:basedOn w:val="DefaultParagraphFont"/>
    <w:link w:val="BodyTextIndent3"/>
    <w:qFormat/>
    <w:rPr>
      <w:rFonts w:ascii="Calibri" w:hAnsi="Calibri"/>
      <w:sz w:val="22"/>
      <w:lang w:val="fr-FR"/>
    </w:rPr>
  </w:style>
  <w:style w:type="paragraph" w:customStyle="1" w:styleId="enumlev1">
    <w:name w:val="enumlev1"/>
    <w:basedOn w:val="Normal"/>
    <w:qFormat/>
    <w:pPr>
      <w:tabs>
        <w:tab w:val="left" w:pos="2608"/>
        <w:tab w:val="left" w:pos="3345"/>
      </w:tabs>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320"/>
    </w:pPr>
  </w:style>
  <w:style w:type="character" w:customStyle="1" w:styleId="NormalaftertitleChar">
    <w:name w:val="Normal after title Char"/>
    <w:link w:val="Normalaftertitle"/>
    <w:qFormat/>
    <w:locked/>
    <w:rPr>
      <w:rFonts w:ascii="Calibri" w:hAnsi="Calibri"/>
      <w:sz w:val="24"/>
      <w:lang w:val="en-GB" w:eastAsia="en-US"/>
    </w:r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1191"/>
        <w:tab w:val="clear" w:pos="1588"/>
        <w:tab w:val="clear" w:pos="1985"/>
        <w:tab w:val="center" w:pos="8789"/>
      </w:tabs>
    </w:pPr>
    <w:rPr>
      <w:b/>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qFormat/>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pPr>
      <w:spacing w:before="480"/>
      <w:jc w:val="center"/>
    </w:pPr>
    <w:rPr>
      <w:b/>
      <w:sz w:val="28"/>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link w:val="AnnextitleChar"/>
    <w:qFormat/>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paragraph" w:customStyle="1" w:styleId="AppendixNo">
    <w:name w:val="Appendix_No"/>
    <w:basedOn w:val="AnnexNo"/>
    <w:next w:val="Appendixtitle"/>
    <w:qFormat/>
  </w:style>
  <w:style w:type="paragraph" w:customStyle="1" w:styleId="Appendixtitle">
    <w:name w:val="Appendix_title"/>
    <w:basedOn w:val="Annextitle"/>
    <w:next w:val="Appendixref"/>
    <w:qFormat/>
  </w:style>
  <w:style w:type="paragraph" w:customStyle="1" w:styleId="Appendixref">
    <w:name w:val="Appendix_ref"/>
    <w:basedOn w:val="Annexref"/>
    <w:next w:val="Normalaftertitle"/>
    <w:qFormat/>
  </w:style>
  <w:style w:type="paragraph" w:customStyle="1" w:styleId="Call">
    <w:name w:val="Call"/>
    <w:basedOn w:val="Normal"/>
    <w:next w:val="Normal"/>
    <w:link w:val="CallChar"/>
    <w:qFormat/>
    <w:pPr>
      <w:keepNext/>
      <w:keepLines/>
      <w:spacing w:before="160"/>
      <w:ind w:left="794"/>
    </w:pPr>
    <w:rPr>
      <w:rFonts w:ascii="STKaiti" w:hAnsi="STKaiti"/>
    </w:rPr>
  </w:style>
  <w:style w:type="character" w:customStyle="1" w:styleId="CallChar">
    <w:name w:val="Call Char"/>
    <w:basedOn w:val="DefaultParagraphFont"/>
    <w:link w:val="Call"/>
    <w:qFormat/>
    <w:rPr>
      <w:rFonts w:ascii="STKaiti" w:hAnsi="STKaiti"/>
      <w:sz w:val="24"/>
      <w:lang w:val="en-GB" w:eastAsia="en-US"/>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rPr>
      <w:rFonts w:ascii="Calibri" w:hAnsi="Calibri"/>
    </w:rPr>
  </w:style>
  <w:style w:type="paragraph" w:customStyle="1" w:styleId="Tabletitle">
    <w:name w:val="Table_title"/>
    <w:basedOn w:val="TableNo"/>
    <w:next w:val="Tabletext"/>
    <w:qForma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pPr>
    <w:rPr>
      <w:rFonts w:ascii="STKaiti" w:hAnsi="STKaiti"/>
      <w:b w:val="0"/>
    </w:rPr>
  </w:style>
  <w:style w:type="paragraph" w:customStyle="1" w:styleId="PartNo">
    <w:name w:val="Part_No"/>
    <w:basedOn w:val="AnnexNo"/>
    <w:next w:val="Parttitle"/>
    <w:qFormat/>
  </w:style>
  <w:style w:type="paragraph" w:customStyle="1" w:styleId="Parttitle">
    <w:name w:val="Part_title"/>
    <w:basedOn w:val="Annextitle"/>
    <w:next w:val="Partref"/>
    <w:qFormat/>
    <w:rPr>
      <w:rFonts w:ascii="Calibri" w:hAnsi="Calibri"/>
    </w:rPr>
  </w:style>
  <w:style w:type="paragraph" w:customStyle="1" w:styleId="Partref">
    <w:name w:val="Part_ref"/>
    <w:basedOn w:val="Annexref"/>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spacing w:before="480"/>
      <w:jc w:val="center"/>
    </w:pPr>
    <w:rPr>
      <w:rFonts w:ascii="Times New Roman Bold" w:hAnsi="Times New Roman Bold"/>
      <w:b/>
      <w:sz w:val="28"/>
    </w:rPr>
  </w:style>
  <w:style w:type="paragraph" w:customStyle="1" w:styleId="ArtNo">
    <w:name w:val="Art_No"/>
    <w:basedOn w:val="Normal"/>
    <w:next w:val="Normal"/>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NormalCH">
    <w:name w:val="NormalCH"/>
    <w:basedOn w:val="Normal"/>
    <w:next w:val="Normal"/>
    <w:qFormat/>
    <w:pPr>
      <w:ind w:firstLineChars="200" w:firstLine="200"/>
    </w:pPr>
    <w:rPr>
      <w:szCs w:val="19"/>
      <w:lang w:eastAsia="zh-CN"/>
    </w:rPr>
  </w:style>
  <w:style w:type="paragraph" w:styleId="ListParagraph">
    <w:name w:val="List Paragraph"/>
    <w:basedOn w:val="Normal"/>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paragraph" w:customStyle="1" w:styleId="Subtitle">
    <w:name w:val="Sub_title"/>
    <w:basedOn w:val="Title1"/>
    <w:qFormat/>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qFormat/>
    <w:rPr>
      <w:color w:val="666666"/>
    </w:rPr>
  </w:style>
  <w:style w:type="character" w:customStyle="1" w:styleId="UnresolvedMention1">
    <w:name w:val="Unresolved Mention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969</Words>
  <Characters>1155</Characters>
  <Application>Microsoft Office Word</Application>
  <DocSecurity>0</DocSecurity>
  <Lines>44</Lines>
  <Paragraphs>40</Paragraphs>
  <ScaleCrop>false</ScaleCrop>
  <Manager>GBS</Manager>
  <Company>International Telecommunication Union (ITU)</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2025</dc:subject>
  <cp:keywords>C2025, C25, Council-25</cp:keywords>
  <cp:lastPrinted>2015-02-24T13:23:00Z</cp:lastPrinted>
  <dcterms:created xsi:type="dcterms:W3CDTF">2025-06-03T15:25:00Z</dcterms:created>
  <dcterms:modified xsi:type="dcterms:W3CDTF">2025-06-04T15:16:00Z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y fmtid="{D5CDD505-2E9C-101B-9397-08002B2CF9AE}" pid="9" name="KSOProductBuildVer">
    <vt:lpwstr>2052-12.1.0.18276</vt:lpwstr>
  </property>
  <property fmtid="{D5CDD505-2E9C-101B-9397-08002B2CF9AE}" pid="10" name="ICV">
    <vt:lpwstr>CA1994E5396F4B48A769EC2C4C345FCB_13</vt:lpwstr>
  </property>
  <property fmtid="{D5CDD505-2E9C-101B-9397-08002B2CF9AE}" pid="11" name="KSOTemplateDocerSaveRecord">
    <vt:lpwstr>eyJoZGlkIjoiOTJhZDQ1ZDdjYzRkMmY4ZTAyNDhkMzQ5YTc0YjNiNzQiLCJ1c2VySWQiOiIzNjA1OTAwMjIifQ==</vt:lpwstr>
  </property>
</Properties>
</file>