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0246B349" w14:textId="77777777" w:rsidTr="00E31DCE">
        <w:trPr>
          <w:cantSplit/>
          <w:trHeight w:val="23"/>
        </w:trPr>
        <w:tc>
          <w:tcPr>
            <w:tcW w:w="3969" w:type="dxa"/>
            <w:vMerge w:val="restart"/>
            <w:tcMar>
              <w:left w:w="0" w:type="dxa"/>
            </w:tcMar>
          </w:tcPr>
          <w:p w14:paraId="5307CE9D" w14:textId="1FE7FEDC"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r w:rsidR="00FB5A5F">
              <w:rPr>
                <w:rFonts w:cstheme="minorHAnsi" w:hint="eastAsia"/>
                <w:b/>
                <w:bCs/>
                <w:lang w:val="en-US" w:eastAsia="zh-CN"/>
              </w:rPr>
              <w:t>ADM</w:t>
            </w:r>
            <w:proofErr w:type="spellEnd"/>
            <w:r w:rsidR="00FB5A5F">
              <w:rPr>
                <w:rFonts w:cstheme="minorHAnsi" w:hint="eastAsia"/>
                <w:b/>
                <w:bCs/>
                <w:lang w:val="en-US" w:eastAsia="zh-CN"/>
              </w:rPr>
              <w:t xml:space="preserve"> 1</w:t>
            </w:r>
          </w:p>
        </w:tc>
        <w:tc>
          <w:tcPr>
            <w:tcW w:w="5245" w:type="dxa"/>
          </w:tcPr>
          <w:p w14:paraId="6D8E2C4F" w14:textId="7E7E9A8D"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72138B">
              <w:rPr>
                <w:b/>
                <w:lang w:val="fr-CH"/>
              </w:rPr>
              <w:t>5</w:t>
            </w:r>
            <w:r w:rsidRPr="00E24D59">
              <w:rPr>
                <w:b/>
                <w:lang w:val="fr-CH"/>
              </w:rPr>
              <w:t>/</w:t>
            </w:r>
            <w:r w:rsidR="00FB5A5F">
              <w:rPr>
                <w:rFonts w:hint="eastAsia"/>
                <w:b/>
                <w:lang w:val="fr-CH" w:eastAsia="zh-CN"/>
              </w:rPr>
              <w:t>86</w:t>
            </w:r>
            <w:r w:rsidRPr="00E24D59">
              <w:rPr>
                <w:b/>
                <w:lang w:val="fr-CH"/>
              </w:rPr>
              <w:t>-C</w:t>
            </w:r>
          </w:p>
        </w:tc>
      </w:tr>
      <w:tr w:rsidR="00E24D59" w:rsidRPr="00813E5E" w14:paraId="5D331D83" w14:textId="77777777" w:rsidTr="00E31DCE">
        <w:trPr>
          <w:cantSplit/>
        </w:trPr>
        <w:tc>
          <w:tcPr>
            <w:tcW w:w="3969" w:type="dxa"/>
            <w:vMerge/>
          </w:tcPr>
          <w:p w14:paraId="6D58B03D"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7E6E0141" w14:textId="0A9FDAAF" w:rsidR="00E24D59" w:rsidRPr="00E85629" w:rsidRDefault="00FB5A5F" w:rsidP="00E31DCE">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6</w:t>
            </w:r>
            <w:r>
              <w:rPr>
                <w:rFonts w:hint="eastAsia"/>
                <w:b/>
                <w:lang w:eastAsia="zh-CN"/>
              </w:rPr>
              <w:t>月</w:t>
            </w:r>
            <w:r>
              <w:rPr>
                <w:rFonts w:hint="eastAsia"/>
                <w:b/>
                <w:lang w:eastAsia="zh-CN"/>
              </w:rPr>
              <w:t>3</w:t>
            </w:r>
            <w:r>
              <w:rPr>
                <w:rFonts w:hint="eastAsia"/>
                <w:b/>
                <w:lang w:eastAsia="zh-CN"/>
              </w:rPr>
              <w:t>日</w:t>
            </w:r>
          </w:p>
        </w:tc>
      </w:tr>
      <w:tr w:rsidR="00E24D59" w:rsidRPr="00813E5E" w14:paraId="6064BADF" w14:textId="77777777" w:rsidTr="00E31DCE">
        <w:trPr>
          <w:cantSplit/>
          <w:trHeight w:val="23"/>
        </w:trPr>
        <w:tc>
          <w:tcPr>
            <w:tcW w:w="3969" w:type="dxa"/>
            <w:vMerge/>
          </w:tcPr>
          <w:p w14:paraId="0D001105"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5699ABE8" w14:textId="49FC901B"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r w:rsidR="00FB5A5F">
              <w:rPr>
                <w:rFonts w:cstheme="minorHAnsi" w:hint="eastAsia"/>
                <w:b/>
                <w:bCs/>
                <w:lang w:val="ru-RU"/>
              </w:rPr>
              <w:t>中文</w:t>
            </w:r>
            <w:proofErr w:type="spellEnd"/>
          </w:p>
        </w:tc>
      </w:tr>
      <w:tr w:rsidR="00E24D59" w:rsidRPr="00813E5E" w14:paraId="5D80BF1F" w14:textId="77777777" w:rsidTr="00E31DCE">
        <w:trPr>
          <w:cantSplit/>
          <w:trHeight w:val="23"/>
        </w:trPr>
        <w:tc>
          <w:tcPr>
            <w:tcW w:w="3969" w:type="dxa"/>
          </w:tcPr>
          <w:p w14:paraId="1361E3D1" w14:textId="77777777" w:rsidR="00E24D59" w:rsidRPr="00813E5E" w:rsidRDefault="00E24D59" w:rsidP="00E31DCE">
            <w:pPr>
              <w:tabs>
                <w:tab w:val="left" w:pos="851"/>
              </w:tabs>
              <w:spacing w:line="240" w:lineRule="atLeast"/>
              <w:rPr>
                <w:b/>
              </w:rPr>
            </w:pPr>
          </w:p>
        </w:tc>
        <w:tc>
          <w:tcPr>
            <w:tcW w:w="5245" w:type="dxa"/>
          </w:tcPr>
          <w:p w14:paraId="2D6D847F" w14:textId="77777777" w:rsidR="00E24D59" w:rsidRDefault="00E24D59" w:rsidP="00E31DCE">
            <w:pPr>
              <w:tabs>
                <w:tab w:val="left" w:pos="851"/>
              </w:tabs>
              <w:spacing w:before="0" w:line="240" w:lineRule="atLeast"/>
              <w:jc w:val="right"/>
              <w:rPr>
                <w:b/>
              </w:rPr>
            </w:pPr>
          </w:p>
        </w:tc>
      </w:tr>
      <w:tr w:rsidR="00E24D59" w:rsidRPr="00813E5E" w14:paraId="0397F784" w14:textId="77777777" w:rsidTr="00E31DCE">
        <w:trPr>
          <w:cantSplit/>
        </w:trPr>
        <w:tc>
          <w:tcPr>
            <w:tcW w:w="9214" w:type="dxa"/>
            <w:gridSpan w:val="2"/>
            <w:tcMar>
              <w:left w:w="0" w:type="dxa"/>
            </w:tcMar>
          </w:tcPr>
          <w:p w14:paraId="2F30F0F0" w14:textId="0D7B2F6C" w:rsidR="00E24D59" w:rsidRPr="00E24D59" w:rsidRDefault="006C56EA" w:rsidP="006C56EA">
            <w:pPr>
              <w:pStyle w:val="Source"/>
              <w:spacing w:before="840"/>
              <w:jc w:val="left"/>
              <w:rPr>
                <w:sz w:val="34"/>
                <w:szCs w:val="34"/>
                <w:lang w:eastAsia="zh-CN"/>
              </w:rPr>
            </w:pPr>
            <w:bookmarkStart w:id="5" w:name="dsource" w:colFirst="0" w:colLast="0"/>
            <w:bookmarkEnd w:id="4"/>
            <w:r w:rsidRPr="006C56EA">
              <w:rPr>
                <w:rFonts w:cstheme="minorHAnsi" w:hint="eastAsia"/>
                <w:sz w:val="34"/>
                <w:szCs w:val="34"/>
                <w:lang w:val="ru-RU" w:eastAsia="zh-CN"/>
              </w:rPr>
              <w:t>中华人民共和国、古巴共和国、</w:t>
            </w:r>
            <w:r w:rsidRPr="006C56EA">
              <w:rPr>
                <w:rFonts w:cstheme="minorHAnsi" w:hint="eastAsia"/>
                <w:sz w:val="34"/>
                <w:szCs w:val="34"/>
                <w:lang w:eastAsia="zh-CN"/>
              </w:rPr>
              <w:t>俄罗斯联邦</w:t>
            </w:r>
            <w:r w:rsidRPr="006C56EA">
              <w:rPr>
                <w:rFonts w:cstheme="minorHAnsi" w:hint="eastAsia"/>
                <w:sz w:val="34"/>
                <w:szCs w:val="34"/>
                <w:lang w:val="ru-RU" w:eastAsia="zh-CN"/>
              </w:rPr>
              <w:t>的文稿</w:t>
            </w:r>
          </w:p>
        </w:tc>
      </w:tr>
      <w:tr w:rsidR="00E24D59" w:rsidRPr="00813E5E" w14:paraId="1339FE42" w14:textId="77777777" w:rsidTr="00E31DCE">
        <w:trPr>
          <w:cantSplit/>
        </w:trPr>
        <w:tc>
          <w:tcPr>
            <w:tcW w:w="9214" w:type="dxa"/>
            <w:gridSpan w:val="2"/>
            <w:tcMar>
              <w:left w:w="0" w:type="dxa"/>
            </w:tcMar>
          </w:tcPr>
          <w:p w14:paraId="77FF2BA3" w14:textId="3BD131B0" w:rsidR="00E24D59" w:rsidRPr="00477D57" w:rsidRDefault="000D6340" w:rsidP="000D6340">
            <w:pPr>
              <w:pStyle w:val="Subtitle"/>
              <w:framePr w:hSpace="0" w:wrap="auto" w:hAnchor="text" w:xAlign="left" w:yAlign="inline"/>
              <w:tabs>
                <w:tab w:val="clear" w:pos="1701"/>
                <w:tab w:val="clear" w:pos="2268"/>
                <w:tab w:val="clear" w:pos="2835"/>
                <w:tab w:val="left" w:pos="1678"/>
              </w:tabs>
              <w:rPr>
                <w:rFonts w:eastAsia="SimSun"/>
                <w:lang w:eastAsia="zh-CN"/>
              </w:rPr>
            </w:pPr>
            <w:bookmarkStart w:id="6" w:name="dtitle1" w:colFirst="0" w:colLast="0"/>
            <w:bookmarkEnd w:id="5"/>
            <w:r w:rsidRPr="000D6340">
              <w:rPr>
                <w:rFonts w:eastAsia="SimSun" w:hint="eastAsia"/>
                <w:lang w:eastAsia="zh-CN"/>
              </w:rPr>
              <w:t>关于加强国际电</w:t>
            </w:r>
            <w:proofErr w:type="gramStart"/>
            <w:r w:rsidRPr="000D6340">
              <w:rPr>
                <w:rFonts w:eastAsia="SimSun" w:hint="eastAsia"/>
                <w:lang w:eastAsia="zh-CN"/>
              </w:rPr>
              <w:t>联预算</w:t>
            </w:r>
            <w:proofErr w:type="gramEnd"/>
            <w:r w:rsidRPr="000D6340">
              <w:rPr>
                <w:rFonts w:eastAsia="SimSun" w:hint="eastAsia"/>
                <w:lang w:eastAsia="zh-CN"/>
              </w:rPr>
              <w:t>执行效率与支出合理性的建议</w:t>
            </w:r>
          </w:p>
        </w:tc>
      </w:tr>
      <w:tr w:rsidR="00E24D59" w:rsidRPr="00813E5E" w14:paraId="739202E6" w14:textId="77777777" w:rsidTr="00E31DCE">
        <w:trPr>
          <w:cantSplit/>
        </w:trPr>
        <w:tc>
          <w:tcPr>
            <w:tcW w:w="9214" w:type="dxa"/>
            <w:gridSpan w:val="2"/>
            <w:tcBorders>
              <w:top w:val="single" w:sz="4" w:space="0" w:color="auto"/>
              <w:bottom w:val="single" w:sz="4" w:space="0" w:color="auto"/>
            </w:tcBorders>
            <w:tcMar>
              <w:left w:w="0" w:type="dxa"/>
            </w:tcMar>
          </w:tcPr>
          <w:p w14:paraId="32DBEF23" w14:textId="636C0D5E" w:rsidR="003F086E" w:rsidRPr="00477D57" w:rsidRDefault="003F086E" w:rsidP="00477D57">
            <w:pPr>
              <w:rPr>
                <w:b/>
                <w:bCs/>
                <w:lang w:eastAsia="zh-CN"/>
              </w:rPr>
            </w:pPr>
            <w:r w:rsidRPr="00477D57">
              <w:rPr>
                <w:b/>
                <w:bCs/>
                <w:lang w:eastAsia="zh-CN"/>
              </w:rPr>
              <w:t>目的</w:t>
            </w:r>
          </w:p>
          <w:p w14:paraId="3A71DE4B" w14:textId="1366542A" w:rsidR="003F086E" w:rsidRPr="000D6340" w:rsidRDefault="000D6340" w:rsidP="000D6340">
            <w:pPr>
              <w:pStyle w:val="Subtitle"/>
              <w:framePr w:hSpace="0" w:wrap="auto" w:hAnchor="text" w:xAlign="left" w:yAlign="inline"/>
              <w:tabs>
                <w:tab w:val="left" w:pos="794"/>
                <w:tab w:val="left" w:pos="1191"/>
                <w:tab w:val="left" w:pos="1588"/>
                <w:tab w:val="left" w:pos="1985"/>
              </w:tabs>
              <w:ind w:firstLineChars="200" w:firstLine="480"/>
              <w:rPr>
                <w:rFonts w:asciiTheme="minorHAnsi" w:eastAsia="SimSun" w:hAnsiTheme="minorHAnsi" w:cstheme="minorHAnsi"/>
                <w:sz w:val="24"/>
                <w:szCs w:val="24"/>
                <w:lang w:val="en-US" w:eastAsia="zh-CN"/>
              </w:rPr>
            </w:pPr>
            <w:r w:rsidRPr="000D6340">
              <w:rPr>
                <w:rFonts w:asciiTheme="minorHAnsi" w:eastAsia="SimSun" w:hAnsiTheme="minorHAnsi" w:cstheme="minorHAnsi"/>
                <w:sz w:val="24"/>
                <w:szCs w:val="24"/>
                <w:lang w:val="en-US" w:eastAsia="zh-CN"/>
              </w:rPr>
              <w:t>请</w:t>
            </w:r>
            <w:r w:rsidRPr="000D6340">
              <w:rPr>
                <w:rFonts w:asciiTheme="minorHAnsi" w:eastAsia="SimSun" w:hAnsiTheme="minorHAnsi" w:cstheme="minorHAnsi"/>
                <w:sz w:val="24"/>
                <w:szCs w:val="24"/>
                <w:lang w:val="en-US" w:eastAsia="zh-CN"/>
              </w:rPr>
              <w:t>2025</w:t>
            </w:r>
            <w:r w:rsidRPr="000D6340">
              <w:rPr>
                <w:rFonts w:asciiTheme="minorHAnsi" w:eastAsia="SimSun" w:hAnsiTheme="minorHAnsi" w:cstheme="minorHAnsi"/>
                <w:sz w:val="24"/>
                <w:szCs w:val="24"/>
                <w:lang w:val="en-US" w:eastAsia="zh-CN"/>
              </w:rPr>
              <w:t>年</w:t>
            </w:r>
            <w:r w:rsidRPr="000D6340">
              <w:rPr>
                <w:rFonts w:asciiTheme="minorHAnsi" w:eastAsia="SimSun" w:hAnsiTheme="minorHAnsi" w:cstheme="minorHAnsi"/>
                <w:sz w:val="24"/>
                <w:szCs w:val="24"/>
                <w:lang w:eastAsia="zh-CN"/>
              </w:rPr>
              <w:t>理事会考虑</w:t>
            </w:r>
            <w:r w:rsidRPr="000D6340">
              <w:rPr>
                <w:rFonts w:asciiTheme="minorHAnsi" w:eastAsia="SimSun" w:hAnsiTheme="minorHAnsi" w:cstheme="minorHAnsi"/>
                <w:sz w:val="24"/>
                <w:szCs w:val="24"/>
                <w:lang w:val="en-US" w:eastAsia="zh-CN"/>
              </w:rPr>
              <w:t>关于加强国际电</w:t>
            </w:r>
            <w:proofErr w:type="gramStart"/>
            <w:r w:rsidRPr="000D6340">
              <w:rPr>
                <w:rFonts w:asciiTheme="minorHAnsi" w:eastAsia="SimSun" w:hAnsiTheme="minorHAnsi" w:cstheme="minorHAnsi"/>
                <w:sz w:val="24"/>
                <w:szCs w:val="24"/>
                <w:lang w:val="en-US" w:eastAsia="zh-CN"/>
              </w:rPr>
              <w:t>联预算</w:t>
            </w:r>
            <w:proofErr w:type="gramEnd"/>
            <w:r w:rsidRPr="000D6340">
              <w:rPr>
                <w:rFonts w:asciiTheme="minorHAnsi" w:eastAsia="SimSun" w:hAnsiTheme="minorHAnsi" w:cstheme="minorHAnsi"/>
                <w:sz w:val="24"/>
                <w:szCs w:val="24"/>
                <w:lang w:val="en-US" w:eastAsia="zh-CN"/>
              </w:rPr>
              <w:t>执行效率与支出合理性的建议。</w:t>
            </w:r>
          </w:p>
          <w:p w14:paraId="3D69AF26" w14:textId="77777777" w:rsidR="003F086E" w:rsidRPr="00477D57" w:rsidRDefault="003F086E" w:rsidP="00477D57">
            <w:pPr>
              <w:rPr>
                <w:b/>
                <w:bCs/>
                <w:lang w:eastAsia="zh-CN"/>
              </w:rPr>
            </w:pPr>
            <w:r w:rsidRPr="00477D57">
              <w:rPr>
                <w:b/>
                <w:bCs/>
                <w:lang w:eastAsia="zh-CN"/>
              </w:rPr>
              <w:t>理事会需采取的行动</w:t>
            </w:r>
          </w:p>
          <w:p w14:paraId="1A711EB9" w14:textId="610C3A78" w:rsidR="003F086E" w:rsidRPr="000D6340" w:rsidRDefault="000D6340" w:rsidP="000D6340">
            <w:pPr>
              <w:pStyle w:val="Subtitle"/>
              <w:framePr w:hSpace="0" w:wrap="auto" w:hAnchor="text" w:xAlign="left" w:yAlign="inline"/>
              <w:tabs>
                <w:tab w:val="left" w:pos="794"/>
                <w:tab w:val="left" w:pos="1191"/>
                <w:tab w:val="left" w:pos="1588"/>
                <w:tab w:val="left" w:pos="1985"/>
              </w:tabs>
              <w:ind w:firstLineChars="200" w:firstLine="480"/>
              <w:rPr>
                <w:rFonts w:ascii="SimSun" w:eastAsia="SimSun" w:hAnsi="SimSun" w:cstheme="minorHAnsi"/>
                <w:sz w:val="24"/>
                <w:szCs w:val="24"/>
                <w:lang w:eastAsia="zh-CN"/>
              </w:rPr>
            </w:pPr>
            <w:r>
              <w:rPr>
                <w:rFonts w:ascii="SimSun" w:eastAsia="SimSun" w:hAnsi="SimSun" w:cstheme="minorHAnsi" w:hint="eastAsia"/>
                <w:sz w:val="24"/>
                <w:szCs w:val="24"/>
                <w:lang w:val="en-US" w:eastAsia="zh-CN"/>
              </w:rPr>
              <w:t>请理事会酌情</w:t>
            </w:r>
            <w:r w:rsidRPr="006537A9">
              <w:rPr>
                <w:rFonts w:ascii="SimSun" w:eastAsia="SimSun" w:hAnsi="SimSun" w:cstheme="minorHAnsi" w:hint="eastAsia"/>
                <w:b/>
                <w:bCs/>
                <w:sz w:val="24"/>
                <w:szCs w:val="24"/>
                <w:lang w:val="en-US" w:eastAsia="zh-CN"/>
              </w:rPr>
              <w:t>考虑</w:t>
            </w:r>
            <w:r>
              <w:rPr>
                <w:rFonts w:ascii="SimSun" w:eastAsia="SimSun" w:hAnsi="SimSun" w:cstheme="minorHAnsi" w:hint="eastAsia"/>
                <w:sz w:val="24"/>
                <w:szCs w:val="24"/>
                <w:lang w:val="en-US" w:eastAsia="zh-CN"/>
              </w:rPr>
              <w:t>文稿建议并采取必要行动。</w:t>
            </w:r>
          </w:p>
          <w:p w14:paraId="6DDBFEC6"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2BC9E4CC" w14:textId="77777777" w:rsidR="00E24D59" w:rsidRPr="00477D57" w:rsidRDefault="00E24D59" w:rsidP="00477D57">
            <w:pPr>
              <w:rPr>
                <w:b/>
                <w:bCs/>
                <w:lang w:eastAsia="zh-CN"/>
              </w:rPr>
            </w:pPr>
            <w:r w:rsidRPr="00477D57">
              <w:rPr>
                <w:rFonts w:hint="eastAsia"/>
                <w:b/>
                <w:bCs/>
                <w:lang w:eastAsia="zh-CN"/>
              </w:rPr>
              <w:t>参考文件</w:t>
            </w:r>
          </w:p>
          <w:p w14:paraId="25B7B137" w14:textId="07804C79"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eastAsia="zh-CN"/>
              </w:rPr>
              <w:t>总秘书处行政管理和财务部的重组（</w:t>
            </w:r>
            <w:r w:rsidR="00CE593F" w:rsidRPr="00CE593F">
              <w:rPr>
                <w:szCs w:val="24"/>
                <w:u w:val="single"/>
              </w:rPr>
              <w:fldChar w:fldCharType="begin"/>
            </w:r>
            <w:r w:rsidR="00CE593F" w:rsidRPr="00CE593F">
              <w:rPr>
                <w:szCs w:val="24"/>
                <w:u w:val="single"/>
                <w:lang w:eastAsia="zh-CN"/>
              </w:rPr>
              <w:instrText>HYPERLINK "http://www.itu.int/md/S11-CL-C-0018/en"</w:instrText>
            </w:r>
            <w:r w:rsidR="00CE593F" w:rsidRPr="00CE593F">
              <w:rPr>
                <w:szCs w:val="24"/>
                <w:u w:val="single"/>
              </w:rPr>
            </w:r>
            <w:r w:rsidR="00CE593F" w:rsidRPr="00CE593F">
              <w:rPr>
                <w:szCs w:val="24"/>
                <w:u w:val="single"/>
              </w:rPr>
              <w:fldChar w:fldCharType="separate"/>
            </w:r>
            <w:r w:rsidR="00CE593F" w:rsidRPr="00CE593F">
              <w:rPr>
                <w:rStyle w:val="Hyperlink"/>
                <w:rFonts w:eastAsiaTheme="minorEastAsia"/>
                <w:i/>
                <w:iCs/>
                <w:szCs w:val="24"/>
                <w:u w:val="single"/>
                <w:lang w:val="en-US" w:eastAsia="zh-CN"/>
              </w:rPr>
              <w:t>C11/18</w:t>
            </w:r>
            <w:r w:rsidR="00CE593F" w:rsidRPr="00CE593F">
              <w:rPr>
                <w:szCs w:val="24"/>
                <w:u w:val="single"/>
              </w:rPr>
              <w:fldChar w:fldCharType="end"/>
            </w:r>
            <w:r w:rsidRPr="00FC0B6E">
              <w:rPr>
                <w:rFonts w:asciiTheme="minorHAnsi" w:hAnsiTheme="minorHAnsi" w:cstheme="minorHAnsi"/>
                <w:szCs w:val="24"/>
                <w:lang w:eastAsia="zh-CN"/>
              </w:rPr>
              <w:t>）</w:t>
            </w:r>
          </w:p>
          <w:p w14:paraId="55C09CF5" w14:textId="7EB5B30F"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eastAsia="zh-CN"/>
              </w:rPr>
              <w:t>理事会第</w:t>
            </w:r>
            <w:hyperlink r:id="rId8" w:history="1">
              <w:r w:rsidR="00CE593F" w:rsidRPr="00CE593F">
                <w:rPr>
                  <w:rFonts w:asciiTheme="minorHAnsi" w:eastAsiaTheme="minorEastAsia" w:hAnsiTheme="minorHAnsi" w:cstheme="minorHAnsi"/>
                  <w:i/>
                  <w:iCs/>
                  <w:noProof/>
                  <w:color w:val="4F81BD" w:themeColor="accent1"/>
                  <w:szCs w:val="24"/>
                  <w:u w:val="single"/>
                  <w:lang w:val="en-US" w:eastAsia="zh-CN"/>
                </w:rPr>
                <w:t>1412</w:t>
              </w:r>
            </w:hyperlink>
            <w:r w:rsidRPr="00FC0B6E">
              <w:rPr>
                <w:rFonts w:asciiTheme="minorHAnsi" w:hAnsiTheme="minorHAnsi" w:cstheme="minorHAnsi"/>
                <w:szCs w:val="24"/>
                <w:lang w:eastAsia="zh-CN"/>
              </w:rPr>
              <w:t>号决议（</w:t>
            </w:r>
            <w:r w:rsidRPr="007E2EB8">
              <w:rPr>
                <w:rFonts w:asciiTheme="minorHAnsi" w:hAnsiTheme="minorHAnsi" w:cstheme="minorHAnsi"/>
                <w:i/>
                <w:iCs/>
                <w:color w:val="000000" w:themeColor="text1"/>
                <w:szCs w:val="24"/>
                <w:lang w:eastAsia="zh-CN"/>
              </w:rPr>
              <w:t>C23-EXT</w:t>
            </w:r>
            <w:r w:rsidRPr="00FC0B6E">
              <w:rPr>
                <w:rFonts w:asciiTheme="minorHAnsi" w:hAnsiTheme="minorHAnsi" w:cstheme="minorHAnsi"/>
                <w:szCs w:val="24"/>
                <w:lang w:eastAsia="zh-CN"/>
              </w:rPr>
              <w:t>）</w:t>
            </w:r>
          </w:p>
          <w:p w14:paraId="101BE786" w14:textId="4249F350"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eastAsia="zh-CN"/>
              </w:rPr>
              <w:t>实现组织卓越性的转型路线图（</w:t>
            </w:r>
            <w:r w:rsidR="00CC286F">
              <w:fldChar w:fldCharType="begin"/>
            </w:r>
            <w:r w:rsidR="00CC286F">
              <w:rPr>
                <w:lang w:eastAsia="zh-CN"/>
              </w:rPr>
              <w:instrText>HYPERLINK "https://www.itu.int/md/S23-CL-C-0052/en"</w:instrText>
            </w:r>
            <w:r w:rsidR="00CC286F">
              <w:fldChar w:fldCharType="separate"/>
            </w:r>
            <w:r w:rsidR="00CC286F" w:rsidRPr="00CC286F">
              <w:rPr>
                <w:rStyle w:val="Hyperlink"/>
                <w:rFonts w:eastAsiaTheme="minorEastAsia"/>
                <w:i/>
                <w:iCs/>
                <w:szCs w:val="24"/>
                <w:u w:val="single"/>
                <w:lang w:val="en-US" w:eastAsia="zh-CN"/>
              </w:rPr>
              <w:t>C23/52</w:t>
            </w:r>
            <w:r w:rsidR="00CC286F">
              <w:fldChar w:fldCharType="end"/>
            </w:r>
            <w:r w:rsidR="00CC286F" w:rsidRPr="00CC286F">
              <w:rPr>
                <w:rStyle w:val="normaltextrun"/>
                <w:rFonts w:asciiTheme="minorHAnsi" w:eastAsiaTheme="minorEastAsia" w:hAnsiTheme="minorHAnsi" w:cstheme="minorHAnsi" w:hint="eastAsia"/>
                <w:i/>
                <w:iCs/>
                <w:color w:val="000000" w:themeColor="text1"/>
                <w:szCs w:val="24"/>
                <w:lang w:eastAsia="zh-CN"/>
              </w:rPr>
              <w:t>、</w:t>
            </w:r>
            <w:hyperlink r:id="rId9" w:history="1">
              <w:r w:rsidR="00CC286F" w:rsidRPr="00CC286F">
                <w:rPr>
                  <w:rStyle w:val="Hyperlink"/>
                  <w:rFonts w:eastAsiaTheme="minorEastAsia"/>
                  <w:i/>
                  <w:iCs/>
                  <w:szCs w:val="24"/>
                  <w:u w:val="single"/>
                  <w:lang w:eastAsia="zh-CN"/>
                </w:rPr>
                <w:t>C24/52</w:t>
              </w:r>
            </w:hyperlink>
            <w:r w:rsidRPr="00FC0B6E">
              <w:rPr>
                <w:rFonts w:asciiTheme="minorHAnsi" w:hAnsiTheme="minorHAnsi" w:cstheme="minorHAnsi"/>
                <w:szCs w:val="24"/>
                <w:lang w:eastAsia="zh-CN"/>
              </w:rPr>
              <w:t>）</w:t>
            </w:r>
          </w:p>
          <w:p w14:paraId="7BE76B78" w14:textId="5FC22E6B"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eastAsia="zh-CN"/>
              </w:rPr>
              <w:t>财务管理转型计划（</w:t>
            </w:r>
            <w:r w:rsidR="00031F26" w:rsidRPr="00031F26">
              <w:rPr>
                <w:szCs w:val="24"/>
                <w:u w:val="single"/>
              </w:rPr>
              <w:fldChar w:fldCharType="begin"/>
            </w:r>
            <w:r w:rsidR="00031F26" w:rsidRPr="002D2AD2">
              <w:rPr>
                <w:szCs w:val="24"/>
                <w:u w:val="single"/>
                <w:lang w:val="en-US" w:eastAsia="zh-CN"/>
              </w:rPr>
              <w:instrText>HYPERLINK "https://www.itu.int/md/S23-CL-C-0050/en"</w:instrText>
            </w:r>
            <w:r w:rsidR="00031F26" w:rsidRPr="00031F26">
              <w:rPr>
                <w:szCs w:val="24"/>
                <w:u w:val="single"/>
              </w:rPr>
            </w:r>
            <w:r w:rsidR="00031F26" w:rsidRPr="00031F26">
              <w:rPr>
                <w:szCs w:val="24"/>
                <w:u w:val="single"/>
              </w:rPr>
              <w:fldChar w:fldCharType="separate"/>
            </w:r>
            <w:r w:rsidR="00031F26" w:rsidRPr="002D2AD2">
              <w:rPr>
                <w:rStyle w:val="Hyperlink"/>
                <w:rFonts w:eastAsiaTheme="minorEastAsia"/>
                <w:i/>
                <w:iCs/>
                <w:szCs w:val="24"/>
                <w:u w:val="single"/>
                <w:lang w:val="en-US" w:eastAsia="zh-CN"/>
              </w:rPr>
              <w:t>C23/50</w:t>
            </w:r>
            <w:r w:rsidR="00031F26" w:rsidRPr="00031F26">
              <w:rPr>
                <w:szCs w:val="24"/>
                <w:u w:val="single"/>
              </w:rPr>
              <w:fldChar w:fldCharType="end"/>
            </w:r>
            <w:r w:rsidRPr="00FC0B6E">
              <w:rPr>
                <w:rFonts w:asciiTheme="minorHAnsi" w:hAnsiTheme="minorHAnsi" w:cstheme="minorHAnsi"/>
                <w:szCs w:val="24"/>
                <w:lang w:eastAsia="zh-CN"/>
              </w:rPr>
              <w:t>）</w:t>
            </w:r>
            <w:bookmarkStart w:id="7" w:name="lt_pId010"/>
          </w:p>
          <w:p w14:paraId="7BB9B4C4" w14:textId="2846B45C"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lang w:eastAsia="zh-CN"/>
              </w:rPr>
              <w:t>关于设立监督处的提案</w:t>
            </w:r>
            <w:bookmarkEnd w:id="7"/>
            <w:r w:rsidRPr="00FC0B6E">
              <w:rPr>
                <w:rFonts w:asciiTheme="minorHAnsi" w:hAnsiTheme="minorHAnsi" w:cstheme="minorHAnsi"/>
                <w:szCs w:val="24"/>
                <w:lang w:val="en-US" w:eastAsia="zh-CN"/>
              </w:rPr>
              <w:t>（</w:t>
            </w:r>
            <w:hyperlink r:id="rId10" w:history="1">
              <w:r w:rsidR="0056616E" w:rsidRPr="0056616E">
                <w:rPr>
                  <w:rStyle w:val="Hyperlink"/>
                  <w:rFonts w:eastAsiaTheme="minorEastAsia"/>
                  <w:i/>
                  <w:iCs/>
                  <w:szCs w:val="24"/>
                  <w:u w:val="single"/>
                  <w:lang w:eastAsia="zh-CN"/>
                </w:rPr>
                <w:t>C23/53</w:t>
              </w:r>
            </w:hyperlink>
            <w:r w:rsidR="0056616E">
              <w:rPr>
                <w:rStyle w:val="normaltextrun"/>
                <w:rFonts w:asciiTheme="minorHAnsi" w:eastAsiaTheme="minorEastAsia" w:hAnsiTheme="minorHAnsi" w:cstheme="minorHAnsi" w:hint="eastAsia"/>
                <w:i/>
                <w:iCs/>
                <w:color w:val="000000" w:themeColor="text1"/>
                <w:szCs w:val="24"/>
                <w:lang w:val="en-US" w:eastAsia="zh-CN"/>
              </w:rPr>
              <w:t>、</w:t>
            </w:r>
            <w:hyperlink r:id="rId11" w:history="1">
              <w:r w:rsidR="0056616E" w:rsidRPr="0056616E">
                <w:rPr>
                  <w:rStyle w:val="Hyperlink"/>
                  <w:rFonts w:eastAsiaTheme="minorEastAsia"/>
                  <w:i/>
                  <w:iCs/>
                  <w:szCs w:val="24"/>
                  <w:u w:val="single"/>
                  <w:lang w:eastAsia="zh-CN"/>
                </w:rPr>
                <w:t>C23/DL/6</w:t>
              </w:r>
            </w:hyperlink>
            <w:r w:rsidRPr="00FC0B6E">
              <w:rPr>
                <w:rFonts w:asciiTheme="minorHAnsi" w:hAnsiTheme="minorHAnsi" w:cstheme="minorHAnsi"/>
                <w:szCs w:val="24"/>
                <w:lang w:val="en-US" w:eastAsia="zh-CN"/>
              </w:rPr>
              <w:t>）</w:t>
            </w:r>
          </w:p>
          <w:p w14:paraId="49BE8D39" w14:textId="1A9F6606"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val="en-US" w:eastAsia="zh-CN"/>
              </w:rPr>
              <w:t>2022</w:t>
            </w:r>
            <w:r w:rsidRPr="00FC0B6E">
              <w:rPr>
                <w:rFonts w:asciiTheme="minorHAnsi" w:hAnsiTheme="minorHAnsi" w:cstheme="minorHAnsi"/>
                <w:szCs w:val="24"/>
                <w:lang w:eastAsia="zh-CN"/>
              </w:rPr>
              <w:t>财年财务工作报告（</w:t>
            </w:r>
            <w:r w:rsidR="006B6145" w:rsidRPr="006B6145">
              <w:rPr>
                <w:szCs w:val="24"/>
                <w:u w:val="single"/>
              </w:rPr>
              <w:fldChar w:fldCharType="begin"/>
            </w:r>
            <w:r w:rsidR="006B6145" w:rsidRPr="006B6145">
              <w:rPr>
                <w:szCs w:val="24"/>
                <w:u w:val="single"/>
                <w:lang w:eastAsia="zh-CN"/>
              </w:rPr>
              <w:instrText>HYPERLINK "https://www.itu.int/md/S24-CL-C-0040/en"</w:instrText>
            </w:r>
            <w:r w:rsidR="006B6145" w:rsidRPr="006B6145">
              <w:rPr>
                <w:szCs w:val="24"/>
                <w:u w:val="single"/>
              </w:rPr>
            </w:r>
            <w:r w:rsidR="006B6145" w:rsidRPr="006B6145">
              <w:rPr>
                <w:szCs w:val="24"/>
                <w:u w:val="single"/>
              </w:rPr>
              <w:fldChar w:fldCharType="separate"/>
            </w:r>
            <w:r w:rsidR="006B6145" w:rsidRPr="006B6145">
              <w:rPr>
                <w:rStyle w:val="Hyperlink"/>
                <w:rFonts w:eastAsiaTheme="minorEastAsia"/>
                <w:i/>
                <w:iCs/>
                <w:szCs w:val="24"/>
                <w:u w:val="single"/>
                <w:lang w:eastAsia="zh-CN"/>
              </w:rPr>
              <w:t>C24/40</w:t>
            </w:r>
            <w:r w:rsidR="006B6145" w:rsidRPr="006B6145">
              <w:rPr>
                <w:szCs w:val="24"/>
                <w:u w:val="single"/>
              </w:rPr>
              <w:fldChar w:fldCharType="end"/>
            </w:r>
            <w:r w:rsidRPr="00FC0B6E">
              <w:rPr>
                <w:rFonts w:asciiTheme="minorHAnsi" w:hAnsiTheme="minorHAnsi" w:cstheme="minorHAnsi"/>
                <w:szCs w:val="24"/>
                <w:lang w:eastAsia="zh-CN"/>
              </w:rPr>
              <w:t>）</w:t>
            </w:r>
          </w:p>
          <w:p w14:paraId="67D9D145" w14:textId="507540B0"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val="en-US" w:eastAsia="zh-CN"/>
              </w:rPr>
              <w:t>2023</w:t>
            </w:r>
            <w:r w:rsidRPr="00FC0B6E">
              <w:rPr>
                <w:rFonts w:asciiTheme="minorHAnsi" w:hAnsiTheme="minorHAnsi" w:cstheme="minorHAnsi"/>
                <w:szCs w:val="24"/>
                <w:lang w:val="en-US" w:eastAsia="zh-CN"/>
              </w:rPr>
              <w:t>财年财务工作报告（</w:t>
            </w:r>
            <w:r w:rsidR="00FA288D" w:rsidRPr="00FA288D">
              <w:rPr>
                <w:szCs w:val="24"/>
                <w:u w:val="single"/>
              </w:rPr>
              <w:fldChar w:fldCharType="begin"/>
            </w:r>
            <w:r w:rsidR="00FA288D" w:rsidRPr="00FA288D">
              <w:rPr>
                <w:szCs w:val="24"/>
                <w:u w:val="single"/>
                <w:lang w:eastAsia="zh-CN"/>
              </w:rPr>
              <w:instrText>HYPERLINK "https://www.itu.int/md/S24-CL-C-0043/en"</w:instrText>
            </w:r>
            <w:r w:rsidR="00FA288D" w:rsidRPr="00FA288D">
              <w:rPr>
                <w:szCs w:val="24"/>
                <w:u w:val="single"/>
              </w:rPr>
            </w:r>
            <w:r w:rsidR="00FA288D" w:rsidRPr="00FA288D">
              <w:rPr>
                <w:szCs w:val="24"/>
                <w:u w:val="single"/>
              </w:rPr>
              <w:fldChar w:fldCharType="separate"/>
            </w:r>
            <w:r w:rsidR="00FA288D" w:rsidRPr="00FA288D">
              <w:rPr>
                <w:rStyle w:val="Hyperlink"/>
                <w:rFonts w:eastAsiaTheme="minorEastAsia"/>
                <w:i/>
                <w:iCs/>
                <w:szCs w:val="24"/>
                <w:u w:val="single"/>
                <w:lang w:eastAsia="zh-CN"/>
              </w:rPr>
              <w:t>C24/43</w:t>
            </w:r>
            <w:r w:rsidR="00FA288D" w:rsidRPr="00FA288D">
              <w:rPr>
                <w:szCs w:val="24"/>
                <w:u w:val="single"/>
              </w:rPr>
              <w:fldChar w:fldCharType="end"/>
            </w:r>
            <w:r w:rsidRPr="00FC0B6E">
              <w:rPr>
                <w:rFonts w:asciiTheme="minorHAnsi" w:hAnsiTheme="minorHAnsi" w:cstheme="minorHAnsi"/>
                <w:szCs w:val="24"/>
                <w:lang w:val="en-US" w:eastAsia="zh-CN"/>
              </w:rPr>
              <w:t>）</w:t>
            </w:r>
          </w:p>
          <w:p w14:paraId="129E7658" w14:textId="16D99EBD" w:rsidR="00CE593F"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szCs w:val="24"/>
                <w:lang w:val="en-US" w:eastAsia="zh-CN"/>
              </w:rPr>
              <w:t>外部审计员关于国际电联</w:t>
            </w:r>
            <w:r w:rsidRPr="00FC0B6E">
              <w:rPr>
                <w:rFonts w:asciiTheme="minorHAnsi" w:hAnsiTheme="minorHAnsi" w:cstheme="minorHAnsi"/>
                <w:szCs w:val="24"/>
                <w:lang w:val="en-US" w:eastAsia="zh-CN"/>
              </w:rPr>
              <w:t>2023</w:t>
            </w:r>
            <w:r w:rsidRPr="00FC0B6E">
              <w:rPr>
                <w:rFonts w:asciiTheme="minorHAnsi" w:hAnsiTheme="minorHAnsi" w:cstheme="minorHAnsi"/>
                <w:szCs w:val="24"/>
                <w:lang w:val="en-US" w:eastAsia="zh-CN"/>
              </w:rPr>
              <w:t>年财务报表和</w:t>
            </w:r>
            <w:r w:rsidRPr="00FC0B6E">
              <w:rPr>
                <w:rFonts w:asciiTheme="minorHAnsi" w:hAnsiTheme="minorHAnsi" w:cstheme="minorHAnsi"/>
                <w:szCs w:val="24"/>
                <w:lang w:val="en-US" w:eastAsia="zh-CN"/>
              </w:rPr>
              <w:t>2023</w:t>
            </w:r>
            <w:r w:rsidRPr="00FC0B6E">
              <w:rPr>
                <w:rFonts w:asciiTheme="minorHAnsi" w:hAnsiTheme="minorHAnsi" w:cstheme="minorHAnsi"/>
                <w:szCs w:val="24"/>
                <w:lang w:val="en-US" w:eastAsia="zh-CN"/>
              </w:rPr>
              <w:t>年财务工作报告的报告（</w:t>
            </w:r>
            <w:r w:rsidR="00FA288D" w:rsidRPr="00FA288D">
              <w:rPr>
                <w:szCs w:val="24"/>
              </w:rPr>
              <w:fldChar w:fldCharType="begin"/>
            </w:r>
            <w:r w:rsidR="00FA288D" w:rsidRPr="00FA288D">
              <w:rPr>
                <w:szCs w:val="24"/>
                <w:lang w:eastAsia="zh-CN"/>
              </w:rPr>
              <w:instrText>HYPERLINK "https://www.itu.int/md/S24-CL-C-0144/en"</w:instrText>
            </w:r>
            <w:r w:rsidR="00FA288D" w:rsidRPr="00FA288D">
              <w:rPr>
                <w:szCs w:val="24"/>
              </w:rPr>
            </w:r>
            <w:r w:rsidR="00FA288D" w:rsidRPr="00FA288D">
              <w:rPr>
                <w:szCs w:val="24"/>
              </w:rPr>
              <w:fldChar w:fldCharType="separate"/>
            </w:r>
            <w:r w:rsidR="00FA288D" w:rsidRPr="00FA288D">
              <w:rPr>
                <w:rFonts w:eastAsiaTheme="minorEastAsia"/>
                <w:i/>
                <w:iCs/>
                <w:color w:val="4F81BD" w:themeColor="accent1"/>
                <w:szCs w:val="24"/>
                <w:u w:val="single"/>
                <w:lang w:eastAsia="zh-CN"/>
              </w:rPr>
              <w:t>C24/144</w:t>
            </w:r>
            <w:r w:rsidR="00FA288D" w:rsidRPr="00FA288D">
              <w:rPr>
                <w:szCs w:val="24"/>
              </w:rPr>
              <w:fldChar w:fldCharType="end"/>
            </w:r>
            <w:r w:rsidRPr="00FC0B6E">
              <w:rPr>
                <w:rFonts w:asciiTheme="minorHAnsi" w:hAnsiTheme="minorHAnsi" w:cstheme="minorHAnsi"/>
                <w:szCs w:val="24"/>
                <w:lang w:val="en-US" w:eastAsia="zh-CN"/>
              </w:rPr>
              <w:t>）</w:t>
            </w:r>
          </w:p>
          <w:p w14:paraId="7B5B2B1D" w14:textId="6E1B438E" w:rsidR="00E24D59" w:rsidRPr="00FC0B6E" w:rsidRDefault="000D6340" w:rsidP="00CE593F">
            <w:pPr>
              <w:spacing w:before="60" w:after="160"/>
              <w:rPr>
                <w:rFonts w:asciiTheme="minorHAnsi" w:hAnsiTheme="minorHAnsi" w:cstheme="minorHAnsi"/>
                <w:szCs w:val="24"/>
                <w:lang w:val="en-US" w:eastAsia="zh-CN"/>
              </w:rPr>
            </w:pPr>
            <w:r w:rsidRPr="00FC0B6E">
              <w:rPr>
                <w:rFonts w:asciiTheme="minorHAnsi" w:hAnsiTheme="minorHAnsi" w:cstheme="minorHAnsi"/>
                <w:lang w:val="en-US" w:eastAsia="zh-CN"/>
              </w:rPr>
              <w:t>第三</w:t>
            </w:r>
            <w:proofErr w:type="gramStart"/>
            <w:r w:rsidRPr="00FC0B6E">
              <w:rPr>
                <w:rFonts w:asciiTheme="minorHAnsi" w:hAnsiTheme="minorHAnsi" w:cstheme="minorHAnsi"/>
                <w:lang w:val="en-US" w:eastAsia="zh-CN"/>
              </w:rPr>
              <w:t>方咨询</w:t>
            </w:r>
            <w:proofErr w:type="gramEnd"/>
            <w:r w:rsidRPr="00FC0B6E">
              <w:rPr>
                <w:rFonts w:asciiTheme="minorHAnsi" w:hAnsiTheme="minorHAnsi" w:cstheme="minorHAnsi"/>
                <w:lang w:val="en-US" w:eastAsia="zh-CN"/>
              </w:rPr>
              <w:t>公司使用情况更新（</w:t>
            </w:r>
            <w:r w:rsidR="00611327" w:rsidRPr="00611327">
              <w:rPr>
                <w:szCs w:val="24"/>
                <w:u w:val="single"/>
              </w:rPr>
              <w:fldChar w:fldCharType="begin"/>
            </w:r>
            <w:r w:rsidR="00611327" w:rsidRPr="00611327">
              <w:rPr>
                <w:szCs w:val="24"/>
                <w:u w:val="single"/>
              </w:rPr>
              <w:instrText>HYPERLINK "https://www.itu.int/md/S25-CWGFHR20-INF-0001/en"</w:instrText>
            </w:r>
            <w:r w:rsidR="00611327" w:rsidRPr="00611327">
              <w:rPr>
                <w:szCs w:val="24"/>
                <w:u w:val="single"/>
              </w:rPr>
            </w:r>
            <w:r w:rsidR="00611327" w:rsidRPr="00611327">
              <w:rPr>
                <w:szCs w:val="24"/>
                <w:u w:val="single"/>
              </w:rPr>
              <w:fldChar w:fldCharType="separate"/>
            </w:r>
            <w:r w:rsidR="00611327" w:rsidRPr="00611327">
              <w:rPr>
                <w:rStyle w:val="Hyperlink"/>
                <w:rFonts w:eastAsiaTheme="minorEastAsia"/>
                <w:i/>
                <w:iCs/>
                <w:szCs w:val="24"/>
                <w:u w:val="single"/>
              </w:rPr>
              <w:t>CWG-FHR-20/INF/1</w:t>
            </w:r>
            <w:r w:rsidR="00611327" w:rsidRPr="00611327">
              <w:rPr>
                <w:szCs w:val="24"/>
                <w:u w:val="single"/>
              </w:rPr>
              <w:fldChar w:fldCharType="end"/>
            </w:r>
            <w:r w:rsidRPr="00FC0B6E">
              <w:rPr>
                <w:rFonts w:asciiTheme="minorHAnsi" w:hAnsiTheme="minorHAnsi" w:cstheme="minorHAnsi"/>
                <w:lang w:val="en-US" w:eastAsia="zh-CN"/>
              </w:rPr>
              <w:t>）</w:t>
            </w:r>
          </w:p>
        </w:tc>
      </w:tr>
      <w:bookmarkEnd w:id="2"/>
      <w:bookmarkEnd w:id="6"/>
    </w:tbl>
    <w:p w14:paraId="43862C1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0D553B0E"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109C474" w14:textId="4DC1B54F" w:rsidR="007E0514" w:rsidRDefault="007E0514" w:rsidP="00352F4C">
      <w:pPr>
        <w:pStyle w:val="Heading1"/>
        <w:rPr>
          <w:lang w:val="en-US" w:eastAsia="zh-CN"/>
        </w:rPr>
      </w:pPr>
      <w:r>
        <w:rPr>
          <w:lang w:val="en-US" w:eastAsia="zh-CN"/>
        </w:rPr>
        <w:lastRenderedPageBreak/>
        <w:t>1</w:t>
      </w:r>
      <w:r w:rsidR="00352F4C">
        <w:rPr>
          <w:lang w:val="en-US" w:eastAsia="zh-CN"/>
        </w:rPr>
        <w:tab/>
      </w:r>
      <w:r>
        <w:rPr>
          <w:rFonts w:hint="eastAsia"/>
          <w:lang w:val="en-US" w:eastAsia="zh-CN"/>
        </w:rPr>
        <w:t>背景</w:t>
      </w:r>
    </w:p>
    <w:p w14:paraId="2EC27347" w14:textId="77777777" w:rsidR="007E0514" w:rsidRDefault="007E0514" w:rsidP="00352F4C">
      <w:pPr>
        <w:ind w:firstLineChars="200" w:firstLine="480"/>
        <w:rPr>
          <w:lang w:val="en-US" w:eastAsia="zh-CN"/>
        </w:rPr>
      </w:pPr>
      <w:r>
        <w:rPr>
          <w:rFonts w:hint="eastAsia"/>
          <w:lang w:val="en-US" w:eastAsia="zh-CN"/>
        </w:rPr>
        <w:t>当前，联合国系统正面临严峻的系统性资金危机，财政可持续性受到多重挑战。国际电联作为联合国负责信息和通信技术的专门机构，同样面临内外交困的预算执行压力。过去几年，国际电联为适应不断变化的国际环境和组织发展需求，制定了一系列改革举措，并提出成立监督处、性别与青年办公室、特别举措、转型团队等新的部门。改革举措涉及较大资金需求且主要依赖于常规预算，其实施可能导致国际电联原定用于优先领域和已获授权但尚未取得资金支持项目（</w:t>
      </w:r>
      <w:r>
        <w:rPr>
          <w:rFonts w:hint="eastAsia"/>
          <w:lang w:val="en-US" w:eastAsia="zh-CN"/>
        </w:rPr>
        <w:t>UMAC</w:t>
      </w:r>
      <w:r>
        <w:rPr>
          <w:rFonts w:hint="eastAsia"/>
          <w:lang w:val="en-US" w:eastAsia="zh-CN"/>
        </w:rPr>
        <w:t>）的预算资源被挤占挪用，对组织造成额外财务压力。同时，增设岗位和人力扩充等做法进一步增加了运营成本，对预算执行构成更大挑战。</w:t>
      </w:r>
    </w:p>
    <w:p w14:paraId="74CD3C2A" w14:textId="77777777" w:rsidR="007E0514" w:rsidRDefault="007E0514" w:rsidP="00352F4C">
      <w:pPr>
        <w:ind w:firstLineChars="200" w:firstLine="480"/>
        <w:rPr>
          <w:lang w:val="en-US" w:eastAsia="zh-CN"/>
        </w:rPr>
      </w:pPr>
      <w:r>
        <w:rPr>
          <w:rFonts w:hint="eastAsia"/>
          <w:lang w:val="en-US" w:eastAsia="zh-CN"/>
        </w:rPr>
        <w:t>主要发现包括：</w:t>
      </w:r>
    </w:p>
    <w:p w14:paraId="0089FB24" w14:textId="06FCE72B" w:rsidR="007E0514" w:rsidRDefault="007E0514" w:rsidP="000B2B87">
      <w:pPr>
        <w:pStyle w:val="enumlev1"/>
        <w:rPr>
          <w:rFonts w:cstheme="minorEastAsia"/>
          <w:lang w:val="en-US" w:eastAsia="zh-CN"/>
        </w:rPr>
      </w:pPr>
      <w:r>
        <w:rPr>
          <w:rFonts w:cstheme="minorEastAsia"/>
          <w:lang w:val="en-US" w:eastAsia="zh-CN"/>
        </w:rPr>
        <w:t>1</w:t>
      </w:r>
      <w:r w:rsidR="00352F4C">
        <w:rPr>
          <w:rFonts w:cstheme="minorEastAsia" w:hint="eastAsia"/>
          <w:lang w:val="en-US" w:eastAsia="zh-CN"/>
        </w:rPr>
        <w:t>)</w:t>
      </w:r>
      <w:r w:rsidR="00352F4C">
        <w:rPr>
          <w:rFonts w:cstheme="minorEastAsia"/>
          <w:lang w:val="en-US" w:eastAsia="zh-CN"/>
        </w:rPr>
        <w:tab/>
      </w:r>
      <w:r>
        <w:rPr>
          <w:rFonts w:hint="eastAsia"/>
          <w:lang w:val="en-US" w:eastAsia="zh-CN"/>
        </w:rPr>
        <w:t>系列改革与转型举措</w:t>
      </w:r>
      <w:r>
        <w:rPr>
          <w:rFonts w:cstheme="minorEastAsia" w:hint="eastAsia"/>
          <w:lang w:val="en-US" w:eastAsia="zh-CN"/>
        </w:rPr>
        <w:t>涉及较大资金需求</w:t>
      </w:r>
      <w:r>
        <w:rPr>
          <w:rFonts w:hint="eastAsia"/>
          <w:lang w:val="en-US" w:eastAsia="zh-CN"/>
        </w:rPr>
        <w:t>，将进一步加剧国际电联在落实</w:t>
      </w:r>
      <w:r>
        <w:rPr>
          <w:rFonts w:hint="eastAsia"/>
          <w:lang w:val="en-US" w:eastAsia="zh-CN"/>
        </w:rPr>
        <w:t>UMAC</w:t>
      </w:r>
      <w:r>
        <w:rPr>
          <w:rFonts w:hint="eastAsia"/>
          <w:lang w:val="en-US" w:eastAsia="zh-CN"/>
        </w:rPr>
        <w:t>项目及其他优先事项、关键领域等方面的财务压力。</w:t>
      </w:r>
      <w:r>
        <w:rPr>
          <w:rFonts w:hint="eastAsia"/>
          <w:lang w:val="en-US" w:eastAsia="zh-CN"/>
        </w:rPr>
        <w:t>2023</w:t>
      </w:r>
      <w:r>
        <w:rPr>
          <w:rFonts w:hint="eastAsia"/>
          <w:lang w:val="en-US" w:eastAsia="zh-CN"/>
        </w:rPr>
        <w:t>年，总秘书处提出</w:t>
      </w:r>
      <w:r>
        <w:rPr>
          <w:rFonts w:cstheme="minorEastAsia" w:hint="eastAsia"/>
          <w:lang w:val="en-US" w:eastAsia="zh-CN"/>
        </w:rPr>
        <w:t>实现</w:t>
      </w:r>
      <w:r>
        <w:rPr>
          <w:rFonts w:cstheme="minorEastAsia"/>
          <w:lang w:val="en-US" w:eastAsia="zh-CN"/>
        </w:rPr>
        <w:t>组织卓越性的转型路线图（</w:t>
      </w:r>
      <w:r>
        <w:fldChar w:fldCharType="begin"/>
      </w:r>
      <w:r>
        <w:rPr>
          <w:lang w:eastAsia="zh-CN"/>
        </w:rPr>
        <w:instrText>HYPERLINK "https://www.itu.int/md/S23-CL-C-0052/en"</w:instrText>
      </w:r>
      <w:r>
        <w:fldChar w:fldCharType="separate"/>
      </w:r>
      <w:r>
        <w:rPr>
          <w:rFonts w:hint="eastAsia"/>
          <w:color w:val="0000FF"/>
          <w:u w:val="single"/>
          <w:lang w:val="en-US" w:eastAsia="zh-CN"/>
        </w:rPr>
        <w:t>C23/52</w:t>
      </w:r>
      <w:r>
        <w:fldChar w:fldCharType="end"/>
      </w:r>
      <w:r>
        <w:rPr>
          <w:rFonts w:cstheme="minorEastAsia"/>
          <w:lang w:val="en-US" w:eastAsia="zh-CN"/>
        </w:rPr>
        <w:t>、</w:t>
      </w:r>
      <w:r>
        <w:rPr>
          <w:rFonts w:hint="eastAsia"/>
          <w:color w:val="0000FF"/>
          <w:u w:val="single"/>
          <w:lang w:val="en-US" w:eastAsia="zh-CN"/>
        </w:rPr>
        <w:fldChar w:fldCharType="begin"/>
      </w:r>
      <w:r>
        <w:rPr>
          <w:rFonts w:hint="eastAsia"/>
          <w:color w:val="0000FF"/>
          <w:u w:val="single"/>
          <w:lang w:val="en-US" w:eastAsia="zh-CN"/>
        </w:rPr>
        <w:instrText xml:space="preserve"> HYPERLINK "https://www.itu.int/md/S24-CL-C-0052/en" </w:instrText>
      </w:r>
      <w:r>
        <w:rPr>
          <w:rFonts w:hint="eastAsia"/>
          <w:color w:val="0000FF"/>
          <w:u w:val="single"/>
          <w:lang w:val="en-US" w:eastAsia="zh-CN"/>
        </w:rPr>
      </w:r>
      <w:r>
        <w:rPr>
          <w:rFonts w:hint="eastAsia"/>
          <w:color w:val="0000FF"/>
          <w:u w:val="single"/>
          <w:lang w:val="en-US" w:eastAsia="zh-CN"/>
        </w:rPr>
        <w:fldChar w:fldCharType="separate"/>
      </w:r>
      <w:r>
        <w:rPr>
          <w:rFonts w:hint="eastAsia"/>
          <w:color w:val="0000FF"/>
          <w:u w:val="single"/>
          <w:lang w:val="en-US" w:eastAsia="zh-CN"/>
        </w:rPr>
        <w:t>C24/52</w:t>
      </w:r>
      <w:r>
        <w:rPr>
          <w:rFonts w:hint="eastAsia"/>
          <w:color w:val="0000FF"/>
          <w:u w:val="single"/>
          <w:lang w:val="en-US" w:eastAsia="zh-CN"/>
        </w:rPr>
        <w:fldChar w:fldCharType="end"/>
      </w:r>
      <w:r>
        <w:rPr>
          <w:rFonts w:cstheme="minorEastAsia"/>
          <w:lang w:val="en-US" w:eastAsia="zh-CN"/>
        </w:rPr>
        <w:t>）</w:t>
      </w:r>
      <w:r>
        <w:rPr>
          <w:rFonts w:cstheme="minorEastAsia" w:hint="eastAsia"/>
          <w:lang w:val="en-US" w:eastAsia="zh-CN"/>
        </w:rPr>
        <w:t>，具体</w:t>
      </w:r>
      <w:r>
        <w:rPr>
          <w:rFonts w:cstheme="minorEastAsia"/>
          <w:lang w:val="en-US" w:eastAsia="zh-CN"/>
        </w:rPr>
        <w:t>举措涉及财务</w:t>
      </w:r>
      <w:r>
        <w:rPr>
          <w:rFonts w:cstheme="minorEastAsia" w:hint="eastAsia"/>
          <w:lang w:val="en-US" w:eastAsia="zh-CN"/>
        </w:rPr>
        <w:t>及</w:t>
      </w:r>
      <w:r w:rsidRPr="009740D6">
        <w:rPr>
          <w:rFonts w:cstheme="minorEastAsia"/>
          <w:spacing w:val="4"/>
          <w:lang w:val="en-US" w:eastAsia="zh-CN"/>
        </w:rPr>
        <w:t>人力资源管理、信息系统</w:t>
      </w:r>
      <w:r w:rsidRPr="009740D6">
        <w:rPr>
          <w:rFonts w:cstheme="minorEastAsia" w:hint="eastAsia"/>
          <w:spacing w:val="4"/>
          <w:lang w:val="en-US" w:eastAsia="zh-CN"/>
        </w:rPr>
        <w:t>和流程</w:t>
      </w:r>
      <w:r w:rsidRPr="009740D6">
        <w:rPr>
          <w:rFonts w:cstheme="minorEastAsia"/>
          <w:spacing w:val="4"/>
          <w:lang w:val="en-US" w:eastAsia="zh-CN"/>
        </w:rPr>
        <w:t>升级以及内部治理等多个方面，其年度财务影响为</w:t>
      </w:r>
      <w:r>
        <w:rPr>
          <w:rFonts w:cstheme="minorEastAsia"/>
          <w:lang w:val="en-US" w:eastAsia="zh-CN"/>
        </w:rPr>
        <w:t>80</w:t>
      </w:r>
      <w:r>
        <w:rPr>
          <w:rFonts w:cstheme="minorEastAsia" w:hint="eastAsia"/>
          <w:lang w:val="en-US" w:eastAsia="zh-CN"/>
        </w:rPr>
        <w:t>余</w:t>
      </w:r>
      <w:r>
        <w:rPr>
          <w:rFonts w:cstheme="minorEastAsia"/>
          <w:lang w:val="en-US" w:eastAsia="zh-CN"/>
        </w:rPr>
        <w:t>万瑞郎，全周期总投入将</w:t>
      </w:r>
      <w:r>
        <w:rPr>
          <w:rFonts w:cstheme="minorEastAsia" w:hint="eastAsia"/>
          <w:lang w:val="en-US" w:eastAsia="zh-CN"/>
        </w:rPr>
        <w:t>达到</w:t>
      </w:r>
      <w:r>
        <w:rPr>
          <w:rFonts w:cstheme="minorEastAsia"/>
          <w:lang w:val="en-US" w:eastAsia="zh-CN"/>
        </w:rPr>
        <w:t>320</w:t>
      </w:r>
      <w:r>
        <w:rPr>
          <w:rFonts w:cstheme="minorEastAsia"/>
          <w:lang w:val="en-US" w:eastAsia="zh-CN"/>
        </w:rPr>
        <w:t>万瑞郎。由于</w:t>
      </w:r>
      <w:r>
        <w:rPr>
          <w:rFonts w:cstheme="minorEastAsia" w:hint="eastAsia"/>
          <w:lang w:val="en-US" w:eastAsia="zh-CN"/>
        </w:rPr>
        <w:t>相关改革举措费用</w:t>
      </w:r>
      <w:r>
        <w:rPr>
          <w:rFonts w:cstheme="minorEastAsia"/>
          <w:lang w:val="en-US" w:eastAsia="zh-CN"/>
        </w:rPr>
        <w:t>未列入双年度预算，其实施将只能</w:t>
      </w:r>
      <w:r>
        <w:rPr>
          <w:rFonts w:cstheme="minorEastAsia" w:hint="eastAsia"/>
          <w:lang w:val="en-US" w:eastAsia="zh-CN"/>
        </w:rPr>
        <w:t>依赖</w:t>
      </w:r>
      <w:r>
        <w:rPr>
          <w:rFonts w:cstheme="minorEastAsia"/>
          <w:lang w:val="en-US" w:eastAsia="zh-CN"/>
        </w:rPr>
        <w:t>常规预算盈余。尽管国际电联在近两年实现了</w:t>
      </w:r>
      <w:r>
        <w:rPr>
          <w:rFonts w:cstheme="minorEastAsia" w:hint="eastAsia"/>
          <w:lang w:val="en-US" w:eastAsia="zh-CN"/>
        </w:rPr>
        <w:t>约占双年度预算</w:t>
      </w:r>
      <w:r>
        <w:rPr>
          <w:rFonts w:cstheme="minorEastAsia" w:hint="eastAsia"/>
          <w:lang w:val="en-US" w:eastAsia="zh-CN"/>
        </w:rPr>
        <w:t>2%</w:t>
      </w:r>
      <w:r>
        <w:rPr>
          <w:rFonts w:cstheme="minorEastAsia" w:hint="eastAsia"/>
          <w:lang w:val="en-US" w:eastAsia="zh-CN"/>
        </w:rPr>
        <w:t>的资金</w:t>
      </w:r>
      <w:r>
        <w:rPr>
          <w:rFonts w:cstheme="minorEastAsia"/>
          <w:lang w:val="en-US" w:eastAsia="zh-CN"/>
        </w:rPr>
        <w:t>盈余</w:t>
      </w:r>
      <w:r>
        <w:rPr>
          <w:rFonts w:cstheme="minorEastAsia" w:hint="eastAsia"/>
          <w:lang w:val="en-US" w:eastAsia="zh-CN"/>
        </w:rPr>
        <w:t>，</w:t>
      </w:r>
      <w:r>
        <w:rPr>
          <w:rFonts w:cstheme="minorEastAsia"/>
          <w:lang w:val="en-US" w:eastAsia="zh-CN"/>
        </w:rPr>
        <w:t>但现有盈余资金仍无法充分满足</w:t>
      </w:r>
      <w:r>
        <w:rPr>
          <w:rFonts w:cstheme="minorEastAsia"/>
          <w:lang w:val="en-US" w:eastAsia="zh-CN"/>
        </w:rPr>
        <w:t>UMAC</w:t>
      </w:r>
      <w:r>
        <w:rPr>
          <w:rFonts w:cstheme="minorEastAsia"/>
          <w:lang w:val="en-US" w:eastAsia="zh-CN"/>
        </w:rPr>
        <w:t>项目及其他优先事项、关键领域的资金需求。</w:t>
      </w:r>
      <w:r>
        <w:rPr>
          <w:rFonts w:cstheme="minorEastAsia" w:hint="eastAsia"/>
          <w:lang w:val="en-US" w:eastAsia="zh-CN"/>
        </w:rPr>
        <w:t>例如，</w:t>
      </w:r>
      <w:r>
        <w:rPr>
          <w:rFonts w:cstheme="minorEastAsia"/>
          <w:lang w:val="en-US" w:eastAsia="zh-CN"/>
        </w:rPr>
        <w:t>新总部大楼项目每年额外需要</w:t>
      </w:r>
      <w:r>
        <w:rPr>
          <w:rFonts w:cstheme="minorEastAsia"/>
          <w:lang w:val="en-US" w:eastAsia="zh-CN"/>
        </w:rPr>
        <w:t>300</w:t>
      </w:r>
      <w:r>
        <w:rPr>
          <w:rFonts w:cstheme="minorEastAsia"/>
          <w:lang w:val="en-US" w:eastAsia="zh-CN"/>
        </w:rPr>
        <w:t>万瑞郎以确保业务连续性，落实大会和全会决议每年需要</w:t>
      </w:r>
      <w:r>
        <w:rPr>
          <w:rFonts w:cstheme="minorEastAsia"/>
          <w:lang w:val="en-US" w:eastAsia="zh-CN"/>
        </w:rPr>
        <w:t>150</w:t>
      </w:r>
      <w:r>
        <w:rPr>
          <w:rFonts w:cstheme="minorEastAsia"/>
          <w:lang w:val="en-US" w:eastAsia="zh-CN"/>
        </w:rPr>
        <w:t>万瑞郎的额外资金支持</w:t>
      </w:r>
      <w:r>
        <w:rPr>
          <w:rFonts w:cstheme="minorEastAsia" w:hint="eastAsia"/>
          <w:lang w:val="en-US" w:eastAsia="zh-CN"/>
        </w:rPr>
        <w:t>等。</w:t>
      </w:r>
    </w:p>
    <w:p w14:paraId="48744C80" w14:textId="2F3CFEF1" w:rsidR="007E0514" w:rsidRDefault="007E0514" w:rsidP="000B2B87">
      <w:pPr>
        <w:pStyle w:val="enumlev1"/>
        <w:rPr>
          <w:rFonts w:cstheme="minorEastAsia"/>
          <w:lang w:val="en-US" w:eastAsia="zh-CN"/>
        </w:rPr>
      </w:pPr>
      <w:r>
        <w:rPr>
          <w:rFonts w:cstheme="minorEastAsia"/>
          <w:lang w:val="en-US" w:eastAsia="zh-CN"/>
        </w:rPr>
        <w:t>2</w:t>
      </w:r>
      <w:r w:rsidR="00352F4C">
        <w:rPr>
          <w:rFonts w:cstheme="minorEastAsia" w:hint="eastAsia"/>
          <w:lang w:val="en-US" w:eastAsia="zh-CN"/>
        </w:rPr>
        <w:t>)</w:t>
      </w:r>
      <w:r w:rsidR="00352F4C">
        <w:rPr>
          <w:rFonts w:cstheme="minorEastAsia"/>
          <w:lang w:val="en-US" w:eastAsia="zh-CN"/>
        </w:rPr>
        <w:tab/>
      </w:r>
      <w:r>
        <w:rPr>
          <w:rFonts w:cstheme="minorEastAsia" w:hint="eastAsia"/>
          <w:lang w:val="en-US" w:eastAsia="zh-CN"/>
        </w:rPr>
        <w:t>专业（</w:t>
      </w:r>
      <w:r>
        <w:rPr>
          <w:rFonts w:cstheme="minorEastAsia" w:hint="eastAsia"/>
          <w:lang w:val="en-US" w:eastAsia="zh-CN"/>
        </w:rPr>
        <w:t>P</w:t>
      </w:r>
      <w:r>
        <w:rPr>
          <w:rFonts w:cstheme="minorEastAsia" w:hint="eastAsia"/>
          <w:lang w:val="en-US" w:eastAsia="zh-CN"/>
        </w:rPr>
        <w:t>级）及以上职员数量创近年新高，人员支出成为国际电联最大支出项目。目前，</w:t>
      </w:r>
      <w:r>
        <w:rPr>
          <w:rFonts w:cstheme="minorEastAsia" w:hint="eastAsia"/>
          <w:lang w:val="en-US" w:eastAsia="zh-CN"/>
        </w:rPr>
        <w:t>P1</w:t>
      </w:r>
      <w:r>
        <w:rPr>
          <w:rFonts w:cstheme="minorEastAsia" w:hint="eastAsia"/>
          <w:lang w:val="en-US" w:eastAsia="zh-CN"/>
        </w:rPr>
        <w:t>至</w:t>
      </w:r>
      <w:r>
        <w:rPr>
          <w:rFonts w:cstheme="minorEastAsia" w:hint="eastAsia"/>
          <w:lang w:val="en-US" w:eastAsia="zh-CN"/>
        </w:rPr>
        <w:t>D2</w:t>
      </w:r>
      <w:r>
        <w:rPr>
          <w:rFonts w:cstheme="minorEastAsia" w:hint="eastAsia"/>
          <w:lang w:val="en-US" w:eastAsia="zh-CN"/>
        </w:rPr>
        <w:t>级别的职员数量从</w:t>
      </w:r>
      <w:r>
        <w:rPr>
          <w:rFonts w:cstheme="minorEastAsia" w:hint="eastAsia"/>
          <w:lang w:val="en-US" w:eastAsia="zh-CN"/>
        </w:rPr>
        <w:t>2022</w:t>
      </w:r>
      <w:r>
        <w:rPr>
          <w:rFonts w:cstheme="minorEastAsia" w:hint="eastAsia"/>
          <w:lang w:val="en-US" w:eastAsia="zh-CN"/>
        </w:rPr>
        <w:t>年的</w:t>
      </w:r>
      <w:r>
        <w:rPr>
          <w:rFonts w:cstheme="minorEastAsia" w:hint="eastAsia"/>
          <w:lang w:val="en-US" w:eastAsia="zh-CN"/>
        </w:rPr>
        <w:t>450</w:t>
      </w:r>
      <w:r>
        <w:rPr>
          <w:rFonts w:cstheme="minorEastAsia" w:hint="eastAsia"/>
          <w:lang w:val="en-US" w:eastAsia="zh-CN"/>
        </w:rPr>
        <w:t>人上升至</w:t>
      </w:r>
      <w:r>
        <w:rPr>
          <w:rFonts w:cstheme="minorEastAsia" w:hint="eastAsia"/>
          <w:lang w:val="en-US" w:eastAsia="zh-CN"/>
        </w:rPr>
        <w:t>2025</w:t>
      </w:r>
      <w:r>
        <w:rPr>
          <w:rFonts w:cstheme="minorEastAsia" w:hint="eastAsia"/>
          <w:lang w:val="en-US" w:eastAsia="zh-CN"/>
        </w:rPr>
        <w:t>年的</w:t>
      </w:r>
      <w:r>
        <w:rPr>
          <w:rFonts w:cstheme="minorEastAsia" w:hint="eastAsia"/>
          <w:lang w:val="en-US" w:eastAsia="zh-CN"/>
        </w:rPr>
        <w:t>468</w:t>
      </w:r>
      <w:r>
        <w:rPr>
          <w:rFonts w:cstheme="minorEastAsia" w:hint="eastAsia"/>
          <w:lang w:val="en-US" w:eastAsia="zh-CN"/>
        </w:rPr>
        <w:t>人（总秘书处增加</w:t>
      </w:r>
      <w:r>
        <w:rPr>
          <w:rFonts w:cstheme="minorEastAsia" w:hint="eastAsia"/>
          <w:lang w:val="en-US" w:eastAsia="zh-CN"/>
        </w:rPr>
        <w:t>8</w:t>
      </w:r>
      <w:r>
        <w:rPr>
          <w:rFonts w:cstheme="minorEastAsia" w:hint="eastAsia"/>
          <w:lang w:val="en-US" w:eastAsia="zh-CN"/>
        </w:rPr>
        <w:t>人，</w:t>
      </w:r>
      <w:r>
        <w:rPr>
          <w:rFonts w:cstheme="minorEastAsia" w:hint="eastAsia"/>
          <w:lang w:val="en-US" w:eastAsia="zh-CN"/>
        </w:rPr>
        <w:t>BR</w:t>
      </w:r>
      <w:r>
        <w:rPr>
          <w:rFonts w:cstheme="minorEastAsia" w:hint="eastAsia"/>
          <w:lang w:val="en-US" w:eastAsia="zh-CN"/>
        </w:rPr>
        <w:t>减少</w:t>
      </w:r>
      <w:r>
        <w:rPr>
          <w:rFonts w:cstheme="minorEastAsia" w:hint="eastAsia"/>
          <w:lang w:val="en-US" w:eastAsia="zh-CN"/>
        </w:rPr>
        <w:t>3</w:t>
      </w:r>
      <w:r>
        <w:rPr>
          <w:rFonts w:cstheme="minorEastAsia" w:hint="eastAsia"/>
          <w:lang w:val="en-US" w:eastAsia="zh-CN"/>
        </w:rPr>
        <w:t>人，</w:t>
      </w:r>
      <w:r>
        <w:rPr>
          <w:rFonts w:cstheme="minorEastAsia" w:hint="eastAsia"/>
          <w:lang w:val="en-US" w:eastAsia="zh-CN"/>
        </w:rPr>
        <w:t>TSB</w:t>
      </w:r>
      <w:r>
        <w:rPr>
          <w:rFonts w:cstheme="minorEastAsia" w:hint="eastAsia"/>
          <w:lang w:val="en-US" w:eastAsia="zh-CN"/>
        </w:rPr>
        <w:t>增加</w:t>
      </w:r>
      <w:r>
        <w:rPr>
          <w:rFonts w:cstheme="minorEastAsia" w:hint="eastAsia"/>
          <w:lang w:val="en-US" w:eastAsia="zh-CN"/>
        </w:rPr>
        <w:t>4</w:t>
      </w:r>
      <w:r>
        <w:rPr>
          <w:rFonts w:cstheme="minorEastAsia" w:hint="eastAsia"/>
          <w:lang w:val="en-US" w:eastAsia="zh-CN"/>
        </w:rPr>
        <w:t>人，</w:t>
      </w:r>
      <w:r>
        <w:rPr>
          <w:rFonts w:cstheme="minorEastAsia" w:hint="eastAsia"/>
          <w:lang w:val="en-US" w:eastAsia="zh-CN"/>
        </w:rPr>
        <w:t>BDT</w:t>
      </w:r>
      <w:r>
        <w:rPr>
          <w:rFonts w:cstheme="minorEastAsia" w:hint="eastAsia"/>
          <w:lang w:val="en-US" w:eastAsia="zh-CN"/>
        </w:rPr>
        <w:t>增加</w:t>
      </w:r>
      <w:r>
        <w:rPr>
          <w:rFonts w:cstheme="minorEastAsia" w:hint="eastAsia"/>
          <w:lang w:val="en-US" w:eastAsia="zh-CN"/>
        </w:rPr>
        <w:t>9</w:t>
      </w:r>
      <w:r>
        <w:rPr>
          <w:rFonts w:cstheme="minorEastAsia" w:hint="eastAsia"/>
          <w:lang w:val="en-US" w:eastAsia="zh-CN"/>
        </w:rPr>
        <w:t>人），其中</w:t>
      </w:r>
      <w:r>
        <w:rPr>
          <w:rFonts w:cstheme="minorEastAsia" w:hint="eastAsia"/>
          <w:lang w:val="en-US" w:eastAsia="zh-CN"/>
        </w:rPr>
        <w:t>D</w:t>
      </w:r>
      <w:r>
        <w:rPr>
          <w:rFonts w:cstheme="minorEastAsia" w:hint="eastAsia"/>
          <w:lang w:val="en-US" w:eastAsia="zh-CN"/>
        </w:rPr>
        <w:t>级职位（年薪</w:t>
      </w:r>
      <w:r>
        <w:rPr>
          <w:rFonts w:cstheme="minorEastAsia" w:hint="eastAsia"/>
          <w:lang w:val="en-US" w:eastAsia="zh-CN"/>
        </w:rPr>
        <w:t>28</w:t>
      </w:r>
      <w:r>
        <w:rPr>
          <w:rFonts w:cstheme="minorEastAsia" w:hint="eastAsia"/>
          <w:lang w:val="en-US" w:eastAsia="zh-CN"/>
        </w:rPr>
        <w:t>至</w:t>
      </w:r>
      <w:r>
        <w:rPr>
          <w:rFonts w:cstheme="minorEastAsia" w:hint="eastAsia"/>
          <w:lang w:val="en-US" w:eastAsia="zh-CN"/>
        </w:rPr>
        <w:t>30</w:t>
      </w:r>
      <w:r>
        <w:rPr>
          <w:rFonts w:cstheme="minorEastAsia" w:hint="eastAsia"/>
          <w:lang w:val="en-US" w:eastAsia="zh-CN"/>
        </w:rPr>
        <w:t>万瑞郎）增加</w:t>
      </w:r>
      <w:r>
        <w:rPr>
          <w:rFonts w:cstheme="minorEastAsia" w:hint="eastAsia"/>
          <w:lang w:val="en-US" w:eastAsia="zh-CN"/>
        </w:rPr>
        <w:t>1</w:t>
      </w:r>
      <w:r>
        <w:rPr>
          <w:rFonts w:cstheme="minorEastAsia" w:hint="eastAsia"/>
          <w:lang w:val="en-US" w:eastAsia="zh-CN"/>
        </w:rPr>
        <w:t>人（总秘书处增加</w:t>
      </w:r>
      <w:r>
        <w:rPr>
          <w:rFonts w:cstheme="minorEastAsia" w:hint="eastAsia"/>
          <w:lang w:val="en-US" w:eastAsia="zh-CN"/>
        </w:rPr>
        <w:t>3</w:t>
      </w:r>
      <w:r>
        <w:rPr>
          <w:rFonts w:cstheme="minorEastAsia" w:hint="eastAsia"/>
          <w:lang w:val="en-US" w:eastAsia="zh-CN"/>
        </w:rPr>
        <w:t>人，</w:t>
      </w:r>
      <w:r>
        <w:rPr>
          <w:rFonts w:cstheme="minorEastAsia" w:hint="eastAsia"/>
          <w:lang w:val="en-US" w:eastAsia="zh-CN"/>
        </w:rPr>
        <w:t>BR</w:t>
      </w:r>
      <w:r>
        <w:rPr>
          <w:rFonts w:cstheme="minorEastAsia" w:hint="eastAsia"/>
          <w:lang w:val="en-US" w:eastAsia="zh-CN"/>
        </w:rPr>
        <w:t>保持不变，</w:t>
      </w:r>
      <w:r>
        <w:rPr>
          <w:rFonts w:cstheme="minorEastAsia" w:hint="eastAsia"/>
          <w:lang w:val="en-US" w:eastAsia="zh-CN"/>
        </w:rPr>
        <w:t>TSB</w:t>
      </w:r>
      <w:r>
        <w:rPr>
          <w:rFonts w:cstheme="minorEastAsia" w:hint="eastAsia"/>
          <w:lang w:val="en-US" w:eastAsia="zh-CN"/>
        </w:rPr>
        <w:t>减少</w:t>
      </w:r>
      <w:r>
        <w:rPr>
          <w:rFonts w:cstheme="minorEastAsia" w:hint="eastAsia"/>
          <w:lang w:val="en-US" w:eastAsia="zh-CN"/>
        </w:rPr>
        <w:t>2</w:t>
      </w:r>
      <w:r>
        <w:rPr>
          <w:rFonts w:cstheme="minorEastAsia" w:hint="eastAsia"/>
          <w:lang w:val="en-US" w:eastAsia="zh-CN"/>
        </w:rPr>
        <w:t>人，</w:t>
      </w:r>
      <w:r>
        <w:rPr>
          <w:rFonts w:cstheme="minorEastAsia" w:hint="eastAsia"/>
          <w:lang w:val="en-US" w:eastAsia="zh-CN"/>
        </w:rPr>
        <w:t>BDT</w:t>
      </w:r>
      <w:r>
        <w:rPr>
          <w:rFonts w:cstheme="minorEastAsia" w:hint="eastAsia"/>
          <w:lang w:val="en-US" w:eastAsia="zh-CN"/>
        </w:rPr>
        <w:t>保持不变）</w:t>
      </w:r>
      <w:r>
        <w:rPr>
          <w:rStyle w:val="FootnoteReference"/>
          <w:rFonts w:ascii="Times New Roman" w:hAnsi="Times New Roman" w:cstheme="minorEastAsia" w:hint="eastAsia"/>
          <w:szCs w:val="24"/>
          <w:lang w:val="en-US" w:eastAsia="zh-CN"/>
        </w:rPr>
        <w:footnoteReference w:id="1"/>
      </w:r>
      <w:r>
        <w:rPr>
          <w:rFonts w:cstheme="minorEastAsia" w:hint="eastAsia"/>
          <w:lang w:val="en-US" w:eastAsia="zh-CN"/>
        </w:rPr>
        <w:t>。近两年财务报告披露，人员支出不仅成为常规预算最大的支出项目（占比近</w:t>
      </w:r>
      <w:r>
        <w:rPr>
          <w:rFonts w:cstheme="minorEastAsia" w:hint="eastAsia"/>
          <w:lang w:val="en-US" w:eastAsia="zh-CN"/>
        </w:rPr>
        <w:t>80%</w:t>
      </w:r>
      <w:r>
        <w:rPr>
          <w:rFonts w:cstheme="minorEastAsia" w:hint="eastAsia"/>
          <w:lang w:val="en-US" w:eastAsia="zh-CN"/>
        </w:rPr>
        <w:t>），还持续产生高额预算外支出，其中</w:t>
      </w:r>
      <w:r>
        <w:rPr>
          <w:rFonts w:cstheme="minorEastAsia" w:hint="eastAsia"/>
          <w:lang w:val="en-US" w:eastAsia="zh-CN"/>
        </w:rPr>
        <w:t>2022</w:t>
      </w:r>
      <w:r>
        <w:rPr>
          <w:rFonts w:cstheme="minorEastAsia" w:hint="eastAsia"/>
          <w:lang w:val="en-US" w:eastAsia="zh-CN"/>
        </w:rPr>
        <w:t>年达</w:t>
      </w:r>
      <w:r>
        <w:rPr>
          <w:rFonts w:cstheme="minorEastAsia" w:hint="eastAsia"/>
          <w:lang w:val="en-US" w:eastAsia="zh-CN"/>
        </w:rPr>
        <w:t>774</w:t>
      </w:r>
      <w:r>
        <w:rPr>
          <w:rFonts w:cstheme="minorEastAsia" w:hint="eastAsia"/>
          <w:lang w:val="en-US" w:eastAsia="zh-CN"/>
        </w:rPr>
        <w:t>万瑞士法郎（占当年预算外支出的</w:t>
      </w:r>
      <w:r>
        <w:rPr>
          <w:rFonts w:cstheme="minorEastAsia" w:hint="eastAsia"/>
          <w:lang w:val="en-US" w:eastAsia="zh-CN"/>
        </w:rPr>
        <w:t>38.8%</w:t>
      </w:r>
      <w:r>
        <w:rPr>
          <w:rFonts w:cstheme="minorEastAsia" w:hint="eastAsia"/>
          <w:lang w:val="en-US" w:eastAsia="zh-CN"/>
        </w:rPr>
        <w:t>）（</w:t>
      </w:r>
      <w:r>
        <w:fldChar w:fldCharType="begin"/>
      </w:r>
      <w:r>
        <w:rPr>
          <w:lang w:eastAsia="zh-CN"/>
        </w:rPr>
        <w:instrText>HYPERLINK "https://www.itu.int/md/S24-CL-C-0040/en"</w:instrText>
      </w:r>
      <w:r>
        <w:fldChar w:fldCharType="separate"/>
      </w:r>
      <w:r>
        <w:rPr>
          <w:rFonts w:hint="eastAsia"/>
          <w:color w:val="0000FF"/>
          <w:u w:val="single"/>
          <w:lang w:val="en-US" w:eastAsia="zh-CN"/>
        </w:rPr>
        <w:t>C24/40</w:t>
      </w:r>
      <w:r>
        <w:fldChar w:fldCharType="end"/>
      </w:r>
      <w:r>
        <w:rPr>
          <w:rFonts w:cstheme="minorEastAsia" w:hint="eastAsia"/>
          <w:lang w:val="en-US" w:eastAsia="zh-CN"/>
        </w:rPr>
        <w:t>），</w:t>
      </w:r>
      <w:r>
        <w:rPr>
          <w:rFonts w:cstheme="minorEastAsia" w:hint="eastAsia"/>
          <w:lang w:val="en-US" w:eastAsia="zh-CN"/>
        </w:rPr>
        <w:t>2023</w:t>
      </w:r>
      <w:r>
        <w:rPr>
          <w:rFonts w:cstheme="minorEastAsia" w:hint="eastAsia"/>
          <w:lang w:val="en-US" w:eastAsia="zh-CN"/>
        </w:rPr>
        <w:t>年进一步增至</w:t>
      </w:r>
      <w:r>
        <w:rPr>
          <w:rFonts w:cstheme="minorEastAsia" w:hint="eastAsia"/>
          <w:lang w:val="en-US" w:eastAsia="zh-CN"/>
        </w:rPr>
        <w:t>847</w:t>
      </w:r>
      <w:r>
        <w:rPr>
          <w:rFonts w:cstheme="minorEastAsia" w:hint="eastAsia"/>
          <w:lang w:val="en-US" w:eastAsia="zh-CN"/>
        </w:rPr>
        <w:t>万瑞士法郎（占比</w:t>
      </w:r>
      <w:r>
        <w:rPr>
          <w:rFonts w:cstheme="minorEastAsia" w:hint="eastAsia"/>
          <w:lang w:val="en-US" w:eastAsia="zh-CN"/>
        </w:rPr>
        <w:t>35%</w:t>
      </w:r>
      <w:r>
        <w:rPr>
          <w:rFonts w:cstheme="minorEastAsia" w:hint="eastAsia"/>
          <w:lang w:val="en-US" w:eastAsia="zh-CN"/>
        </w:rPr>
        <w:t>）（</w:t>
      </w:r>
      <w:r>
        <w:fldChar w:fldCharType="begin"/>
      </w:r>
      <w:r>
        <w:rPr>
          <w:lang w:eastAsia="zh-CN"/>
        </w:rPr>
        <w:instrText>HYPERLINK "https://www.itu.int/md/S24-CL-C-0043/en"</w:instrText>
      </w:r>
      <w:r>
        <w:fldChar w:fldCharType="separate"/>
      </w:r>
      <w:r>
        <w:rPr>
          <w:rFonts w:hint="eastAsia"/>
          <w:color w:val="0000FF"/>
          <w:u w:val="single"/>
          <w:lang w:val="en-US" w:eastAsia="zh-CN"/>
        </w:rPr>
        <w:t>C24/43</w:t>
      </w:r>
      <w:r>
        <w:fldChar w:fldCharType="end"/>
      </w:r>
      <w:r>
        <w:rPr>
          <w:rFonts w:cstheme="minorEastAsia" w:hint="eastAsia"/>
          <w:lang w:val="en-US" w:eastAsia="zh-CN"/>
        </w:rPr>
        <w:t>）。同时，总秘书处提出增设监督处负责人（</w:t>
      </w:r>
      <w:r>
        <w:rPr>
          <w:rFonts w:cstheme="minorEastAsia" w:hint="eastAsia"/>
          <w:lang w:val="en-US" w:eastAsia="zh-CN"/>
        </w:rPr>
        <w:t>D1</w:t>
      </w:r>
      <w:r>
        <w:rPr>
          <w:rFonts w:cstheme="minorEastAsia" w:hint="eastAsia"/>
          <w:lang w:val="en-US" w:eastAsia="zh-CN"/>
        </w:rPr>
        <w:t>）（</w:t>
      </w:r>
      <w:r>
        <w:fldChar w:fldCharType="begin"/>
      </w:r>
      <w:r>
        <w:rPr>
          <w:lang w:eastAsia="zh-CN"/>
        </w:rPr>
        <w:instrText>HYPERLINK "https://www.itu.int/md/S23-CL-C-0053/en"</w:instrText>
      </w:r>
      <w:r>
        <w:fldChar w:fldCharType="separate"/>
      </w:r>
      <w:r>
        <w:rPr>
          <w:rFonts w:hint="eastAsia"/>
          <w:color w:val="0000FF"/>
          <w:u w:val="single"/>
          <w:lang w:val="en-US" w:eastAsia="zh-CN"/>
        </w:rPr>
        <w:t>C23/53</w:t>
      </w:r>
      <w:r>
        <w:fldChar w:fldCharType="end"/>
      </w:r>
      <w:r>
        <w:rPr>
          <w:rFonts w:cstheme="minorEastAsia" w:hint="eastAsia"/>
          <w:lang w:val="en-US" w:eastAsia="zh-CN"/>
        </w:rPr>
        <w:t>）、恢复行政与财务部主管职位（</w:t>
      </w:r>
      <w:r>
        <w:rPr>
          <w:rFonts w:cstheme="minorEastAsia" w:hint="eastAsia"/>
          <w:lang w:val="en-US" w:eastAsia="zh-CN"/>
        </w:rPr>
        <w:t>D2</w:t>
      </w:r>
      <w:r>
        <w:rPr>
          <w:rFonts w:cstheme="minorEastAsia" w:hint="eastAsia"/>
          <w:lang w:val="en-US" w:eastAsia="zh-CN"/>
        </w:rPr>
        <w:t>）（于</w:t>
      </w:r>
      <w:r>
        <w:rPr>
          <w:rFonts w:cstheme="minorEastAsia" w:hint="eastAsia"/>
          <w:lang w:val="en-US" w:eastAsia="zh-CN"/>
        </w:rPr>
        <w:t>2011</w:t>
      </w:r>
      <w:r>
        <w:rPr>
          <w:rFonts w:cstheme="minorEastAsia" w:hint="eastAsia"/>
          <w:lang w:val="en-US" w:eastAsia="zh-CN"/>
        </w:rPr>
        <w:t>年理事会批准冻结</w:t>
      </w:r>
      <w:r>
        <w:rPr>
          <w:rFonts w:hint="eastAsia"/>
          <w:color w:val="0000FF"/>
          <w:u w:val="single"/>
          <w:lang w:val="en-US" w:eastAsia="zh-CN"/>
        </w:rPr>
        <w:fldChar w:fldCharType="begin"/>
      </w:r>
      <w:r>
        <w:rPr>
          <w:rFonts w:hint="eastAsia"/>
          <w:color w:val="0000FF"/>
          <w:u w:val="single"/>
          <w:lang w:val="en-US" w:eastAsia="zh-CN"/>
        </w:rPr>
        <w:instrText xml:space="preserve"> HYPERLINK "https://www.itu.int/md/S11-CL-C-0089/en" </w:instrText>
      </w:r>
      <w:r>
        <w:rPr>
          <w:rFonts w:hint="eastAsia"/>
          <w:color w:val="0000FF"/>
          <w:u w:val="single"/>
          <w:lang w:val="en-US" w:eastAsia="zh-CN"/>
        </w:rPr>
      </w:r>
      <w:r>
        <w:rPr>
          <w:rFonts w:hint="eastAsia"/>
          <w:color w:val="0000FF"/>
          <w:u w:val="single"/>
          <w:lang w:val="en-US" w:eastAsia="zh-CN"/>
        </w:rPr>
        <w:fldChar w:fldCharType="separate"/>
      </w:r>
      <w:r>
        <w:rPr>
          <w:rFonts w:hint="eastAsia"/>
          <w:color w:val="0000FF"/>
          <w:u w:val="single"/>
          <w:lang w:val="en-US" w:eastAsia="zh-CN"/>
        </w:rPr>
        <w:t>C11/89</w:t>
      </w:r>
      <w:r>
        <w:rPr>
          <w:rFonts w:hint="eastAsia"/>
          <w:color w:val="0000FF"/>
          <w:u w:val="single"/>
          <w:lang w:val="en-US" w:eastAsia="zh-CN"/>
        </w:rPr>
        <w:fldChar w:fldCharType="end"/>
      </w:r>
      <w:r>
        <w:rPr>
          <w:rFonts w:cstheme="minorEastAsia" w:hint="eastAsia"/>
          <w:lang w:val="en-US" w:eastAsia="zh-CN"/>
        </w:rPr>
        <w:t>）等做法将进一步对组织预算执行造成压力。</w:t>
      </w:r>
    </w:p>
    <w:p w14:paraId="30A79BBA" w14:textId="3F429176" w:rsidR="007E0514" w:rsidRDefault="007E0514" w:rsidP="000B2B87">
      <w:pPr>
        <w:pStyle w:val="enumlev1"/>
        <w:rPr>
          <w:rFonts w:cs="Calibri"/>
          <w:lang w:val="en-US" w:eastAsia="zh-CN"/>
        </w:rPr>
      </w:pPr>
      <w:r>
        <w:rPr>
          <w:rFonts w:cstheme="minorEastAsia" w:hint="eastAsia"/>
          <w:lang w:val="en-US" w:eastAsia="zh-CN"/>
        </w:rPr>
        <w:t>3</w:t>
      </w:r>
      <w:r w:rsidR="00352F4C">
        <w:rPr>
          <w:rFonts w:cstheme="minorEastAsia" w:hint="eastAsia"/>
          <w:lang w:val="en-US" w:eastAsia="zh-CN"/>
        </w:rPr>
        <w:t>)</w:t>
      </w:r>
      <w:r w:rsidR="00352F4C">
        <w:rPr>
          <w:rFonts w:cstheme="minorEastAsia"/>
          <w:lang w:val="en-US" w:eastAsia="zh-CN"/>
        </w:rPr>
        <w:tab/>
      </w:r>
      <w:r>
        <w:rPr>
          <w:rFonts w:cstheme="minorEastAsia" w:hint="eastAsia"/>
          <w:lang w:val="en-US" w:eastAsia="zh-CN"/>
        </w:rPr>
        <w:t>行政管理费用（如合同服务、法律费用等）持续上升。目前，合同服务支出已成为国际电联第二大预算支出项目，</w:t>
      </w:r>
      <w:r>
        <w:rPr>
          <w:rFonts w:cstheme="minorEastAsia" w:hint="eastAsia"/>
          <w:lang w:val="en-US" w:eastAsia="zh-CN"/>
        </w:rPr>
        <w:t>2022</w:t>
      </w:r>
      <w:r>
        <w:rPr>
          <w:rFonts w:cstheme="minorEastAsia" w:hint="eastAsia"/>
          <w:lang w:val="en-US" w:eastAsia="zh-CN"/>
        </w:rPr>
        <w:t>年支出总额达</w:t>
      </w:r>
      <w:r>
        <w:rPr>
          <w:rFonts w:cstheme="minorEastAsia" w:hint="eastAsia"/>
          <w:lang w:val="en-US" w:eastAsia="zh-CN"/>
        </w:rPr>
        <w:t>2053</w:t>
      </w:r>
      <w:r>
        <w:rPr>
          <w:rFonts w:cstheme="minorEastAsia" w:hint="eastAsia"/>
          <w:lang w:val="en-US" w:eastAsia="zh-CN"/>
        </w:rPr>
        <w:t>万瑞士法郎，</w:t>
      </w:r>
      <w:r>
        <w:rPr>
          <w:rFonts w:cstheme="minorEastAsia" w:hint="eastAsia"/>
          <w:lang w:val="en-US" w:eastAsia="zh-CN"/>
        </w:rPr>
        <w:t>2023</w:t>
      </w:r>
      <w:r>
        <w:rPr>
          <w:rFonts w:cstheme="minorEastAsia" w:hint="eastAsia"/>
          <w:lang w:val="en-US" w:eastAsia="zh-CN"/>
        </w:rPr>
        <w:t>年为</w:t>
      </w:r>
      <w:r>
        <w:rPr>
          <w:rFonts w:cstheme="minorEastAsia" w:hint="eastAsia"/>
          <w:lang w:val="en-US" w:eastAsia="zh-CN"/>
        </w:rPr>
        <w:t>2</w:t>
      </w:r>
      <w:r w:rsidR="004E6399">
        <w:rPr>
          <w:rFonts w:cstheme="minorEastAsia" w:hint="eastAsia"/>
          <w:lang w:val="en-US" w:eastAsia="zh-CN"/>
        </w:rPr>
        <w:t xml:space="preserve"> </w:t>
      </w:r>
      <w:r>
        <w:rPr>
          <w:rFonts w:cstheme="minorEastAsia" w:hint="eastAsia"/>
          <w:lang w:val="en-US" w:eastAsia="zh-CN"/>
        </w:rPr>
        <w:t>182</w:t>
      </w:r>
      <w:r>
        <w:rPr>
          <w:rFonts w:cstheme="minorEastAsia" w:hint="eastAsia"/>
          <w:lang w:val="en-US" w:eastAsia="zh-CN"/>
        </w:rPr>
        <w:t>万瑞士法郎（增长</w:t>
      </w:r>
      <w:r>
        <w:rPr>
          <w:rFonts w:cstheme="minorEastAsia" w:hint="eastAsia"/>
          <w:lang w:val="en-US" w:eastAsia="zh-CN"/>
        </w:rPr>
        <w:t>6.3%</w:t>
      </w:r>
      <w:r>
        <w:rPr>
          <w:rFonts w:cstheme="minorEastAsia" w:hint="eastAsia"/>
          <w:lang w:val="en-US" w:eastAsia="zh-CN"/>
        </w:rPr>
        <w:t>）。其中，总秘书处合同服务支出规模较大，持续占国际电联合同服务总支出的</w:t>
      </w:r>
      <w:r>
        <w:rPr>
          <w:rFonts w:cstheme="minorEastAsia" w:hint="eastAsia"/>
          <w:lang w:val="en-US" w:eastAsia="zh-CN"/>
        </w:rPr>
        <w:t>40%</w:t>
      </w:r>
      <w:r>
        <w:rPr>
          <w:rFonts w:cstheme="minorEastAsia" w:hint="eastAsia"/>
          <w:lang w:val="en-US" w:eastAsia="zh-CN"/>
        </w:rPr>
        <w:t>（</w:t>
      </w:r>
      <w:r>
        <w:rPr>
          <w:rFonts w:cstheme="minorEastAsia" w:hint="eastAsia"/>
          <w:lang w:val="en-US" w:eastAsia="zh-CN"/>
        </w:rPr>
        <w:t>R</w:t>
      </w:r>
      <w:r>
        <w:rPr>
          <w:rFonts w:cstheme="minorEastAsia" w:hint="eastAsia"/>
          <w:lang w:val="en-US" w:eastAsia="zh-CN"/>
        </w:rPr>
        <w:t>部门占比</w:t>
      </w:r>
      <w:r>
        <w:rPr>
          <w:rFonts w:cstheme="minorEastAsia" w:hint="eastAsia"/>
          <w:lang w:val="en-US" w:eastAsia="zh-CN"/>
        </w:rPr>
        <w:t>4%</w:t>
      </w:r>
      <w:r>
        <w:rPr>
          <w:rFonts w:cstheme="minorEastAsia" w:hint="eastAsia"/>
          <w:lang w:val="en-US" w:eastAsia="zh-CN"/>
        </w:rPr>
        <w:t>，</w:t>
      </w:r>
      <w:r>
        <w:rPr>
          <w:rFonts w:cstheme="minorEastAsia" w:hint="eastAsia"/>
          <w:lang w:val="en-US" w:eastAsia="zh-CN"/>
        </w:rPr>
        <w:t>T</w:t>
      </w:r>
      <w:r>
        <w:rPr>
          <w:rFonts w:cstheme="minorEastAsia" w:hint="eastAsia"/>
          <w:lang w:val="en-US" w:eastAsia="zh-CN"/>
        </w:rPr>
        <w:t>部门</w:t>
      </w:r>
      <w:r>
        <w:rPr>
          <w:rFonts w:cstheme="minorEastAsia" w:hint="eastAsia"/>
          <w:lang w:val="en-US" w:eastAsia="zh-CN"/>
        </w:rPr>
        <w:t>2.4%</w:t>
      </w:r>
      <w:r>
        <w:rPr>
          <w:rFonts w:cstheme="minorEastAsia" w:hint="eastAsia"/>
          <w:lang w:val="en-US" w:eastAsia="zh-CN"/>
        </w:rPr>
        <w:t>，</w:t>
      </w:r>
      <w:r>
        <w:rPr>
          <w:rFonts w:cstheme="minorEastAsia" w:hint="eastAsia"/>
          <w:lang w:val="en-US" w:eastAsia="zh-CN"/>
        </w:rPr>
        <w:t>D</w:t>
      </w:r>
      <w:r>
        <w:rPr>
          <w:rFonts w:cstheme="minorEastAsia" w:hint="eastAsia"/>
          <w:lang w:val="en-US" w:eastAsia="zh-CN"/>
        </w:rPr>
        <w:t>部门</w:t>
      </w:r>
      <w:r>
        <w:rPr>
          <w:rFonts w:cstheme="minorEastAsia" w:hint="eastAsia"/>
          <w:lang w:val="en-US" w:eastAsia="zh-CN"/>
        </w:rPr>
        <w:t>10%</w:t>
      </w:r>
      <w:r>
        <w:rPr>
          <w:rFonts w:cstheme="minorEastAsia" w:hint="eastAsia"/>
          <w:lang w:val="en-US" w:eastAsia="zh-CN"/>
        </w:rPr>
        <w:t>），相关费用从</w:t>
      </w:r>
      <w:r>
        <w:rPr>
          <w:rFonts w:cstheme="minorEastAsia" w:hint="eastAsia"/>
          <w:lang w:val="en-US" w:eastAsia="zh-CN"/>
        </w:rPr>
        <w:t>2022</w:t>
      </w:r>
      <w:r>
        <w:rPr>
          <w:rFonts w:cstheme="minorEastAsia" w:hint="eastAsia"/>
          <w:lang w:val="en-US" w:eastAsia="zh-CN"/>
        </w:rPr>
        <w:t>年的</w:t>
      </w:r>
      <w:r>
        <w:rPr>
          <w:rFonts w:cstheme="minorEastAsia" w:hint="eastAsia"/>
          <w:lang w:val="en-US" w:eastAsia="zh-CN"/>
        </w:rPr>
        <w:t>786</w:t>
      </w:r>
      <w:r>
        <w:rPr>
          <w:rFonts w:cstheme="minorEastAsia" w:hint="eastAsia"/>
          <w:lang w:val="en-US" w:eastAsia="zh-CN"/>
        </w:rPr>
        <w:t>万瑞士法郎增长至</w:t>
      </w:r>
      <w:r>
        <w:rPr>
          <w:rFonts w:cstheme="minorEastAsia" w:hint="eastAsia"/>
          <w:lang w:val="en-US" w:eastAsia="zh-CN"/>
        </w:rPr>
        <w:t>2023</w:t>
      </w:r>
      <w:r>
        <w:rPr>
          <w:rFonts w:cstheme="minorEastAsia" w:hint="eastAsia"/>
          <w:lang w:val="en-US" w:eastAsia="zh-CN"/>
        </w:rPr>
        <w:t>年的</w:t>
      </w:r>
      <w:r>
        <w:rPr>
          <w:rFonts w:cstheme="minorEastAsia" w:hint="eastAsia"/>
          <w:lang w:val="en-US" w:eastAsia="zh-CN"/>
        </w:rPr>
        <w:t>857</w:t>
      </w:r>
      <w:r>
        <w:rPr>
          <w:rFonts w:cstheme="minorEastAsia" w:hint="eastAsia"/>
          <w:lang w:val="en-US" w:eastAsia="zh-CN"/>
        </w:rPr>
        <w:t>万瑞士法郎，</w:t>
      </w:r>
      <w:r w:rsidRPr="00E939F5">
        <w:rPr>
          <w:rFonts w:cstheme="minorEastAsia" w:hint="eastAsia"/>
          <w:spacing w:val="4"/>
          <w:lang w:val="en-US" w:eastAsia="zh-CN"/>
        </w:rPr>
        <w:t>增幅达</w:t>
      </w:r>
      <w:r w:rsidRPr="00E939F5">
        <w:rPr>
          <w:rFonts w:cstheme="minorEastAsia" w:hint="eastAsia"/>
          <w:spacing w:val="4"/>
          <w:lang w:val="en-US" w:eastAsia="zh-CN"/>
        </w:rPr>
        <w:t>9%</w:t>
      </w:r>
      <w:r w:rsidRPr="00E939F5">
        <w:rPr>
          <w:rFonts w:cstheme="minorEastAsia" w:hint="eastAsia"/>
          <w:spacing w:val="4"/>
          <w:lang w:val="en-US" w:eastAsia="zh-CN"/>
        </w:rPr>
        <w:t>。此外，预算外合同服务支出规模同样持续扩大，已从</w:t>
      </w:r>
      <w:r w:rsidRPr="00E939F5">
        <w:rPr>
          <w:rFonts w:cstheme="minorEastAsia" w:hint="eastAsia"/>
          <w:spacing w:val="4"/>
          <w:lang w:val="en-US" w:eastAsia="zh-CN"/>
        </w:rPr>
        <w:t>2022</w:t>
      </w:r>
      <w:r w:rsidRPr="00E939F5">
        <w:rPr>
          <w:rFonts w:cstheme="minorEastAsia" w:hint="eastAsia"/>
          <w:spacing w:val="4"/>
          <w:lang w:val="en-US" w:eastAsia="zh-CN"/>
        </w:rPr>
        <w:t>年的</w:t>
      </w:r>
      <w:r>
        <w:rPr>
          <w:rFonts w:cstheme="minorEastAsia" w:hint="eastAsia"/>
          <w:lang w:val="en-US" w:eastAsia="zh-CN"/>
        </w:rPr>
        <w:t>890</w:t>
      </w:r>
      <w:r>
        <w:rPr>
          <w:rFonts w:cstheme="minorEastAsia" w:hint="eastAsia"/>
          <w:lang w:val="en-US" w:eastAsia="zh-CN"/>
        </w:rPr>
        <w:t>万瑞士法郎进一步增加至</w:t>
      </w:r>
      <w:r>
        <w:rPr>
          <w:rFonts w:cstheme="minorEastAsia" w:hint="eastAsia"/>
          <w:lang w:val="en-US" w:eastAsia="zh-CN"/>
        </w:rPr>
        <w:t>2023</w:t>
      </w:r>
      <w:r>
        <w:rPr>
          <w:rFonts w:cstheme="minorEastAsia" w:hint="eastAsia"/>
          <w:lang w:val="en-US" w:eastAsia="zh-CN"/>
        </w:rPr>
        <w:t>年的</w:t>
      </w:r>
      <w:r>
        <w:rPr>
          <w:rFonts w:cstheme="minorEastAsia" w:hint="eastAsia"/>
          <w:lang w:val="en-US" w:eastAsia="zh-CN"/>
        </w:rPr>
        <w:t>965</w:t>
      </w:r>
      <w:r>
        <w:rPr>
          <w:rFonts w:cstheme="minorEastAsia" w:hint="eastAsia"/>
          <w:lang w:val="en-US" w:eastAsia="zh-CN"/>
        </w:rPr>
        <w:t>万瑞士法郎（占合同服务总支出的</w:t>
      </w:r>
      <w:r>
        <w:rPr>
          <w:rFonts w:cstheme="minorEastAsia" w:hint="eastAsia"/>
          <w:lang w:val="en-US" w:eastAsia="zh-CN"/>
        </w:rPr>
        <w:t>43.6%</w:t>
      </w:r>
      <w:r>
        <w:rPr>
          <w:rFonts w:cstheme="minorEastAsia" w:hint="eastAsia"/>
          <w:lang w:val="en-US" w:eastAsia="zh-CN"/>
        </w:rPr>
        <w:t>）。在法律费用方面，</w:t>
      </w:r>
      <w:r>
        <w:rPr>
          <w:rFonts w:cs="Calibri" w:hint="eastAsia"/>
          <w:lang w:val="en-US" w:eastAsia="zh-CN"/>
        </w:rPr>
        <w:t>英国国家审计署（</w:t>
      </w:r>
      <w:r>
        <w:rPr>
          <w:rFonts w:cs="Calibri" w:hint="eastAsia"/>
          <w:lang w:val="en-US" w:eastAsia="zh-CN"/>
        </w:rPr>
        <w:t>NAO</w:t>
      </w:r>
      <w:r>
        <w:rPr>
          <w:rFonts w:cs="Calibri" w:hint="eastAsia"/>
          <w:lang w:val="en-US" w:eastAsia="zh-CN"/>
        </w:rPr>
        <w:t>）在其</w:t>
      </w:r>
      <w:r>
        <w:rPr>
          <w:rFonts w:cs="Calibri" w:hint="eastAsia"/>
          <w:lang w:val="en-US" w:eastAsia="zh-CN"/>
        </w:rPr>
        <w:t>2023</w:t>
      </w:r>
      <w:r>
        <w:rPr>
          <w:rFonts w:cs="Calibri" w:hint="eastAsia"/>
          <w:lang w:val="en-US" w:eastAsia="zh-CN"/>
        </w:rPr>
        <w:t>年外部审计员报告中指出，国际电联在</w:t>
      </w:r>
      <w:r>
        <w:rPr>
          <w:rFonts w:cs="Calibri" w:hint="eastAsia"/>
          <w:lang w:val="en-US" w:eastAsia="zh-CN"/>
        </w:rPr>
        <w:t>2024</w:t>
      </w:r>
      <w:r>
        <w:rPr>
          <w:rFonts w:cs="Calibri" w:hint="eastAsia"/>
          <w:lang w:val="en-US" w:eastAsia="zh-CN"/>
        </w:rPr>
        <w:t>年收到国际劳工组织行政法庭（</w:t>
      </w:r>
      <w:r>
        <w:rPr>
          <w:rFonts w:cs="Calibri" w:hint="eastAsia"/>
          <w:lang w:val="en-US" w:eastAsia="zh-CN"/>
        </w:rPr>
        <w:t>ILOAT</w:t>
      </w:r>
      <w:r>
        <w:rPr>
          <w:rFonts w:cs="Calibri" w:hint="eastAsia"/>
          <w:lang w:val="en-US" w:eastAsia="zh-CN"/>
        </w:rPr>
        <w:t>）的一项裁决通知，涉及组织内部人事争议或劳工权益案件。尽管外部审计报告预计该裁决</w:t>
      </w:r>
      <w:r>
        <w:rPr>
          <w:rFonts w:cs="Calibri" w:hint="eastAsia"/>
          <w:lang w:val="en-US" w:eastAsia="zh-CN"/>
        </w:rPr>
        <w:lastRenderedPageBreak/>
        <w:t>产生的相关费用将超出当年预算中预留的诉讼准备金，但最终评估认为，这一事项对国际电联的整体财务状况影响“不重大”（</w:t>
      </w:r>
      <w:r>
        <w:rPr>
          <w:rFonts w:hint="eastAsia"/>
          <w:color w:val="0000FF"/>
          <w:u w:val="single"/>
          <w:lang w:val="en-US" w:eastAsia="zh-CN"/>
        </w:rPr>
        <w:fldChar w:fldCharType="begin"/>
      </w:r>
      <w:r>
        <w:rPr>
          <w:rFonts w:hint="eastAsia"/>
          <w:color w:val="0000FF"/>
          <w:u w:val="single"/>
          <w:lang w:val="en-US" w:eastAsia="zh-CN"/>
        </w:rPr>
        <w:instrText xml:space="preserve"> HYPERLINK "https://www.itu.int/md/S24-CL-C-0144/en" </w:instrText>
      </w:r>
      <w:r>
        <w:rPr>
          <w:rFonts w:hint="eastAsia"/>
          <w:color w:val="0000FF"/>
          <w:u w:val="single"/>
          <w:lang w:val="en-US" w:eastAsia="zh-CN"/>
        </w:rPr>
      </w:r>
      <w:r>
        <w:rPr>
          <w:rFonts w:hint="eastAsia"/>
          <w:color w:val="0000FF"/>
          <w:u w:val="single"/>
          <w:lang w:val="en-US" w:eastAsia="zh-CN"/>
        </w:rPr>
        <w:fldChar w:fldCharType="separate"/>
      </w:r>
      <w:r>
        <w:rPr>
          <w:rFonts w:hint="eastAsia"/>
          <w:color w:val="0000FF"/>
          <w:u w:val="single"/>
          <w:lang w:val="en-US" w:eastAsia="zh-CN"/>
        </w:rPr>
        <w:t>C24/144</w:t>
      </w:r>
      <w:r>
        <w:rPr>
          <w:rFonts w:hint="eastAsia"/>
          <w:color w:val="0000FF"/>
          <w:u w:val="single"/>
          <w:lang w:val="en-US" w:eastAsia="zh-CN"/>
        </w:rPr>
        <w:fldChar w:fldCharType="end"/>
      </w:r>
      <w:r>
        <w:rPr>
          <w:rFonts w:cs="Calibri" w:hint="eastAsia"/>
          <w:lang w:val="en-US" w:eastAsia="zh-CN"/>
        </w:rPr>
        <w:t>）。</w:t>
      </w:r>
    </w:p>
    <w:p w14:paraId="290DE99E" w14:textId="744955A7" w:rsidR="007E0514" w:rsidRDefault="007E0514" w:rsidP="000B2B87">
      <w:pPr>
        <w:pStyle w:val="enumlev1"/>
        <w:rPr>
          <w:rFonts w:cstheme="minorEastAsia"/>
          <w:lang w:val="en-US" w:eastAsia="zh-CN"/>
        </w:rPr>
      </w:pPr>
      <w:r>
        <w:rPr>
          <w:rFonts w:cs="Calibri" w:hint="eastAsia"/>
          <w:lang w:val="en-US" w:eastAsia="zh-CN"/>
        </w:rPr>
        <w:t>4</w:t>
      </w:r>
      <w:r w:rsidR="00352F4C">
        <w:rPr>
          <w:rFonts w:cstheme="minorEastAsia" w:hint="eastAsia"/>
          <w:lang w:val="en-US" w:eastAsia="zh-CN"/>
        </w:rPr>
        <w:t>)</w:t>
      </w:r>
      <w:r w:rsidR="00352F4C">
        <w:rPr>
          <w:rFonts w:cstheme="minorEastAsia"/>
          <w:lang w:val="en-US" w:eastAsia="zh-CN"/>
        </w:rPr>
        <w:tab/>
      </w:r>
      <w:r>
        <w:rPr>
          <w:rFonts w:cstheme="minorEastAsia" w:hint="eastAsia"/>
          <w:lang w:val="en-US" w:eastAsia="zh-CN"/>
        </w:rPr>
        <w:t>在战略制定、财务管理等事项上过度依赖短期顾问和第三方咨询机构，导致产生预算外和非必要支出。目前，国际电联的大部分项目活动均以特聘顾问（</w:t>
      </w:r>
      <w:r>
        <w:rPr>
          <w:rFonts w:cstheme="minorEastAsia" w:hint="eastAsia"/>
          <w:lang w:val="en-US" w:eastAsia="zh-CN"/>
        </w:rPr>
        <w:t>SSA</w:t>
      </w:r>
      <w:r>
        <w:rPr>
          <w:rFonts w:cstheme="minorEastAsia" w:hint="eastAsia"/>
          <w:lang w:val="en-US" w:eastAsia="zh-CN"/>
        </w:rPr>
        <w:t>）和第三方咨询机构等外包服务为基础，甚至将其应用于财务管理和机构转型等关键领域，致使外部机构得以参与国际电联核心决策并提供倾向性建议。例如，</w:t>
      </w:r>
      <w:r>
        <w:rPr>
          <w:rFonts w:cstheme="minorEastAsia" w:hint="eastAsia"/>
          <w:lang w:val="en-US" w:eastAsia="zh-CN"/>
        </w:rPr>
        <w:t>2023</w:t>
      </w:r>
      <w:r>
        <w:rPr>
          <w:rFonts w:cstheme="minorEastAsia" w:hint="eastAsia"/>
          <w:lang w:val="en-US" w:eastAsia="zh-CN"/>
        </w:rPr>
        <w:t>年支出</w:t>
      </w:r>
      <w:r>
        <w:rPr>
          <w:rFonts w:cstheme="minorEastAsia" w:hint="eastAsia"/>
          <w:lang w:val="en-US" w:eastAsia="zh-CN"/>
        </w:rPr>
        <w:t>48</w:t>
      </w:r>
      <w:r>
        <w:rPr>
          <w:rFonts w:cstheme="minorEastAsia" w:hint="eastAsia"/>
          <w:lang w:val="en-US" w:eastAsia="zh-CN"/>
        </w:rPr>
        <w:t>万瑞郎聘请安永（</w:t>
      </w:r>
      <w:r>
        <w:rPr>
          <w:rFonts w:cstheme="minorEastAsia" w:hint="eastAsia"/>
          <w:lang w:val="en-US" w:eastAsia="zh-CN"/>
        </w:rPr>
        <w:t>EY</w:t>
      </w:r>
      <w:r>
        <w:rPr>
          <w:rFonts w:cstheme="minorEastAsia" w:hint="eastAsia"/>
          <w:lang w:val="en-US" w:eastAsia="zh-CN"/>
        </w:rPr>
        <w:t>）完成本应属于内部财务职能的</w:t>
      </w:r>
      <w:r>
        <w:rPr>
          <w:rFonts w:cstheme="minorEastAsia" w:hint="eastAsia"/>
          <w:lang w:val="en-US" w:eastAsia="zh-CN"/>
        </w:rPr>
        <w:t>IPSAS</w:t>
      </w:r>
      <w:r>
        <w:rPr>
          <w:rFonts w:cstheme="minorEastAsia" w:hint="eastAsia"/>
          <w:lang w:val="en-US" w:eastAsia="zh-CN"/>
        </w:rPr>
        <w:t>标准财务报告编制工作，</w:t>
      </w:r>
      <w:r>
        <w:rPr>
          <w:rFonts w:cstheme="minorEastAsia" w:hint="eastAsia"/>
          <w:lang w:val="en-US" w:eastAsia="zh-CN"/>
        </w:rPr>
        <w:t>2024</w:t>
      </w:r>
      <w:r>
        <w:rPr>
          <w:rFonts w:cstheme="minorEastAsia" w:hint="eastAsia"/>
          <w:lang w:val="en-US" w:eastAsia="zh-CN"/>
        </w:rPr>
        <w:t>年又耗费</w:t>
      </w:r>
      <w:r>
        <w:rPr>
          <w:rFonts w:cstheme="minorEastAsia" w:hint="eastAsia"/>
          <w:lang w:val="en-US" w:eastAsia="zh-CN"/>
        </w:rPr>
        <w:t>23</w:t>
      </w:r>
      <w:r>
        <w:rPr>
          <w:rFonts w:cstheme="minorEastAsia" w:hint="eastAsia"/>
          <w:lang w:val="en-US" w:eastAsia="zh-CN"/>
        </w:rPr>
        <w:t>万瑞郎委托达博公司（</w:t>
      </w:r>
      <w:proofErr w:type="spellStart"/>
      <w:r>
        <w:rPr>
          <w:rFonts w:cstheme="minorEastAsia" w:hint="eastAsia"/>
          <w:lang w:val="en-US" w:eastAsia="zh-CN"/>
        </w:rPr>
        <w:t>Darbor</w:t>
      </w:r>
      <w:proofErr w:type="spellEnd"/>
      <w:r>
        <w:rPr>
          <w:rFonts w:cstheme="minorEastAsia" w:hint="eastAsia"/>
          <w:lang w:val="en-US" w:eastAsia="zh-CN"/>
        </w:rPr>
        <w:t>）对总秘书处进行组织架构评估，其提出的“设立行政和财务主管”等结构性建议，直接涉及组织治理架构调整。此外，</w:t>
      </w:r>
      <w:r>
        <w:rPr>
          <w:rFonts w:cstheme="minorEastAsia" w:hint="eastAsia"/>
          <w:lang w:val="en-US" w:eastAsia="zh-CN"/>
        </w:rPr>
        <w:t>SSA</w:t>
      </w:r>
      <w:r>
        <w:rPr>
          <w:rFonts w:cstheme="minorEastAsia" w:hint="eastAsia"/>
          <w:lang w:val="en-US" w:eastAsia="zh-CN"/>
        </w:rPr>
        <w:t>支出对机构预算的具体影响、人员规模等重要信息未得到充分披露。</w:t>
      </w:r>
    </w:p>
    <w:p w14:paraId="15C80AF9" w14:textId="30507CE8" w:rsidR="007E0514" w:rsidRPr="00352F4C" w:rsidRDefault="007E0514" w:rsidP="00352F4C">
      <w:pPr>
        <w:pStyle w:val="Heading1"/>
        <w:rPr>
          <w:lang w:val="en-US" w:eastAsia="zh-CN"/>
        </w:rPr>
      </w:pPr>
      <w:r w:rsidRPr="00352F4C">
        <w:rPr>
          <w:lang w:val="en-US" w:eastAsia="zh-CN"/>
        </w:rPr>
        <w:t>2</w:t>
      </w:r>
      <w:r w:rsidR="00352F4C">
        <w:rPr>
          <w:lang w:val="en-US" w:eastAsia="zh-CN"/>
        </w:rPr>
        <w:tab/>
      </w:r>
      <w:r w:rsidRPr="00352F4C">
        <w:rPr>
          <w:rFonts w:hint="eastAsia"/>
          <w:lang w:val="en-US" w:eastAsia="zh-CN"/>
        </w:rPr>
        <w:t>建议</w:t>
      </w:r>
    </w:p>
    <w:p w14:paraId="3659AB41" w14:textId="77777777" w:rsidR="007E0514" w:rsidRDefault="007E0514" w:rsidP="00352F4C">
      <w:pPr>
        <w:ind w:firstLineChars="200" w:firstLine="480"/>
        <w:rPr>
          <w:lang w:val="en-US" w:eastAsia="zh-CN"/>
        </w:rPr>
      </w:pPr>
      <w:r>
        <w:rPr>
          <w:rFonts w:hint="eastAsia"/>
          <w:lang w:val="en-US" w:eastAsia="zh-CN"/>
        </w:rPr>
        <w:t>国际电联的财务管理和预算执行效能将直接影响本组织的战略实施和可持续发展。为此，中方就加强预算管理和执行效率提出以下建议：</w:t>
      </w:r>
    </w:p>
    <w:p w14:paraId="290BAA51" w14:textId="773A5EB9" w:rsidR="007E0514" w:rsidRDefault="007E0514" w:rsidP="000B2B87">
      <w:pPr>
        <w:pStyle w:val="enumlev1"/>
        <w:rPr>
          <w:lang w:val="en-US" w:eastAsia="zh-CN"/>
        </w:rPr>
      </w:pPr>
      <w:r>
        <w:rPr>
          <w:lang w:val="en-US" w:eastAsia="zh-CN"/>
        </w:rPr>
        <w:t>1</w:t>
      </w:r>
      <w:r w:rsidR="001931B6">
        <w:rPr>
          <w:rFonts w:hint="eastAsia"/>
          <w:lang w:val="en-US" w:eastAsia="zh-CN"/>
        </w:rPr>
        <w:t>)</w:t>
      </w:r>
      <w:r w:rsidR="001931B6">
        <w:rPr>
          <w:lang w:val="en-US" w:eastAsia="zh-CN"/>
        </w:rPr>
        <w:tab/>
      </w:r>
      <w:r>
        <w:rPr>
          <w:lang w:val="en-US" w:eastAsia="zh-CN"/>
        </w:rPr>
        <w:t>为确保国际电联资金和人力投入与各部门的重点工作及预期成果相匹配，</w:t>
      </w:r>
      <w:r>
        <w:rPr>
          <w:rFonts w:hint="eastAsia"/>
          <w:lang w:val="en-US" w:eastAsia="zh-CN"/>
        </w:rPr>
        <w:t>总秘书处和</w:t>
      </w:r>
      <w:r>
        <w:rPr>
          <w:lang w:val="en-US" w:eastAsia="zh-CN"/>
        </w:rPr>
        <w:t>三大部门应根据其核心职责、战略目标和实际需求，明确工作重点和优先事项，按照重要性和优先级分别制定优先事项清单</w:t>
      </w:r>
      <w:r>
        <w:rPr>
          <w:rFonts w:hint="eastAsia"/>
          <w:lang w:val="en-US" w:eastAsia="zh-CN"/>
        </w:rPr>
        <w:t>（</w:t>
      </w:r>
      <w:r>
        <w:rPr>
          <w:lang w:val="en-US" w:eastAsia="zh-CN"/>
        </w:rPr>
        <w:t>列出相应预算需求</w:t>
      </w:r>
      <w:r>
        <w:rPr>
          <w:rFonts w:hint="eastAsia"/>
          <w:lang w:val="en-US" w:eastAsia="zh-CN"/>
        </w:rPr>
        <w:t>）</w:t>
      </w:r>
      <w:r>
        <w:rPr>
          <w:lang w:val="en-US" w:eastAsia="zh-CN"/>
        </w:rPr>
        <w:t>，</w:t>
      </w:r>
      <w:r>
        <w:rPr>
          <w:rFonts w:hint="eastAsia"/>
          <w:lang w:val="en-US" w:eastAsia="zh-CN"/>
        </w:rPr>
        <w:t>并</w:t>
      </w:r>
      <w:r>
        <w:rPr>
          <w:lang w:val="en-US" w:eastAsia="zh-CN"/>
        </w:rPr>
        <w:t>提交理事会审议。</w:t>
      </w:r>
      <w:r>
        <w:rPr>
          <w:rFonts w:hint="eastAsia"/>
          <w:lang w:val="en-US" w:eastAsia="zh-CN"/>
        </w:rPr>
        <w:t>理事会应根据其审定通过的优先事项安排年度预算资金，并</w:t>
      </w:r>
      <w:r>
        <w:rPr>
          <w:lang w:val="en-US" w:eastAsia="zh-CN"/>
        </w:rPr>
        <w:t>最大程度提升资源使用效益</w:t>
      </w:r>
      <w:r>
        <w:rPr>
          <w:rFonts w:hint="eastAsia"/>
          <w:lang w:val="en-US" w:eastAsia="zh-CN"/>
        </w:rPr>
        <w:t>和财务管理透明度。</w:t>
      </w:r>
    </w:p>
    <w:p w14:paraId="0D305EDF" w14:textId="1550C710" w:rsidR="00E323D0" w:rsidRPr="003F7E83" w:rsidRDefault="007E0514" w:rsidP="000B2B87">
      <w:pPr>
        <w:pStyle w:val="enumlev1"/>
        <w:rPr>
          <w:lang w:eastAsia="zh-CN"/>
        </w:rPr>
      </w:pPr>
      <w:r>
        <w:rPr>
          <w:lang w:val="en-US" w:eastAsia="zh-CN"/>
        </w:rPr>
        <w:t>2</w:t>
      </w:r>
      <w:r w:rsidR="001931B6">
        <w:rPr>
          <w:rFonts w:hint="eastAsia"/>
          <w:lang w:val="en-US" w:eastAsia="zh-CN"/>
        </w:rPr>
        <w:t>)</w:t>
      </w:r>
      <w:r w:rsidR="001931B6">
        <w:rPr>
          <w:lang w:val="en-US" w:eastAsia="zh-CN"/>
        </w:rPr>
        <w:tab/>
      </w:r>
      <w:r>
        <w:rPr>
          <w:rFonts w:hint="eastAsia"/>
          <w:lang w:val="en-US" w:eastAsia="zh-CN"/>
        </w:rPr>
        <w:t>重新评估相关支出的必要性与合理性，建议成立一个由独立管理顾问委员会（</w:t>
      </w:r>
      <w:r>
        <w:rPr>
          <w:rFonts w:hint="eastAsia"/>
          <w:lang w:val="en-US" w:eastAsia="zh-CN"/>
        </w:rPr>
        <w:t>IMAC</w:t>
      </w:r>
      <w:r>
        <w:rPr>
          <w:rFonts w:hint="eastAsia"/>
          <w:lang w:val="en-US" w:eastAsia="zh-CN"/>
        </w:rPr>
        <w:t>）、合同委员会、法律事务处、道德规范干事、内部审讯处和外部审计员组成的联合评估小组，全面审查本组织相关支出的必要性与合理性。该小组将系统评估现有开支是否符合国际电联的核心职能，识别并消除重复支出和冗余工作，同时确保所有资金使用符合法律、合同及道德规范要求，确保以有效、高效和经济的方式使用国际电联的资源。其审查结果应提交至理事会，由成员国进行监督审议。</w:t>
      </w:r>
    </w:p>
    <w:p w14:paraId="13B45C3E" w14:textId="77777777" w:rsidR="00E323D0" w:rsidRDefault="00E323D0" w:rsidP="0032202E">
      <w:pPr>
        <w:pStyle w:val="Reasons"/>
        <w:rPr>
          <w:lang w:eastAsia="zh-CN"/>
        </w:rPr>
      </w:pPr>
    </w:p>
    <w:p w14:paraId="09437817" w14:textId="77777777" w:rsidR="00E323D0" w:rsidRPr="00E323D0" w:rsidRDefault="00E323D0" w:rsidP="00E323D0">
      <w:pPr>
        <w:jc w:val="center"/>
      </w:pPr>
      <w:r>
        <w:t>______________</w:t>
      </w:r>
    </w:p>
    <w:sectPr w:rsidR="00E323D0" w:rsidRPr="00E323D0"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1953" w14:textId="77777777" w:rsidR="00FB5A5F" w:rsidRDefault="00FB5A5F">
      <w:r>
        <w:separator/>
      </w:r>
    </w:p>
  </w:endnote>
  <w:endnote w:type="continuationSeparator" w:id="0">
    <w:p w14:paraId="21B304CA" w14:textId="77777777" w:rsidR="00FB5A5F" w:rsidRDefault="00FB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Segoe Print"/>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6522286" w14:textId="77777777" w:rsidTr="00E31DCE">
      <w:trPr>
        <w:jc w:val="center"/>
      </w:trPr>
      <w:tc>
        <w:tcPr>
          <w:tcW w:w="1803" w:type="dxa"/>
          <w:vAlign w:val="center"/>
        </w:tcPr>
        <w:p w14:paraId="75C8C058" w14:textId="4CD9A683" w:rsidR="00E24D59" w:rsidRPr="007E0514"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7E0514">
            <w:rPr>
              <w:rFonts w:eastAsiaTheme="minorEastAsia" w:hint="eastAsia"/>
              <w:noProof/>
              <w:color w:val="808080" w:themeColor="background1" w:themeShade="80"/>
              <w:lang w:eastAsia="zh-CN"/>
            </w:rPr>
            <w:t>2501360</w:t>
          </w:r>
        </w:p>
      </w:tc>
      <w:tc>
        <w:tcPr>
          <w:tcW w:w="8261" w:type="dxa"/>
        </w:tcPr>
        <w:p w14:paraId="3187EB14" w14:textId="1997A92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7E0514">
            <w:rPr>
              <w:rFonts w:eastAsiaTheme="minorEastAsia" w:hint="eastAsia"/>
              <w:bCs/>
              <w:color w:val="808080" w:themeColor="background1" w:themeShade="80"/>
              <w:lang w:eastAsia="zh-CN"/>
            </w:rPr>
            <w:t>86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8035ABA"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5EADD9D" w14:textId="77777777" w:rsidTr="00E31DCE">
      <w:trPr>
        <w:jc w:val="center"/>
      </w:trPr>
      <w:tc>
        <w:tcPr>
          <w:tcW w:w="1803" w:type="dxa"/>
          <w:vAlign w:val="center"/>
        </w:tcPr>
        <w:p w14:paraId="42E4AD03"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59CE2EEB" w14:textId="33269D3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7E0514">
            <w:rPr>
              <w:rFonts w:eastAsiaTheme="minorEastAsia" w:hint="eastAsia"/>
              <w:bCs/>
              <w:color w:val="808080" w:themeColor="background1" w:themeShade="80"/>
              <w:lang w:eastAsia="zh-CN"/>
            </w:rPr>
            <w:t>86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E44AD9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8A51" w14:textId="77777777" w:rsidR="00FB5A5F" w:rsidRDefault="00FB5A5F">
      <w:r>
        <w:t>____________________</w:t>
      </w:r>
    </w:p>
  </w:footnote>
  <w:footnote w:type="continuationSeparator" w:id="0">
    <w:p w14:paraId="6E24E203" w14:textId="77777777" w:rsidR="00FB5A5F" w:rsidRDefault="00FB5A5F">
      <w:r>
        <w:continuationSeparator/>
      </w:r>
    </w:p>
  </w:footnote>
  <w:footnote w:id="1">
    <w:p w14:paraId="51B76FAA" w14:textId="4017B01C" w:rsidR="007E0514" w:rsidRPr="000E2BFF" w:rsidRDefault="007E0514" w:rsidP="007E0514">
      <w:pPr>
        <w:pStyle w:val="FootnoteText"/>
        <w:snapToGrid w:val="0"/>
        <w:spacing w:before="0"/>
        <w:rPr>
          <w:rFonts w:ascii="Times New Roman" w:hAnsi="Times New Roman" w:cstheme="minorHAnsi"/>
          <w:sz w:val="22"/>
          <w:szCs w:val="22"/>
          <w:u w:val="single"/>
          <w:lang w:val="en-US" w:eastAsia="zh-CN"/>
        </w:rPr>
      </w:pPr>
      <w:r w:rsidRPr="000E2BFF">
        <w:rPr>
          <w:rStyle w:val="FootnoteReference"/>
          <w:rFonts w:ascii="Times New Roman" w:hAnsi="Times New Roman"/>
          <w:sz w:val="22"/>
          <w:szCs w:val="22"/>
        </w:rPr>
        <w:footnoteRef/>
      </w:r>
      <w:r w:rsidR="000E2BFF">
        <w:rPr>
          <w:rFonts w:ascii="Times New Roman" w:hAnsi="Times New Roman"/>
          <w:sz w:val="22"/>
          <w:szCs w:val="22"/>
        </w:rPr>
        <w:tab/>
      </w:r>
      <w:r w:rsidRPr="000E2BFF">
        <w:rPr>
          <w:rFonts w:ascii="Times New Roman" w:hAnsi="Times New Roman" w:cstheme="minorHAnsi" w:hint="eastAsia"/>
          <w:sz w:val="22"/>
          <w:szCs w:val="22"/>
          <w:lang w:val="en-US" w:eastAsia="zh-CN"/>
        </w:rPr>
        <w:t>人力资源仪表板：</w:t>
      </w:r>
      <w:hyperlink r:id="rId1" w:history="1">
        <w:r w:rsidR="00C15784" w:rsidRPr="000E2BFF">
          <w:rPr>
            <w:rStyle w:val="Hyperlink"/>
            <w:rFonts w:eastAsia="SimSun"/>
            <w:sz w:val="22"/>
            <w:szCs w:val="22"/>
            <w:u w:val="single"/>
          </w:rPr>
          <w:t>https://council.itu.int/2025/en/resources/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CDC92C4" w14:textId="77777777" w:rsidTr="00E31DCE">
      <w:trPr>
        <w:trHeight w:val="1104"/>
        <w:jc w:val="center"/>
      </w:trPr>
      <w:tc>
        <w:tcPr>
          <w:tcW w:w="4390" w:type="dxa"/>
          <w:vAlign w:val="center"/>
        </w:tcPr>
        <w:p w14:paraId="3E0431BB" w14:textId="77777777" w:rsidR="00E24D59" w:rsidRPr="009621F8" w:rsidRDefault="00A13406" w:rsidP="00E24D59">
          <w:pPr>
            <w:pStyle w:val="Header"/>
            <w:jc w:val="left"/>
            <w:rPr>
              <w:rFonts w:ascii="Arial" w:hAnsi="Arial" w:cs="Arial"/>
              <w:b/>
              <w:bCs/>
              <w:color w:val="009CD6"/>
              <w:sz w:val="36"/>
              <w:szCs w:val="36"/>
            </w:rPr>
          </w:pPr>
          <w:bookmarkStart w:id="8" w:name="_Hlk133422111"/>
          <w:r>
            <w:rPr>
              <w:rFonts w:ascii="Arial" w:hAnsi="Arial" w:cs="Arial"/>
              <w:b/>
              <w:bCs/>
              <w:noProof/>
              <w:color w:val="009CD6"/>
              <w:sz w:val="36"/>
              <w:szCs w:val="36"/>
            </w:rPr>
            <w:drawing>
              <wp:inline distT="0" distB="0" distL="0" distR="0" wp14:anchorId="0AC3371E" wp14:editId="7E262F05">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41F4AF78" w14:textId="77777777" w:rsidR="00E24D59" w:rsidRDefault="00E24D59" w:rsidP="00E24D59">
          <w:pPr>
            <w:pStyle w:val="Header"/>
            <w:jc w:val="right"/>
            <w:rPr>
              <w:rFonts w:ascii="Arial" w:hAnsi="Arial" w:cs="Arial"/>
              <w:b/>
              <w:bCs/>
              <w:color w:val="009CD6"/>
              <w:szCs w:val="18"/>
            </w:rPr>
          </w:pPr>
        </w:p>
        <w:p w14:paraId="62FC74F2" w14:textId="77777777" w:rsidR="00E24D59" w:rsidRDefault="00E24D59" w:rsidP="00E24D59">
          <w:pPr>
            <w:pStyle w:val="Header"/>
            <w:jc w:val="right"/>
            <w:rPr>
              <w:rFonts w:ascii="Arial" w:hAnsi="Arial" w:cs="Arial"/>
              <w:b/>
              <w:bCs/>
              <w:color w:val="009CD6"/>
              <w:szCs w:val="18"/>
            </w:rPr>
          </w:pPr>
        </w:p>
        <w:p w14:paraId="0A1F4667"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64F74FA1"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9E6E1B3" wp14:editId="496D4334">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CCEE4"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5F"/>
    <w:rsid w:val="00001B77"/>
    <w:rsid w:val="0000517A"/>
    <w:rsid w:val="00031E72"/>
    <w:rsid w:val="00031F26"/>
    <w:rsid w:val="000404D2"/>
    <w:rsid w:val="000646BD"/>
    <w:rsid w:val="000853C0"/>
    <w:rsid w:val="00093DD9"/>
    <w:rsid w:val="0009409E"/>
    <w:rsid w:val="000A1C21"/>
    <w:rsid w:val="000A7BFF"/>
    <w:rsid w:val="000B2B87"/>
    <w:rsid w:val="000C0BC5"/>
    <w:rsid w:val="000D15EA"/>
    <w:rsid w:val="000D6340"/>
    <w:rsid w:val="000D7012"/>
    <w:rsid w:val="000E2BFF"/>
    <w:rsid w:val="00100D84"/>
    <w:rsid w:val="00124C9D"/>
    <w:rsid w:val="001305DE"/>
    <w:rsid w:val="0015333E"/>
    <w:rsid w:val="00157773"/>
    <w:rsid w:val="0018251A"/>
    <w:rsid w:val="00190272"/>
    <w:rsid w:val="001903D7"/>
    <w:rsid w:val="001931B6"/>
    <w:rsid w:val="00193244"/>
    <w:rsid w:val="00195C6C"/>
    <w:rsid w:val="00195FED"/>
    <w:rsid w:val="001A4BD6"/>
    <w:rsid w:val="001B6E2B"/>
    <w:rsid w:val="001D5A18"/>
    <w:rsid w:val="00215132"/>
    <w:rsid w:val="00224449"/>
    <w:rsid w:val="00280EB8"/>
    <w:rsid w:val="002A6670"/>
    <w:rsid w:val="002C3F32"/>
    <w:rsid w:val="002D2AD2"/>
    <w:rsid w:val="00303502"/>
    <w:rsid w:val="00324CA4"/>
    <w:rsid w:val="00325C25"/>
    <w:rsid w:val="00352F4C"/>
    <w:rsid w:val="00372C8F"/>
    <w:rsid w:val="00380ECE"/>
    <w:rsid w:val="00393DDF"/>
    <w:rsid w:val="00397F55"/>
    <w:rsid w:val="003B4454"/>
    <w:rsid w:val="003C2E37"/>
    <w:rsid w:val="003F086E"/>
    <w:rsid w:val="003F1415"/>
    <w:rsid w:val="003F7E83"/>
    <w:rsid w:val="0040144C"/>
    <w:rsid w:val="00403EB7"/>
    <w:rsid w:val="004178E6"/>
    <w:rsid w:val="00430BF0"/>
    <w:rsid w:val="004672E6"/>
    <w:rsid w:val="00474ED1"/>
    <w:rsid w:val="00477D57"/>
    <w:rsid w:val="00491BA9"/>
    <w:rsid w:val="00493085"/>
    <w:rsid w:val="004A36EC"/>
    <w:rsid w:val="004D163F"/>
    <w:rsid w:val="004D76FC"/>
    <w:rsid w:val="004E4BFF"/>
    <w:rsid w:val="004E6399"/>
    <w:rsid w:val="004F2598"/>
    <w:rsid w:val="005403F7"/>
    <w:rsid w:val="00540632"/>
    <w:rsid w:val="00541269"/>
    <w:rsid w:val="00541CF4"/>
    <w:rsid w:val="005451E8"/>
    <w:rsid w:val="005507F2"/>
    <w:rsid w:val="0056616E"/>
    <w:rsid w:val="005759CC"/>
    <w:rsid w:val="005A72E1"/>
    <w:rsid w:val="005C6632"/>
    <w:rsid w:val="005C7388"/>
    <w:rsid w:val="005D1C9E"/>
    <w:rsid w:val="00611327"/>
    <w:rsid w:val="00630DD5"/>
    <w:rsid w:val="00637584"/>
    <w:rsid w:val="006537A9"/>
    <w:rsid w:val="00654257"/>
    <w:rsid w:val="0065435A"/>
    <w:rsid w:val="00665021"/>
    <w:rsid w:val="00670D8A"/>
    <w:rsid w:val="006735F0"/>
    <w:rsid w:val="006A2DD3"/>
    <w:rsid w:val="006A5113"/>
    <w:rsid w:val="006A5AF8"/>
    <w:rsid w:val="006B6145"/>
    <w:rsid w:val="006C36CD"/>
    <w:rsid w:val="006C56EA"/>
    <w:rsid w:val="006F6587"/>
    <w:rsid w:val="00700D1F"/>
    <w:rsid w:val="007205CB"/>
    <w:rsid w:val="0072138B"/>
    <w:rsid w:val="00726073"/>
    <w:rsid w:val="00734FE8"/>
    <w:rsid w:val="007360CE"/>
    <w:rsid w:val="0077110E"/>
    <w:rsid w:val="00772315"/>
    <w:rsid w:val="00775157"/>
    <w:rsid w:val="007813AE"/>
    <w:rsid w:val="007A37DB"/>
    <w:rsid w:val="007E0514"/>
    <w:rsid w:val="007E189D"/>
    <w:rsid w:val="007E2EB8"/>
    <w:rsid w:val="007F0210"/>
    <w:rsid w:val="00806E3F"/>
    <w:rsid w:val="00811259"/>
    <w:rsid w:val="00813AA2"/>
    <w:rsid w:val="008173A3"/>
    <w:rsid w:val="008418F5"/>
    <w:rsid w:val="00843ED8"/>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740D6"/>
    <w:rsid w:val="00983878"/>
    <w:rsid w:val="0098459B"/>
    <w:rsid w:val="00997185"/>
    <w:rsid w:val="009C2458"/>
    <w:rsid w:val="009C4A7B"/>
    <w:rsid w:val="009C6123"/>
    <w:rsid w:val="009F1E3E"/>
    <w:rsid w:val="00A1213C"/>
    <w:rsid w:val="00A13406"/>
    <w:rsid w:val="00A272FF"/>
    <w:rsid w:val="00A505C3"/>
    <w:rsid w:val="00A5354B"/>
    <w:rsid w:val="00A71099"/>
    <w:rsid w:val="00A71B57"/>
    <w:rsid w:val="00A76B31"/>
    <w:rsid w:val="00AB42C1"/>
    <w:rsid w:val="00AC516F"/>
    <w:rsid w:val="00AE195F"/>
    <w:rsid w:val="00AE2926"/>
    <w:rsid w:val="00B0184B"/>
    <w:rsid w:val="00B035CD"/>
    <w:rsid w:val="00B06E25"/>
    <w:rsid w:val="00B0769D"/>
    <w:rsid w:val="00B217F8"/>
    <w:rsid w:val="00B332EA"/>
    <w:rsid w:val="00B40A53"/>
    <w:rsid w:val="00B45365"/>
    <w:rsid w:val="00B46A65"/>
    <w:rsid w:val="00B60184"/>
    <w:rsid w:val="00B62D20"/>
    <w:rsid w:val="00B76630"/>
    <w:rsid w:val="00B81E75"/>
    <w:rsid w:val="00B93453"/>
    <w:rsid w:val="00B9445B"/>
    <w:rsid w:val="00BD0954"/>
    <w:rsid w:val="00BD1A5A"/>
    <w:rsid w:val="00BD7A9B"/>
    <w:rsid w:val="00BD7BE1"/>
    <w:rsid w:val="00BF416B"/>
    <w:rsid w:val="00C15784"/>
    <w:rsid w:val="00C45EB2"/>
    <w:rsid w:val="00C64E4E"/>
    <w:rsid w:val="00C66E64"/>
    <w:rsid w:val="00C761A0"/>
    <w:rsid w:val="00C85F7E"/>
    <w:rsid w:val="00C90D53"/>
    <w:rsid w:val="00CA0B2E"/>
    <w:rsid w:val="00CA6EF7"/>
    <w:rsid w:val="00CC286F"/>
    <w:rsid w:val="00CD47F0"/>
    <w:rsid w:val="00CD5566"/>
    <w:rsid w:val="00CD64D7"/>
    <w:rsid w:val="00CE593F"/>
    <w:rsid w:val="00CE6F22"/>
    <w:rsid w:val="00CF41F6"/>
    <w:rsid w:val="00CF7D3E"/>
    <w:rsid w:val="00D02B4E"/>
    <w:rsid w:val="00D21F11"/>
    <w:rsid w:val="00D36817"/>
    <w:rsid w:val="00D453EE"/>
    <w:rsid w:val="00D5666C"/>
    <w:rsid w:val="00D666BC"/>
    <w:rsid w:val="00D83542"/>
    <w:rsid w:val="00D92F45"/>
    <w:rsid w:val="00D94637"/>
    <w:rsid w:val="00D95665"/>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6C9C"/>
    <w:rsid w:val="00E378D8"/>
    <w:rsid w:val="00E43A12"/>
    <w:rsid w:val="00E64B49"/>
    <w:rsid w:val="00E67C67"/>
    <w:rsid w:val="00E77476"/>
    <w:rsid w:val="00E8228B"/>
    <w:rsid w:val="00E939F5"/>
    <w:rsid w:val="00E94888"/>
    <w:rsid w:val="00EE5706"/>
    <w:rsid w:val="00EF373D"/>
    <w:rsid w:val="00F11595"/>
    <w:rsid w:val="00F13BC9"/>
    <w:rsid w:val="00F357B2"/>
    <w:rsid w:val="00F36556"/>
    <w:rsid w:val="00F6736A"/>
    <w:rsid w:val="00F705DF"/>
    <w:rsid w:val="00F70622"/>
    <w:rsid w:val="00F85624"/>
    <w:rsid w:val="00F87C05"/>
    <w:rsid w:val="00F93191"/>
    <w:rsid w:val="00F93A17"/>
    <w:rsid w:val="00FA288D"/>
    <w:rsid w:val="00FA2AF6"/>
    <w:rsid w:val="00FB073D"/>
    <w:rsid w:val="00FB5A5F"/>
    <w:rsid w:val="00FB771F"/>
    <w:rsid w:val="00FC0B6E"/>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A2298"/>
  <w15:docId w15:val="{15DCEC5A-9A38-4EF3-BBC6-A27A546C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qFormat/>
    <w:rsid w:val="006C36CD"/>
    <w:rPr>
      <w:position w:val="6"/>
      <w:sz w:val="18"/>
    </w:rPr>
  </w:style>
  <w:style w:type="paragraph" w:styleId="FootnoteText">
    <w:name w:val="footnote text"/>
    <w:basedOn w:val="Normal"/>
    <w:link w:val="FootnoteTextChar"/>
    <w:semiHidden/>
    <w:qFormat/>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qForma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qForma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normaltextrun">
    <w:name w:val="normaltextrun"/>
    <w:basedOn w:val="DefaultParagraphFont"/>
    <w:uiPriority w:val="1"/>
    <w:rsid w:val="00CC286F"/>
    <w:rPr>
      <w:rFonts w:ascii="CG Times" w:eastAsia="Times New Roman" w:hAnsi="CG 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CEXT23-C-0006/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230711-DL-0006/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3-CL-C-0053/en" TargetMode="External"/><Relationship Id="rId4" Type="http://schemas.openxmlformats.org/officeDocument/2006/relationships/settings" Target="settings.xml"/><Relationship Id="rId9" Type="http://schemas.openxmlformats.org/officeDocument/2006/relationships/hyperlink" Target="https://www.itu.int/md/S24-CL-C-0052/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uncil.itu.int/2025/en/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0</TotalTime>
  <Pages>3</Pages>
  <Words>2262</Words>
  <Characters>1397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3652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Recommendation on enhancing efficiency in budget implementation and rationality of expenditure in ITU</dc:title>
  <dc:subject>ITU Council 2025</dc:subject>
  <dc:creator>Kong, Hongli</dc:creator>
  <cp:keywords>Council-25, Council-25, C25</cp:keywords>
  <dc:description/>
  <cp:lastModifiedBy>GBS</cp:lastModifiedBy>
  <cp:revision>2</cp:revision>
  <cp:lastPrinted>2015-02-24T13:23:00Z</cp:lastPrinted>
  <dcterms:created xsi:type="dcterms:W3CDTF">2025-06-19T06:44:00Z</dcterms:created>
  <dcterms:modified xsi:type="dcterms:W3CDTF">2025-06-19T06:44:00Z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