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13061A" w14:paraId="09884040" w14:textId="77777777" w:rsidTr="00DA770A">
        <w:trPr>
          <w:cantSplit/>
          <w:trHeight w:val="23"/>
        </w:trPr>
        <w:tc>
          <w:tcPr>
            <w:tcW w:w="3969" w:type="dxa"/>
            <w:vMerge w:val="restart"/>
            <w:tcMar>
              <w:left w:w="0" w:type="dxa"/>
            </w:tcMar>
          </w:tcPr>
          <w:p w14:paraId="13627422" w14:textId="1C34EDA7" w:rsidR="00796BD3" w:rsidRPr="0013061A" w:rsidRDefault="0033025A"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13061A">
              <w:rPr>
                <w:b/>
                <w:lang w:val="ru-RU"/>
              </w:rPr>
              <w:t>Пункт повестки дня:</w:t>
            </w:r>
            <w:r w:rsidR="0013061A" w:rsidRPr="0013061A">
              <w:rPr>
                <w:b/>
                <w:bCs/>
                <w:color w:val="000000"/>
                <w:lang w:val="ru-RU"/>
              </w:rPr>
              <w:t xml:space="preserve"> ADM 1</w:t>
            </w:r>
          </w:p>
        </w:tc>
        <w:tc>
          <w:tcPr>
            <w:tcW w:w="5245" w:type="dxa"/>
          </w:tcPr>
          <w:p w14:paraId="430DF54C" w14:textId="0C8C4E4D" w:rsidR="00796BD3" w:rsidRPr="0013061A" w:rsidRDefault="0033025A" w:rsidP="00DA770A">
            <w:pPr>
              <w:tabs>
                <w:tab w:val="left" w:pos="851"/>
              </w:tabs>
              <w:spacing w:before="0" w:line="240" w:lineRule="atLeast"/>
              <w:jc w:val="right"/>
              <w:rPr>
                <w:b/>
                <w:lang w:val="ru-RU"/>
              </w:rPr>
            </w:pPr>
            <w:r w:rsidRPr="0013061A">
              <w:rPr>
                <w:b/>
                <w:lang w:val="ru-RU"/>
              </w:rPr>
              <w:t xml:space="preserve">Документ </w:t>
            </w:r>
            <w:r w:rsidR="00796BD3" w:rsidRPr="0013061A">
              <w:rPr>
                <w:b/>
                <w:lang w:val="ru-RU"/>
              </w:rPr>
              <w:t>C2</w:t>
            </w:r>
            <w:r w:rsidR="00D631AA" w:rsidRPr="0013061A">
              <w:rPr>
                <w:b/>
                <w:lang w:val="ru-RU"/>
              </w:rPr>
              <w:t>5</w:t>
            </w:r>
            <w:r w:rsidR="00796BD3" w:rsidRPr="0013061A">
              <w:rPr>
                <w:b/>
                <w:lang w:val="ru-RU"/>
              </w:rPr>
              <w:t>/</w:t>
            </w:r>
            <w:r w:rsidR="0013061A" w:rsidRPr="0013061A">
              <w:rPr>
                <w:b/>
                <w:lang w:val="ru-RU"/>
              </w:rPr>
              <w:t>84</w:t>
            </w:r>
            <w:r w:rsidR="00796BD3" w:rsidRPr="0013061A">
              <w:rPr>
                <w:b/>
                <w:lang w:val="ru-RU"/>
              </w:rPr>
              <w:t>-R</w:t>
            </w:r>
          </w:p>
        </w:tc>
      </w:tr>
      <w:tr w:rsidR="00796BD3" w:rsidRPr="0013061A" w14:paraId="2290D0B7" w14:textId="77777777" w:rsidTr="00DA770A">
        <w:trPr>
          <w:cantSplit/>
        </w:trPr>
        <w:tc>
          <w:tcPr>
            <w:tcW w:w="3969" w:type="dxa"/>
            <w:vMerge/>
          </w:tcPr>
          <w:p w14:paraId="4B159058" w14:textId="77777777" w:rsidR="00796BD3" w:rsidRPr="0013061A"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154F698C" w14:textId="73EB4325" w:rsidR="00796BD3" w:rsidRPr="0013061A" w:rsidRDefault="0013061A" w:rsidP="00DA770A">
            <w:pPr>
              <w:tabs>
                <w:tab w:val="left" w:pos="851"/>
              </w:tabs>
              <w:spacing w:before="0"/>
              <w:jc w:val="right"/>
              <w:rPr>
                <w:b/>
                <w:lang w:val="ru-RU"/>
              </w:rPr>
            </w:pPr>
            <w:r w:rsidRPr="0013061A">
              <w:rPr>
                <w:b/>
                <w:lang w:val="ru-RU"/>
              </w:rPr>
              <w:t>3 июня 2025 года</w:t>
            </w:r>
          </w:p>
        </w:tc>
      </w:tr>
      <w:tr w:rsidR="00796BD3" w:rsidRPr="0013061A" w14:paraId="6C8F952E" w14:textId="77777777" w:rsidTr="00DA770A">
        <w:trPr>
          <w:cantSplit/>
          <w:trHeight w:val="23"/>
        </w:trPr>
        <w:tc>
          <w:tcPr>
            <w:tcW w:w="3969" w:type="dxa"/>
            <w:vMerge/>
          </w:tcPr>
          <w:p w14:paraId="28A3C071" w14:textId="77777777" w:rsidR="00796BD3" w:rsidRPr="0013061A" w:rsidRDefault="00796BD3" w:rsidP="00DA770A">
            <w:pPr>
              <w:tabs>
                <w:tab w:val="left" w:pos="851"/>
              </w:tabs>
              <w:spacing w:line="240" w:lineRule="atLeast"/>
              <w:rPr>
                <w:b/>
                <w:lang w:val="ru-RU"/>
              </w:rPr>
            </w:pPr>
            <w:bookmarkStart w:id="4" w:name="dorlang" w:colFirst="1" w:colLast="1"/>
            <w:bookmarkEnd w:id="3"/>
          </w:p>
        </w:tc>
        <w:tc>
          <w:tcPr>
            <w:tcW w:w="5245" w:type="dxa"/>
          </w:tcPr>
          <w:p w14:paraId="2D1A7F3A" w14:textId="77777777" w:rsidR="00796BD3" w:rsidRPr="0013061A" w:rsidRDefault="0033025A" w:rsidP="00DA770A">
            <w:pPr>
              <w:tabs>
                <w:tab w:val="left" w:pos="851"/>
              </w:tabs>
              <w:spacing w:before="0" w:line="240" w:lineRule="atLeast"/>
              <w:jc w:val="right"/>
              <w:rPr>
                <w:b/>
                <w:lang w:val="ru-RU"/>
              </w:rPr>
            </w:pPr>
            <w:r w:rsidRPr="0013061A">
              <w:rPr>
                <w:b/>
                <w:lang w:val="ru-RU"/>
              </w:rPr>
              <w:t>Оригинал: английский</w:t>
            </w:r>
          </w:p>
        </w:tc>
      </w:tr>
      <w:tr w:rsidR="00796BD3" w:rsidRPr="0013061A" w14:paraId="3785463D" w14:textId="77777777" w:rsidTr="00DA770A">
        <w:trPr>
          <w:cantSplit/>
          <w:trHeight w:val="23"/>
        </w:trPr>
        <w:tc>
          <w:tcPr>
            <w:tcW w:w="3969" w:type="dxa"/>
          </w:tcPr>
          <w:p w14:paraId="5B5AFFFE" w14:textId="77777777" w:rsidR="00796BD3" w:rsidRPr="0013061A" w:rsidRDefault="00796BD3" w:rsidP="00DA770A">
            <w:pPr>
              <w:tabs>
                <w:tab w:val="left" w:pos="851"/>
              </w:tabs>
              <w:spacing w:line="240" w:lineRule="atLeast"/>
              <w:rPr>
                <w:b/>
                <w:lang w:val="ru-RU"/>
              </w:rPr>
            </w:pPr>
          </w:p>
        </w:tc>
        <w:tc>
          <w:tcPr>
            <w:tcW w:w="5245" w:type="dxa"/>
          </w:tcPr>
          <w:p w14:paraId="4D1B9DE5" w14:textId="77777777" w:rsidR="00796BD3" w:rsidRPr="0013061A" w:rsidRDefault="00796BD3" w:rsidP="00DA770A">
            <w:pPr>
              <w:tabs>
                <w:tab w:val="left" w:pos="851"/>
              </w:tabs>
              <w:spacing w:before="0" w:line="240" w:lineRule="atLeast"/>
              <w:jc w:val="right"/>
              <w:rPr>
                <w:b/>
                <w:lang w:val="ru-RU"/>
              </w:rPr>
            </w:pPr>
          </w:p>
        </w:tc>
      </w:tr>
      <w:tr w:rsidR="00796BD3" w:rsidRPr="0013061A" w14:paraId="6BA2D295" w14:textId="77777777" w:rsidTr="00DA770A">
        <w:trPr>
          <w:cantSplit/>
        </w:trPr>
        <w:tc>
          <w:tcPr>
            <w:tcW w:w="9214" w:type="dxa"/>
            <w:gridSpan w:val="2"/>
            <w:tcMar>
              <w:left w:w="0" w:type="dxa"/>
            </w:tcMar>
          </w:tcPr>
          <w:p w14:paraId="0EE46928" w14:textId="36EA3E29" w:rsidR="00796BD3" w:rsidRPr="0013061A" w:rsidRDefault="0013061A" w:rsidP="00DA770A">
            <w:pPr>
              <w:pStyle w:val="Source"/>
              <w:jc w:val="left"/>
              <w:rPr>
                <w:sz w:val="32"/>
                <w:szCs w:val="32"/>
                <w:lang w:val="ru-RU"/>
              </w:rPr>
            </w:pPr>
            <w:bookmarkStart w:id="5" w:name="dsource" w:colFirst="0" w:colLast="0"/>
            <w:bookmarkEnd w:id="4"/>
            <w:r w:rsidRPr="0013061A">
              <w:rPr>
                <w:rFonts w:cstheme="minorHAnsi"/>
                <w:sz w:val="32"/>
                <w:szCs w:val="32"/>
                <w:lang w:val="ru-RU"/>
              </w:rPr>
              <w:t>Вклад Швейцарской Конфедерации</w:t>
            </w:r>
          </w:p>
        </w:tc>
      </w:tr>
      <w:tr w:rsidR="00796BD3" w:rsidRPr="0013061A" w14:paraId="1BAF6FF9" w14:textId="77777777" w:rsidTr="00DA770A">
        <w:trPr>
          <w:cantSplit/>
        </w:trPr>
        <w:tc>
          <w:tcPr>
            <w:tcW w:w="9214" w:type="dxa"/>
            <w:gridSpan w:val="2"/>
            <w:tcMar>
              <w:left w:w="0" w:type="dxa"/>
            </w:tcMar>
          </w:tcPr>
          <w:p w14:paraId="6075A107" w14:textId="0C43160E" w:rsidR="00796BD3" w:rsidRPr="0013061A" w:rsidRDefault="0013061A" w:rsidP="00DA770A">
            <w:pPr>
              <w:pStyle w:val="Subtitle"/>
              <w:framePr w:hSpace="0" w:wrap="auto" w:hAnchor="text" w:xAlign="left" w:yAlign="inline"/>
              <w:rPr>
                <w:sz w:val="32"/>
                <w:szCs w:val="32"/>
                <w:lang w:val="ru-RU"/>
              </w:rPr>
            </w:pPr>
            <w:bookmarkStart w:id="6" w:name="dtitle1" w:colFirst="0" w:colLast="0"/>
            <w:bookmarkEnd w:id="5"/>
            <w:r w:rsidRPr="0013061A">
              <w:rPr>
                <w:rFonts w:cstheme="minorHAnsi"/>
                <w:sz w:val="32"/>
                <w:szCs w:val="32"/>
                <w:lang w:val="ru-RU"/>
              </w:rPr>
              <w:t>УТОЧНЕНИЕ РОЛИ РУКОВОДЯЩИХ ОРГАНОВ МСЭ В СТРУКТУРАХ ОРГАНИЗАЦИИ, ЗАНИМАЮЩИХСЯ ВОПРОСАМИ УПРАВЛЕНИЯ ИТ И УПРАВЛЕНИЯ ДАННЫМИ/ИНФОРМАЦИЕЙ</w:t>
            </w:r>
          </w:p>
        </w:tc>
      </w:tr>
      <w:tr w:rsidR="00796BD3" w:rsidRPr="0013061A" w14:paraId="24EDAD62" w14:textId="77777777" w:rsidTr="00DA770A">
        <w:trPr>
          <w:cantSplit/>
        </w:trPr>
        <w:tc>
          <w:tcPr>
            <w:tcW w:w="9214" w:type="dxa"/>
            <w:gridSpan w:val="2"/>
            <w:tcBorders>
              <w:top w:val="single" w:sz="4" w:space="0" w:color="auto"/>
              <w:bottom w:val="single" w:sz="4" w:space="0" w:color="auto"/>
            </w:tcBorders>
            <w:tcMar>
              <w:left w:w="0" w:type="dxa"/>
            </w:tcMar>
          </w:tcPr>
          <w:p w14:paraId="3467628C" w14:textId="77777777" w:rsidR="00796BD3" w:rsidRPr="0013061A" w:rsidRDefault="0033025A" w:rsidP="00DA770A">
            <w:pPr>
              <w:spacing w:before="160"/>
              <w:rPr>
                <w:b/>
                <w:bCs/>
                <w:sz w:val="24"/>
                <w:szCs w:val="24"/>
                <w:lang w:val="ru-RU"/>
              </w:rPr>
            </w:pPr>
            <w:r w:rsidRPr="0013061A">
              <w:rPr>
                <w:b/>
                <w:bCs/>
                <w:sz w:val="24"/>
                <w:szCs w:val="24"/>
                <w:lang w:val="ru-RU"/>
              </w:rPr>
              <w:t>Назначение</w:t>
            </w:r>
          </w:p>
          <w:p w14:paraId="64DF4175" w14:textId="77777777" w:rsidR="0013061A" w:rsidRPr="0013061A" w:rsidRDefault="0013061A" w:rsidP="0013061A">
            <w:pPr>
              <w:rPr>
                <w:rFonts w:eastAsia="Calibri" w:cs="Calibri"/>
                <w:lang w:val="ru-RU"/>
              </w:rPr>
            </w:pPr>
            <w:r w:rsidRPr="0013061A">
              <w:rPr>
                <w:lang w:val="ru-RU"/>
              </w:rPr>
              <w:t>В вопросах, имеющих решающее значение для должного функционирования Организации, полномочные конференции (ПК) и Совет должны принимать решения, а также утверждать и одобрять соответствующие документы. Тем не менее в МСЭ в отношении вопросов управления ИТ и управления данными/информацией (которые являются жизненно важными функциями для современных хозяйствующих субъектов) это условие в настоящее время не выполняется. Фактически даже по стратегическим аспектам этих вопросов Совет МСЭ получает лишь фрагментарную, бессистемную информацию. Целью данного вклада является обеспечение того, чтобы Совет МСЭ взял на себя выполнение обязанностей в этих областях, имеющих важнейшее значение для надлежащего функционирования МСЭ.</w:t>
            </w:r>
          </w:p>
          <w:p w14:paraId="63DF02CA" w14:textId="77777777" w:rsidR="0013061A" w:rsidRPr="0013061A" w:rsidRDefault="0013061A" w:rsidP="0013061A">
            <w:pPr>
              <w:rPr>
                <w:rFonts w:eastAsia="Calibri" w:cs="Calibri"/>
                <w:lang w:val="ru-RU"/>
              </w:rPr>
            </w:pPr>
            <w:r w:rsidRPr="0013061A">
              <w:rPr>
                <w:lang w:val="ru-RU"/>
              </w:rPr>
              <w:t>Если МСЭ претендует на звание специализированного учреждения Организации Объединенных Наций в области информационно-коммуникационных технологий/цифровых технологий, его внутреннее управление ИТ и данными/информацией должно быть образцовым. Это требует участия руководящих органов МСЭ в разработке, определении и пересмотре ключевых элементов управления ИТ и управления данными/информацией (например, стратегий, финансирования, межсекторальных вопросов), а не просто получения эпизодической информации постфактум.</w:t>
            </w:r>
          </w:p>
          <w:p w14:paraId="7D7ADEB0" w14:textId="77777777" w:rsidR="0013061A" w:rsidRPr="0013061A" w:rsidRDefault="0013061A" w:rsidP="0013061A">
            <w:pPr>
              <w:rPr>
                <w:rFonts w:eastAsia="Calibri" w:cs="Calibri"/>
                <w:lang w:val="ru-RU"/>
              </w:rPr>
            </w:pPr>
            <w:r w:rsidRPr="0013061A">
              <w:rPr>
                <w:lang w:val="ru-RU"/>
              </w:rPr>
              <w:t>По нашему мнению, реструктуризация Комитета по информационно-коммуникационным технологиям (КИКТ)</w:t>
            </w:r>
            <w:r w:rsidRPr="0013061A">
              <w:rPr>
                <w:rStyle w:val="FootnoteReference"/>
                <w:rFonts w:eastAsia="Calibri" w:cs="Calibri"/>
                <w:color w:val="000000"/>
                <w:lang w:val="ru-RU"/>
              </w:rPr>
              <w:footnoteReference w:id="1"/>
            </w:r>
            <w:r w:rsidRPr="0013061A">
              <w:rPr>
                <w:lang w:val="ru-RU"/>
              </w:rPr>
              <w:t>, переименованного в Комитет по управлению ИКТ (ICTGC), о которой Совет был информирован на сессии 2024 года, не создает надежную основу для управления ИТ и данными в МСЭ, прежде всего потому, что в ходе нее роль руководящих органов Союза не была принята во внимание.</w:t>
            </w:r>
          </w:p>
          <w:p w14:paraId="12195E95" w14:textId="77777777" w:rsidR="00796BD3" w:rsidRPr="0013061A" w:rsidRDefault="0033025A" w:rsidP="00DA770A">
            <w:pPr>
              <w:spacing w:before="160"/>
              <w:rPr>
                <w:b/>
                <w:bCs/>
                <w:sz w:val="24"/>
                <w:szCs w:val="24"/>
                <w:lang w:val="ru-RU"/>
              </w:rPr>
            </w:pPr>
            <w:r w:rsidRPr="0013061A">
              <w:rPr>
                <w:b/>
                <w:bCs/>
                <w:sz w:val="24"/>
                <w:szCs w:val="24"/>
                <w:lang w:val="ru-RU"/>
              </w:rPr>
              <w:t>Необходимые действия Совета</w:t>
            </w:r>
          </w:p>
          <w:p w14:paraId="7901A31B" w14:textId="77777777" w:rsidR="0013061A" w:rsidRPr="0013061A" w:rsidRDefault="0013061A" w:rsidP="0013061A">
            <w:pPr>
              <w:spacing w:line="260" w:lineRule="atLeast"/>
              <w:rPr>
                <w:rFonts w:eastAsia="Calibri" w:cs="Calibri"/>
                <w:lang w:val="ru-RU"/>
              </w:rPr>
            </w:pPr>
            <w:r w:rsidRPr="0013061A">
              <w:rPr>
                <w:color w:val="000000"/>
                <w:lang w:val="ru-RU"/>
              </w:rPr>
              <w:t xml:space="preserve">Во-первых, предлагается, чтобы вся важная информация – с точки зрения руководящих органов, – касающаяся управления ИТ и управления данными в МСЭ, доводилась до сведения сессий ПК и Совета комплексно в обобщенном виде. ПК и Совет должны делать выбор в пользу совершенных систем управления ИТ и данными (воздерживаясь при этом от </w:t>
            </w:r>
            <w:proofErr w:type="spellStart"/>
            <w:r w:rsidRPr="0013061A">
              <w:rPr>
                <w:color w:val="000000"/>
                <w:lang w:val="ru-RU"/>
              </w:rPr>
              <w:t>микроуправления</w:t>
            </w:r>
            <w:proofErr w:type="spellEnd"/>
            <w:r w:rsidRPr="0013061A">
              <w:rPr>
                <w:color w:val="000000"/>
                <w:lang w:val="ru-RU"/>
              </w:rPr>
              <w:t xml:space="preserve"> деятельностью в области ИТ Организации). Эти два органа должны выполнять свои роли и взять на себя обязанности в этих важнейших для функционирования Союза областях. Предлагаемая в </w:t>
            </w:r>
            <w:r w:rsidRPr="0013061A">
              <w:rPr>
                <w:color w:val="000000"/>
                <w:lang w:val="ru-RU"/>
              </w:rPr>
              <w:lastRenderedPageBreak/>
              <w:t>данном случае оптимизация должна привести, среди прочего, к совершенствованию и большей прозрачности стратегического и финансового планирования важнейших проектов Организации в области информационных и других технологий, что в конечном счете обеспечит б</w:t>
            </w:r>
            <w:r w:rsidRPr="0013061A">
              <w:rPr>
                <w:rFonts w:cs="Calibri"/>
                <w:color w:val="000000"/>
                <w:lang w:val="ru-RU"/>
              </w:rPr>
              <w:t>ó</w:t>
            </w:r>
            <w:r w:rsidRPr="0013061A">
              <w:rPr>
                <w:color w:val="000000"/>
                <w:lang w:val="ru-RU"/>
              </w:rPr>
              <w:t xml:space="preserve">льшую определенность при планировании этих проектов. Примерный перечень аспектов управления ИТ и управления данными, о которых Совет МСЭ должен </w:t>
            </w:r>
            <w:r w:rsidRPr="0013061A">
              <w:rPr>
                <w:b/>
                <w:bCs/>
                <w:color w:val="000000"/>
                <w:lang w:val="ru-RU"/>
              </w:rPr>
              <w:t>получать отчеты</w:t>
            </w:r>
            <w:r w:rsidRPr="0013061A">
              <w:rPr>
                <w:color w:val="000000"/>
                <w:lang w:val="ru-RU"/>
              </w:rPr>
              <w:t xml:space="preserve"> для сведения или для одобрения, в зависимости от случая, комплексно в обобщенном виде:</w:t>
            </w:r>
            <w:bookmarkStart w:id="7" w:name="_Hlk199258584"/>
            <w:bookmarkEnd w:id="7"/>
          </w:p>
          <w:p w14:paraId="4EDB38AC" w14:textId="77777777" w:rsidR="0013061A" w:rsidRPr="0013061A" w:rsidRDefault="0013061A" w:rsidP="0013061A">
            <w:pPr>
              <w:pStyle w:val="enumlev1"/>
              <w:rPr>
                <w:rFonts w:eastAsia="Calibri"/>
                <w:lang w:val="ru-RU"/>
              </w:rPr>
            </w:pPr>
            <w:r w:rsidRPr="0013061A">
              <w:rPr>
                <w:lang w:val="ru-RU"/>
              </w:rPr>
              <w:t>–</w:t>
            </w:r>
            <w:r w:rsidRPr="0013061A">
              <w:rPr>
                <w:lang w:val="ru-RU"/>
              </w:rPr>
              <w:tab/>
              <w:t>Документация стратегического характера:</w:t>
            </w:r>
          </w:p>
          <w:p w14:paraId="4B19EDAF" w14:textId="25E11A6E" w:rsidR="0013061A" w:rsidRPr="0013061A" w:rsidRDefault="009E3E38" w:rsidP="0013061A">
            <w:pPr>
              <w:pStyle w:val="enumlev2"/>
              <w:rPr>
                <w:rFonts w:eastAsia="Calibri"/>
                <w:lang w:val="ru-RU"/>
              </w:rPr>
            </w:pPr>
            <w:r w:rsidRPr="0013061A">
              <w:rPr>
                <w:rFonts w:eastAsia="Calibri"/>
                <w:lang w:val="ru-RU"/>
              </w:rPr>
              <w:t>•</w:t>
            </w:r>
            <w:r w:rsidR="0013061A" w:rsidRPr="0013061A">
              <w:rPr>
                <w:lang w:val="ru-RU"/>
              </w:rPr>
              <w:tab/>
              <w:t>стратегия в области ИТ;</w:t>
            </w:r>
          </w:p>
          <w:p w14:paraId="3CC02C30" w14:textId="47BFA7BB" w:rsidR="0013061A" w:rsidRPr="0013061A" w:rsidRDefault="0013061A" w:rsidP="0013061A">
            <w:pPr>
              <w:pStyle w:val="enumlev2"/>
              <w:rPr>
                <w:rFonts w:eastAsia="Calibri"/>
                <w:lang w:val="ru-RU"/>
              </w:rPr>
            </w:pPr>
            <w:r w:rsidRPr="0013061A">
              <w:rPr>
                <w:rFonts w:eastAsia="Calibri"/>
                <w:lang w:val="ru-RU"/>
              </w:rPr>
              <w:t>•</w:t>
            </w:r>
            <w:r w:rsidRPr="0013061A">
              <w:rPr>
                <w:lang w:val="ru-RU"/>
              </w:rPr>
              <w:tab/>
              <w:t>стратегия управления информацией и данными;</w:t>
            </w:r>
          </w:p>
          <w:p w14:paraId="336C1092" w14:textId="1E929800" w:rsidR="0013061A" w:rsidRPr="0013061A" w:rsidRDefault="0013061A" w:rsidP="0013061A">
            <w:pPr>
              <w:pStyle w:val="enumlev2"/>
              <w:rPr>
                <w:rFonts w:eastAsia="Calibri"/>
                <w:lang w:val="ru-RU"/>
              </w:rPr>
            </w:pPr>
            <w:r w:rsidRPr="0013061A">
              <w:rPr>
                <w:rFonts w:eastAsia="Calibri"/>
                <w:lang w:val="ru-RU"/>
              </w:rPr>
              <w:t>•</w:t>
            </w:r>
            <w:r w:rsidRPr="0013061A">
              <w:rPr>
                <w:lang w:val="ru-RU"/>
              </w:rPr>
              <w:tab/>
              <w:t>стратегия использования ИИ;</w:t>
            </w:r>
          </w:p>
          <w:p w14:paraId="53C4706D" w14:textId="77777777" w:rsidR="0013061A" w:rsidRPr="0013061A" w:rsidRDefault="0013061A" w:rsidP="0013061A">
            <w:pPr>
              <w:pStyle w:val="enumlev2"/>
              <w:rPr>
                <w:rFonts w:eastAsia="Calibri"/>
                <w:lang w:val="ru-RU"/>
              </w:rPr>
            </w:pPr>
            <w:r w:rsidRPr="0013061A">
              <w:rPr>
                <w:rFonts w:eastAsia="Calibri"/>
                <w:lang w:val="ru-RU"/>
              </w:rPr>
              <w:t>•</w:t>
            </w:r>
            <w:r w:rsidRPr="0013061A">
              <w:rPr>
                <w:lang w:val="ru-RU"/>
              </w:rPr>
              <w:tab/>
              <w:t>средства достижения целей согласно Стратегическому плану, относящиеся к управлению ИТ и управлению данными/информацией.</w:t>
            </w:r>
          </w:p>
          <w:p w14:paraId="3219F910" w14:textId="77777777" w:rsidR="0013061A" w:rsidRPr="0013061A" w:rsidRDefault="0013061A" w:rsidP="0013061A">
            <w:pPr>
              <w:pStyle w:val="enumlev1"/>
              <w:rPr>
                <w:lang w:val="ru-RU"/>
              </w:rPr>
            </w:pPr>
            <w:r w:rsidRPr="0013061A">
              <w:rPr>
                <w:color w:val="000000"/>
                <w:lang w:val="ru-RU"/>
              </w:rPr>
              <w:t>–</w:t>
            </w:r>
            <w:r w:rsidRPr="0013061A">
              <w:rPr>
                <w:color w:val="000000"/>
                <w:lang w:val="ru-RU"/>
              </w:rPr>
              <w:tab/>
            </w:r>
            <w:r w:rsidRPr="0013061A">
              <w:rPr>
                <w:lang w:val="ru-RU"/>
              </w:rPr>
              <w:t>Служебные приказы, относящиеся к управлению ИТ и управлению данными (проекты и действующие документы).</w:t>
            </w:r>
          </w:p>
          <w:p w14:paraId="2974B122" w14:textId="77777777" w:rsidR="0013061A" w:rsidRPr="0013061A" w:rsidRDefault="0013061A" w:rsidP="0013061A">
            <w:pPr>
              <w:pStyle w:val="enumlev1"/>
              <w:rPr>
                <w:lang w:val="ru-RU"/>
              </w:rPr>
            </w:pPr>
            <w:r w:rsidRPr="0013061A">
              <w:rPr>
                <w:lang w:val="ru-RU"/>
              </w:rPr>
              <w:t>–</w:t>
            </w:r>
            <w:r w:rsidRPr="0013061A">
              <w:rPr>
                <w:lang w:val="ru-RU"/>
              </w:rPr>
              <w:tab/>
              <w:t>Спецификации, относящиеся к проекту нового веб-сайта (руководство по использованию фирменного стиля и технические требования).</w:t>
            </w:r>
          </w:p>
          <w:p w14:paraId="7CBC226A" w14:textId="77777777" w:rsidR="0013061A" w:rsidRPr="0013061A" w:rsidRDefault="0013061A" w:rsidP="0013061A">
            <w:pPr>
              <w:pStyle w:val="enumlev1"/>
              <w:rPr>
                <w:lang w:val="ru-RU"/>
              </w:rPr>
            </w:pPr>
            <w:r w:rsidRPr="0013061A">
              <w:rPr>
                <w:lang w:val="ru-RU"/>
              </w:rPr>
              <w:t>–</w:t>
            </w:r>
            <w:r w:rsidRPr="0013061A">
              <w:rPr>
                <w:lang w:val="ru-RU"/>
              </w:rPr>
              <w:tab/>
              <w:t>Информация о преобразовании основных бизнес-процессов в части цифровых инструментов с использованием инновационных технологий.</w:t>
            </w:r>
          </w:p>
          <w:p w14:paraId="58813E22" w14:textId="77777777" w:rsidR="0013061A" w:rsidRPr="0013061A" w:rsidRDefault="0013061A" w:rsidP="0013061A">
            <w:pPr>
              <w:pStyle w:val="enumlev1"/>
              <w:rPr>
                <w:lang w:val="ru-RU"/>
              </w:rPr>
            </w:pPr>
            <w:r w:rsidRPr="0013061A">
              <w:rPr>
                <w:lang w:val="ru-RU"/>
              </w:rPr>
              <w:t>–</w:t>
            </w:r>
            <w:r w:rsidRPr="0013061A">
              <w:rPr>
                <w:lang w:val="ru-RU"/>
              </w:rPr>
              <w:tab/>
              <w:t>Цифровые риски на стратегическом уровне и для основных бизнес-процессов.</w:t>
            </w:r>
          </w:p>
          <w:p w14:paraId="7139817B" w14:textId="77777777" w:rsidR="0013061A" w:rsidRPr="0013061A" w:rsidRDefault="0013061A" w:rsidP="0013061A">
            <w:pPr>
              <w:pStyle w:val="enumlev1"/>
              <w:rPr>
                <w:lang w:val="ru-RU"/>
              </w:rPr>
            </w:pPr>
            <w:r w:rsidRPr="0013061A">
              <w:rPr>
                <w:lang w:val="ru-RU"/>
              </w:rPr>
              <w:t>–</w:t>
            </w:r>
            <w:r w:rsidRPr="0013061A">
              <w:rPr>
                <w:lang w:val="ru-RU"/>
              </w:rPr>
              <w:tab/>
              <w:t>Согласованное управление, капитализация и защита данных Организации.</w:t>
            </w:r>
          </w:p>
          <w:p w14:paraId="46293170" w14:textId="77777777" w:rsidR="0013061A" w:rsidRPr="0013061A" w:rsidRDefault="0013061A" w:rsidP="0013061A">
            <w:pPr>
              <w:pStyle w:val="enumlev1"/>
              <w:rPr>
                <w:lang w:val="ru-RU"/>
              </w:rPr>
            </w:pPr>
            <w:r w:rsidRPr="0013061A">
              <w:rPr>
                <w:lang w:val="ru-RU"/>
              </w:rPr>
              <w:t>–</w:t>
            </w:r>
            <w:r w:rsidRPr="0013061A">
              <w:rPr>
                <w:lang w:val="ru-RU"/>
              </w:rPr>
              <w:tab/>
              <w:t>Приведение архитектуры ИТ в соответствие со стратегической ориентацией и задачами.</w:t>
            </w:r>
          </w:p>
          <w:p w14:paraId="355A62F1" w14:textId="77777777" w:rsidR="0013061A" w:rsidRPr="0013061A" w:rsidRDefault="0013061A" w:rsidP="0013061A">
            <w:pPr>
              <w:pStyle w:val="enumlev1"/>
              <w:rPr>
                <w:lang w:val="ru-RU"/>
              </w:rPr>
            </w:pPr>
            <w:r w:rsidRPr="0013061A">
              <w:rPr>
                <w:lang w:val="ru-RU"/>
              </w:rPr>
              <w:t>–</w:t>
            </w:r>
            <w:r w:rsidRPr="0013061A">
              <w:rPr>
                <w:lang w:val="ru-RU"/>
              </w:rPr>
              <w:tab/>
              <w:t>ИТ-активы/портфель цифровых решений и управление их развитием, а также информация о начатых проектах в области ИТ.</w:t>
            </w:r>
          </w:p>
          <w:p w14:paraId="67927571" w14:textId="77777777" w:rsidR="0013061A" w:rsidRPr="0013061A" w:rsidRDefault="0013061A" w:rsidP="0013061A">
            <w:pPr>
              <w:pStyle w:val="enumlev1"/>
              <w:rPr>
                <w:rFonts w:eastAsia="Calibri" w:cs="Calibri"/>
                <w:bCs/>
                <w:szCs w:val="24"/>
                <w:lang w:val="ru-RU"/>
              </w:rPr>
            </w:pPr>
            <w:r w:rsidRPr="0013061A">
              <w:rPr>
                <w:lang w:val="ru-RU"/>
              </w:rPr>
              <w:t>–</w:t>
            </w:r>
            <w:r w:rsidRPr="0013061A">
              <w:rPr>
                <w:lang w:val="ru-RU"/>
              </w:rPr>
              <w:tab/>
              <w:t>Многолетний скользящий бюджет в области ИТ и бюджет, связанный с управлением данными</w:t>
            </w:r>
            <w:r w:rsidRPr="0013061A">
              <w:rPr>
                <w:color w:val="000000"/>
                <w:lang w:val="ru-RU"/>
              </w:rPr>
              <w:t>/информацией (для Организации в целом и Секторов).</w:t>
            </w:r>
          </w:p>
          <w:p w14:paraId="78B04B3C" w14:textId="77777777" w:rsidR="0013061A" w:rsidRPr="0013061A" w:rsidRDefault="0013061A" w:rsidP="0013061A">
            <w:pPr>
              <w:rPr>
                <w:rFonts w:eastAsia="Calibri" w:cs="Calibri"/>
                <w:lang w:val="ru-RU"/>
              </w:rPr>
            </w:pPr>
            <w:r w:rsidRPr="0013061A">
              <w:rPr>
                <w:lang w:val="ru-RU"/>
              </w:rPr>
              <w:t xml:space="preserve">Во-вторых, Совету следует </w:t>
            </w:r>
            <w:r w:rsidRPr="0013061A">
              <w:rPr>
                <w:b/>
                <w:bCs/>
                <w:lang w:val="ru-RU"/>
              </w:rPr>
              <w:t>поручить</w:t>
            </w:r>
            <w:r w:rsidRPr="0013061A">
              <w:rPr>
                <w:lang w:val="ru-RU"/>
              </w:rPr>
              <w:t xml:space="preserve"> Рабочей группе Совета по финансовым и людским ресурсам (РГС-ФЛР) в тесном сотрудничестве с консультативными группами трех Секторов Союза и Независимым консультативным комитетом по управлению (IMAC) разработать концепцию, уточняющую и расширяющую обязанности полномочных конференций и Совета в отношении организации и согласования управления ИТ и данными в МСЭ. Эти реформы МСЭ в области управления ИТ и управления данными должны обеспечить совершенствование создания стоимости, надлежащее согласование со стратегией, повышение эффективности управления показателями деятельности и управления ресурсами, а также совершенствование управления рисками. РГС-ФЛР следует представить отчет по этому вопросу Совету на его обычной сессии 2026 года.</w:t>
            </w:r>
          </w:p>
          <w:p w14:paraId="365639A1" w14:textId="72C1FDB3" w:rsidR="00796BD3" w:rsidRPr="0013061A" w:rsidRDefault="0013061A" w:rsidP="0013061A">
            <w:pPr>
              <w:spacing w:after="120"/>
              <w:rPr>
                <w:lang w:val="ru-RU"/>
              </w:rPr>
            </w:pPr>
            <w:r w:rsidRPr="0013061A">
              <w:rPr>
                <w:lang w:val="ru-RU"/>
              </w:rPr>
              <w:t xml:space="preserve">В-третьих, Совету следует </w:t>
            </w:r>
            <w:r w:rsidRPr="0013061A">
              <w:rPr>
                <w:b/>
                <w:bCs/>
                <w:lang w:val="ru-RU"/>
              </w:rPr>
              <w:t>поручить</w:t>
            </w:r>
            <w:r w:rsidRPr="0013061A">
              <w:rPr>
                <w:lang w:val="ru-RU"/>
              </w:rPr>
              <w:t xml:space="preserve"> Генеральному секретарю подготовить отчет для представления собранию РГС-ФЛР в сентябре, содержащий полную информацию по организационным аспектам, связанным с управлением ИТ и данными/информацией в Организации в целом (включая три Сектора), а также подробную информацию о документах, перечисленных в примерном перечне (и документах аналогичного характера, о которых авторам неизвестно).</w:t>
            </w:r>
          </w:p>
        </w:tc>
      </w:tr>
      <w:bookmarkEnd w:id="2"/>
      <w:bookmarkEnd w:id="6"/>
    </w:tbl>
    <w:p w14:paraId="0F6978AC" w14:textId="77777777" w:rsidR="00165D06" w:rsidRPr="0013061A" w:rsidRDefault="00165D06" w:rsidP="0013061A">
      <w:pPr>
        <w:tabs>
          <w:tab w:val="clear" w:pos="794"/>
          <w:tab w:val="clear" w:pos="1191"/>
          <w:tab w:val="clear" w:pos="1588"/>
          <w:tab w:val="clear" w:pos="1985"/>
        </w:tabs>
        <w:overflowPunct/>
        <w:autoSpaceDE/>
        <w:autoSpaceDN/>
        <w:adjustRightInd/>
        <w:spacing w:before="0"/>
        <w:textAlignment w:val="auto"/>
        <w:rPr>
          <w:lang w:val="ru-RU"/>
        </w:rPr>
      </w:pPr>
      <w:r w:rsidRPr="0013061A">
        <w:rPr>
          <w:lang w:val="ru-RU"/>
        </w:rPr>
        <w:lastRenderedPageBreak/>
        <w:br w:type="page"/>
      </w:r>
    </w:p>
    <w:p w14:paraId="27F851B3" w14:textId="77777777" w:rsidR="0013061A" w:rsidRPr="0013061A" w:rsidRDefault="0013061A" w:rsidP="0013061A">
      <w:pPr>
        <w:pStyle w:val="Headingb"/>
        <w:rPr>
          <w:lang w:val="ru-RU"/>
        </w:rPr>
      </w:pPr>
      <w:r w:rsidRPr="0013061A">
        <w:rPr>
          <w:bCs/>
          <w:lang w:val="ru-RU"/>
        </w:rPr>
        <w:lastRenderedPageBreak/>
        <w:t>Контекст</w:t>
      </w:r>
    </w:p>
    <w:p w14:paraId="7C630DCD" w14:textId="77777777" w:rsidR="0013061A" w:rsidRPr="0013061A" w:rsidRDefault="0013061A" w:rsidP="0013061A">
      <w:pPr>
        <w:rPr>
          <w:rFonts w:eastAsia="Calibri"/>
          <w:lang w:val="ru-RU"/>
        </w:rPr>
      </w:pPr>
      <w:r w:rsidRPr="0013061A">
        <w:rPr>
          <w:lang w:val="ru-RU"/>
        </w:rPr>
        <w:t>В настоящее время управление в сфере ИКТ и управление данными/информацией стали важнейшими аспектами управления в любой корпорации/организации. В современном мире предприятия, если они хотят быть конкурентоспособными и привлекательными, не могут вести себя так, как два десятилетия назад, в том, что касается управления ИТ и данными. Управление ИТ – это элемент корпоративного управления, направленный на улучшение общего управления ИТ, повышение ценности инвестиций в информацию и технологии, обеспечение эффективного управления рисками в области ИТ и того, чтобы деятельность, связанная с информацией и технологиями, соответствовала общим бизнес-целям. Управление данными – это комплексный подход к управлению корпоративной информацией путем внедрения процессов, ролей, элементов управления и показателей, в рамках которых информация рассматривается как ценный бизнес-актив; этот подход направлен на то, чтобы сделать информационные активы доступными для тех, кто в них нуждается, одновременно оптимизируя управление, сокращая затраты на хранение и обеспечивая соответствие требованиям.</w:t>
      </w:r>
    </w:p>
    <w:p w14:paraId="7F156023" w14:textId="78DDF8BC" w:rsidR="0013061A" w:rsidRPr="0013061A" w:rsidRDefault="0013061A" w:rsidP="0013061A">
      <w:pPr>
        <w:rPr>
          <w:rFonts w:eastAsia="Calibri"/>
          <w:lang w:val="ru-RU"/>
        </w:rPr>
      </w:pPr>
      <w:r w:rsidRPr="0013061A">
        <w:rPr>
          <w:lang w:val="ru-RU"/>
        </w:rPr>
        <w:t xml:space="preserve">Эти принципы должны применяться и к МСЭ, который до настоящего времени добился больших успехов, несмотря на то что его принципы и организационные структуры управления ИТ и данными можно охарактеризовать как нечеткие. Важность управления ИТ и данными для Союза, по-видимому, получила признание, но при этом подходы, используемые Союзом в отношении, </w:t>
      </w:r>
      <w:proofErr w:type="gramStart"/>
      <w:r w:rsidRPr="0013061A">
        <w:rPr>
          <w:lang w:val="ru-RU"/>
        </w:rPr>
        <w:t>в частности,</w:t>
      </w:r>
      <w:proofErr w:type="gramEnd"/>
      <w:r w:rsidRPr="0013061A">
        <w:rPr>
          <w:lang w:val="ru-RU"/>
        </w:rPr>
        <w:t xml:space="preserve"> организации и согласования в этих областях, кажутся несовременными, а прогресс представляется очень медленным. Среди прочего, неудовлетворительным является обеспечение организации и согласованности в выполнении руководящими органами функций стратегического руководства и надзора. В последнее время вопросы, касающиеся управления ИТ и данными, рассматриваются на конференциях, ассамблеях и в Совете МСЭ фрагментарно. Несмотря на инициативу "Единый МСЭ", эти вопросы распределены по различным Секторам МСЭ и обсуждаются на конференциях, ассамблеях и в консультативных группах Секторов вне структурированного подхода. В Совете сведения об управлении в сфере ИКТ и управлении данными/информацией также не представляются в систематизированном виде.</w:t>
      </w:r>
    </w:p>
    <w:p w14:paraId="721629DB" w14:textId="769C4219" w:rsidR="0013061A" w:rsidRPr="0013061A" w:rsidRDefault="0013061A" w:rsidP="0013061A">
      <w:pPr>
        <w:rPr>
          <w:rFonts w:eastAsia="Calibri"/>
          <w:lang w:val="ru-RU"/>
        </w:rPr>
      </w:pPr>
      <w:r w:rsidRPr="0013061A">
        <w:rPr>
          <w:lang w:val="ru-RU"/>
        </w:rPr>
        <w:t xml:space="preserve">Полномочные конференции и Совет являются руководящими органами МСЭ и играют ключевую роль – предоставляют указания Союзу и осуществляют контроль за деятельностью Организации. Тот факт, что ИТ и данные/информация имеют критическое значение для деятельности Союза, требует обязательного информирования этих органов, консультаций с ними и принятия ими решений, в зависимости от случая, по </w:t>
      </w:r>
      <w:proofErr w:type="spellStart"/>
      <w:r w:rsidRPr="0013061A">
        <w:rPr>
          <w:lang w:val="ru-RU"/>
        </w:rPr>
        <w:t>межсекторальным</w:t>
      </w:r>
      <w:proofErr w:type="spellEnd"/>
      <w:r w:rsidRPr="0013061A">
        <w:rPr>
          <w:lang w:val="ru-RU"/>
        </w:rPr>
        <w:t xml:space="preserve"> стратегическим вопросам, касающимся ИТ и данных (например, информационная безопасность, политика в отношении данных, многолетние инвестиции). Вследствие этого необходимо более четко описать роли различных участников процессов управления ИТ и данными в МСЭ, включая ПК и Совет, особенно для важнейших сторон деятельности Организации, таких как финансирование, информационная безопасность и управление рисками.</w:t>
      </w:r>
    </w:p>
    <w:p w14:paraId="57509C3C" w14:textId="10EEBC05" w:rsidR="0013061A" w:rsidRPr="0013061A" w:rsidRDefault="0013061A" w:rsidP="0013061A">
      <w:pPr>
        <w:rPr>
          <w:rFonts w:eastAsia="Calibri"/>
          <w:lang w:val="ru-RU"/>
        </w:rPr>
      </w:pPr>
      <w:r w:rsidRPr="0013061A">
        <w:rPr>
          <w:lang w:val="ru-RU"/>
        </w:rPr>
        <w:t>Существует множество примеров недостаточного участия руководящих органов в деятельности по ключевым аспектам управления в сфере ИКТ и управления данными/информацией в Организации, а также его несогласованности. На данной сессии Совет (косвенно) уведомляется о том, что обновления и улучшения ИТ-систем и услуг в рамках трансформации, включая улучшения управления данными и инициативы по внедрению ИИ, не финансируются</w:t>
      </w:r>
      <w:r w:rsidRPr="0013061A">
        <w:rPr>
          <w:rStyle w:val="FootnoteReference"/>
          <w:rFonts w:eastAsiaTheme="minorHAnsi" w:cstheme="minorHAnsi"/>
          <w:color w:val="000000" w:themeColor="text1"/>
          <w:szCs w:val="24"/>
          <w:lang w:val="ru-RU"/>
        </w:rPr>
        <w:footnoteReference w:id="2"/>
      </w:r>
      <w:r w:rsidRPr="0013061A">
        <w:rPr>
          <w:lang w:val="ru-RU"/>
        </w:rPr>
        <w:t>. Еще в одном документе Совету сообщается, что источник средств в размере 250 тыс. швейцарских франков, необходимых для реализации проекта по созданию нового веб-сайта, все еще не определен</w:t>
      </w:r>
      <w:r w:rsidRPr="0013061A">
        <w:rPr>
          <w:rStyle w:val="FootnoteReference"/>
          <w:rFonts w:eastAsia="Calibri"/>
          <w:lang w:val="ru-RU"/>
        </w:rPr>
        <w:footnoteReference w:id="3"/>
      </w:r>
      <w:r w:rsidRPr="0013061A">
        <w:rPr>
          <w:lang w:val="ru-RU"/>
        </w:rPr>
        <w:t xml:space="preserve">. Стоит отметить, что финансирование обоих этих базовых для МСЭ проектов может </w:t>
      </w:r>
      <w:r w:rsidRPr="0013061A">
        <w:rPr>
          <w:lang w:val="ru-RU"/>
        </w:rPr>
        <w:lastRenderedPageBreak/>
        <w:t>быть начато, если Совет одобрит использование сэкономленных средств от реализации бюджета 2024 года</w:t>
      </w:r>
      <w:r w:rsidRPr="0013061A">
        <w:rPr>
          <w:rStyle w:val="FootnoteReference"/>
          <w:rFonts w:cstheme="minorBidi"/>
          <w:lang w:val="ru-RU"/>
        </w:rPr>
        <w:footnoteReference w:id="4"/>
      </w:r>
      <w:r w:rsidRPr="0013061A">
        <w:rPr>
          <w:lang w:val="ru-RU"/>
        </w:rPr>
        <w:t>, однако, на наш взгляд, нерегулярное финансирование таких важных проектов свидетельствует об отсутствии строгого подхода. По всей видимости, согласно служебному приказу 24/10 от 20 сентября 2024 года</w:t>
      </w:r>
      <w:r w:rsidRPr="0013061A">
        <w:rPr>
          <w:rStyle w:val="FootnoteReference"/>
          <w:rFonts w:eastAsia="Calibri"/>
          <w:lang w:val="ru-RU"/>
        </w:rPr>
        <w:footnoteReference w:id="5"/>
      </w:r>
      <w:r w:rsidRPr="0013061A">
        <w:rPr>
          <w:lang w:val="ru-RU"/>
        </w:rPr>
        <w:t>, управление ИТ в МСЭ теперь осуществляется Комитетом по управлению информационно-коммуникационными технологиями (ICTGC). От Совета до сих пор не поступало информации о пересмотре и подробностях служебного приказа об управлении в сфере ИКТ и данных, разработка которого была рекомендована IMAC</w:t>
      </w:r>
      <w:r w:rsidRPr="0013061A">
        <w:rPr>
          <w:rStyle w:val="FootnoteReference"/>
          <w:rFonts w:eastAsia="Calibri" w:cs="Calibri"/>
          <w:szCs w:val="24"/>
          <w:lang w:val="ru-RU"/>
        </w:rPr>
        <w:footnoteReference w:id="6"/>
      </w:r>
      <w:r w:rsidRPr="0013061A">
        <w:rPr>
          <w:lang w:val="ru-RU"/>
        </w:rPr>
        <w:t>. Также Совет поручил Генеральному секретарю регулярно представлять отчеты РГС-ФЛР и Совету МСЭ о реализации стратегии в области ИТ</w:t>
      </w:r>
      <w:r w:rsidRPr="0013061A">
        <w:rPr>
          <w:rStyle w:val="FootnoteReference"/>
          <w:rFonts w:cs="Calibri"/>
          <w:szCs w:val="24"/>
          <w:lang w:val="ru-RU"/>
        </w:rPr>
        <w:footnoteReference w:id="7"/>
      </w:r>
      <w:r w:rsidRPr="0013061A">
        <w:rPr>
          <w:lang w:val="ru-RU"/>
        </w:rPr>
        <w:t>. На</w:t>
      </w:r>
      <w:r w:rsidR="009E3E38">
        <w:rPr>
          <w:lang w:val="ru-RU"/>
        </w:rPr>
        <w:t> </w:t>
      </w:r>
      <w:r w:rsidRPr="0013061A">
        <w:rPr>
          <w:lang w:val="ru-RU"/>
        </w:rPr>
        <w:t>17</w:t>
      </w:r>
      <w:r w:rsidR="009E3E38">
        <w:rPr>
          <w:lang w:val="ru-RU"/>
        </w:rPr>
        <w:noBreakHyphen/>
      </w:r>
      <w:r w:rsidRPr="0013061A">
        <w:rPr>
          <w:lang w:val="ru-RU"/>
        </w:rPr>
        <w:t>м</w:t>
      </w:r>
      <w:r w:rsidR="009E3E38">
        <w:rPr>
          <w:lang w:val="ru-RU"/>
        </w:rPr>
        <w:t> </w:t>
      </w:r>
      <w:r w:rsidRPr="0013061A">
        <w:rPr>
          <w:lang w:val="ru-RU"/>
        </w:rPr>
        <w:t>собрании РГС-ФЛР в феврале 2025 года выяснилось, что стратегия МСЭ в области ИТ все еще находится на этапе разработки</w:t>
      </w:r>
      <w:r w:rsidRPr="0013061A">
        <w:rPr>
          <w:rStyle w:val="FootnoteReference"/>
          <w:rFonts w:cs="Calibri"/>
          <w:szCs w:val="24"/>
          <w:lang w:val="ru-RU"/>
        </w:rPr>
        <w:footnoteReference w:id="8"/>
      </w:r>
      <w:r w:rsidRPr="0013061A">
        <w:rPr>
          <w:lang w:val="ru-RU"/>
        </w:rPr>
        <w:t xml:space="preserve"> – разработки, которая ведется без какого-либо участия Совета и/или РГС-ФЛР. В данном контексте весьма характерно, что Советникам необходимо обращаться к Документу </w:t>
      </w:r>
      <w:hyperlink r:id="rId7" w:history="1">
        <w:r w:rsidRPr="0013061A">
          <w:rPr>
            <w:rStyle w:val="Hyperlink"/>
            <w:rFonts w:eastAsia="Calibri"/>
            <w:lang w:val="ru-RU"/>
          </w:rPr>
          <w:t>C25/55</w:t>
        </w:r>
      </w:hyperlink>
      <w:r w:rsidRPr="0013061A">
        <w:rPr>
          <w:lang w:val="ru-RU"/>
        </w:rPr>
        <w:t xml:space="preserve"> "Обновленная информация о процессе трансформации и дорожной карте МСЭ", чтобы получить ключевые сведения о том, что были разработаны первые Руководящие указания по использованию в МСЭ генеративного ИИ (п. 3.1.2), что была подготовлена Стратегия МСЭ по управлению информацией (п. 3.2.3), что планируется создать Рабочую группу по управлению в сфере ИКТ для решения вопросов руководства и управления деятельностью в сфере информации (п. 3.2.3), а также чтобы получить обновленную информацию о ходе выполнения проекта по разработке нового веб-сайта (п. 3.2.5). Последний вопрос затрагивается и в отчете Рабочей группы Совета по использованию шести официальных языков Союза (РГС-ЯЗ)</w:t>
      </w:r>
      <w:r w:rsidRPr="0013061A">
        <w:rPr>
          <w:rStyle w:val="FootnoteReference"/>
          <w:rFonts w:eastAsia="Calibri" w:cs="Calibri"/>
          <w:lang w:val="ru-RU"/>
        </w:rPr>
        <w:footnoteReference w:id="9"/>
      </w:r>
      <w:r w:rsidRPr="0013061A">
        <w:rPr>
          <w:lang w:val="ru-RU"/>
        </w:rPr>
        <w:t>. Нам также неясно, насколько глубоко и с какой регулярностью IMAC может рассматривать вопросы управления ИТ и управления данными/информацией в МСЭ. Следует отметить, что и Консультативная группа по стандартизации электросвязи (КГСЭ), и Консультативная группа по радиосвязи (КГР) на своих собраниях рассматривали широкий круг вопросов, относящихся к управлению ИТ и данными/информацией.</w:t>
      </w:r>
    </w:p>
    <w:p w14:paraId="3EDE2A34" w14:textId="77777777" w:rsidR="00796BD3" w:rsidRPr="0013061A" w:rsidRDefault="00C462C5" w:rsidP="0013061A">
      <w:pPr>
        <w:spacing w:before="480"/>
        <w:jc w:val="center"/>
        <w:rPr>
          <w:lang w:val="ru-RU"/>
        </w:rPr>
      </w:pPr>
      <w:r w:rsidRPr="0013061A">
        <w:rPr>
          <w:lang w:val="ru-RU"/>
        </w:rPr>
        <w:t>______________</w:t>
      </w:r>
    </w:p>
    <w:sectPr w:rsidR="00796BD3" w:rsidRPr="0013061A"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304BA" w14:textId="77777777" w:rsidR="0013061A" w:rsidRDefault="0013061A">
      <w:r>
        <w:separator/>
      </w:r>
    </w:p>
  </w:endnote>
  <w:endnote w:type="continuationSeparator" w:id="0">
    <w:p w14:paraId="718106D4" w14:textId="77777777" w:rsidR="0013061A" w:rsidRDefault="0013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13DBB07" w14:textId="77777777" w:rsidTr="00E31DCE">
      <w:trPr>
        <w:jc w:val="center"/>
      </w:trPr>
      <w:tc>
        <w:tcPr>
          <w:tcW w:w="1803" w:type="dxa"/>
          <w:vAlign w:val="center"/>
        </w:tcPr>
        <w:p w14:paraId="69F31433" w14:textId="2C60A4DE" w:rsidR="00672F8A" w:rsidRDefault="00672F8A" w:rsidP="00672F8A">
          <w:pPr>
            <w:pStyle w:val="Header"/>
            <w:jc w:val="left"/>
            <w:rPr>
              <w:noProof/>
            </w:rPr>
          </w:pPr>
        </w:p>
      </w:tc>
      <w:tc>
        <w:tcPr>
          <w:tcW w:w="8261" w:type="dxa"/>
        </w:tcPr>
        <w:p w14:paraId="2D5AD8D9" w14:textId="777DB39E"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13061A">
            <w:rPr>
              <w:bCs/>
              <w:lang w:val="ru-RU"/>
            </w:rPr>
            <w:t>84</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083CA5E2"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AE2501F" w14:textId="77777777" w:rsidTr="00E31DCE">
      <w:trPr>
        <w:jc w:val="center"/>
      </w:trPr>
      <w:tc>
        <w:tcPr>
          <w:tcW w:w="1803" w:type="dxa"/>
          <w:vAlign w:val="center"/>
        </w:tcPr>
        <w:p w14:paraId="4AF4AB32" w14:textId="77777777" w:rsidR="00672F8A" w:rsidRDefault="00D631AA" w:rsidP="00672F8A">
          <w:pPr>
            <w:pStyle w:val="Header"/>
            <w:jc w:val="left"/>
            <w:rPr>
              <w:noProof/>
            </w:rPr>
          </w:pPr>
          <w:r w:rsidRPr="00D631AA">
            <w:rPr>
              <w:color w:val="0563C1"/>
              <w:szCs w:val="14"/>
            </w:rPr>
            <w:t>council.itu.int/2025</w:t>
          </w:r>
        </w:p>
      </w:tc>
      <w:tc>
        <w:tcPr>
          <w:tcW w:w="8261" w:type="dxa"/>
        </w:tcPr>
        <w:p w14:paraId="27588B3C" w14:textId="278D5B24"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13061A">
            <w:rPr>
              <w:bCs/>
              <w:lang w:val="ru-RU"/>
            </w:rPr>
            <w:t>84</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7286824"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2EB4C" w14:textId="77777777" w:rsidR="0013061A" w:rsidRDefault="0013061A">
      <w:r>
        <w:t>____________________</w:t>
      </w:r>
    </w:p>
  </w:footnote>
  <w:footnote w:type="continuationSeparator" w:id="0">
    <w:p w14:paraId="6D95CC12" w14:textId="77777777" w:rsidR="0013061A" w:rsidRDefault="0013061A">
      <w:r>
        <w:continuationSeparator/>
      </w:r>
    </w:p>
  </w:footnote>
  <w:footnote w:id="1">
    <w:p w14:paraId="6DBE07F0" w14:textId="77777777" w:rsidR="0013061A" w:rsidRPr="000A77E2" w:rsidRDefault="0013061A" w:rsidP="0013061A">
      <w:pPr>
        <w:pStyle w:val="FootnoteText"/>
        <w:rPr>
          <w:lang w:val="ru-RU"/>
        </w:rPr>
      </w:pPr>
      <w:r w:rsidRPr="000A77E2">
        <w:rPr>
          <w:rStyle w:val="FootnoteReference"/>
          <w:lang w:val="ru-RU"/>
        </w:rPr>
        <w:footnoteRef/>
      </w:r>
      <w:r w:rsidRPr="000A77E2">
        <w:rPr>
          <w:lang w:val="ru-RU"/>
        </w:rPr>
        <w:tab/>
        <w:t xml:space="preserve">Документ </w:t>
      </w:r>
      <w:hyperlink r:id="rId1" w:history="1">
        <w:r w:rsidRPr="000A77E2">
          <w:rPr>
            <w:rStyle w:val="Hyperlink"/>
            <w:lang w:val="ru-RU"/>
          </w:rPr>
          <w:t>C24/54</w:t>
        </w:r>
      </w:hyperlink>
      <w:r w:rsidRPr="000A77E2">
        <w:rPr>
          <w:lang w:val="ru-RU"/>
        </w:rPr>
        <w:t>.</w:t>
      </w:r>
    </w:p>
  </w:footnote>
  <w:footnote w:id="2">
    <w:p w14:paraId="3F01A785" w14:textId="77777777" w:rsidR="0013061A" w:rsidRPr="000A77E2" w:rsidRDefault="0013061A" w:rsidP="0013061A">
      <w:pPr>
        <w:pStyle w:val="FootnoteText"/>
        <w:rPr>
          <w:lang w:val="ru-RU"/>
        </w:rPr>
      </w:pPr>
      <w:r w:rsidRPr="000A77E2">
        <w:rPr>
          <w:rStyle w:val="FootnoteReference"/>
          <w:lang w:val="ru-RU"/>
        </w:rPr>
        <w:footnoteRef/>
      </w:r>
      <w:r w:rsidRPr="000A77E2">
        <w:rPr>
          <w:lang w:val="ru-RU"/>
        </w:rPr>
        <w:tab/>
        <w:t xml:space="preserve">Документ </w:t>
      </w:r>
      <w:hyperlink r:id="rId2" w:history="1">
        <w:r w:rsidRPr="000A77E2">
          <w:rPr>
            <w:rStyle w:val="Hyperlink"/>
            <w:lang w:val="ru-RU"/>
          </w:rPr>
          <w:t>C25/9</w:t>
        </w:r>
      </w:hyperlink>
      <w:r w:rsidRPr="000A77E2">
        <w:rPr>
          <w:lang w:val="ru-RU"/>
        </w:rPr>
        <w:t>, раздел 2.3.</w:t>
      </w:r>
    </w:p>
  </w:footnote>
  <w:footnote w:id="3">
    <w:p w14:paraId="3D84787A" w14:textId="77777777" w:rsidR="0013061A" w:rsidRPr="000A77E2" w:rsidRDefault="0013061A" w:rsidP="0013061A">
      <w:pPr>
        <w:pStyle w:val="FootnoteText"/>
        <w:rPr>
          <w:lang w:val="ru-RU"/>
        </w:rPr>
      </w:pPr>
      <w:r w:rsidRPr="000A77E2">
        <w:rPr>
          <w:rStyle w:val="FootnoteReference"/>
          <w:lang w:val="ru-RU"/>
        </w:rPr>
        <w:footnoteRef/>
      </w:r>
      <w:r w:rsidRPr="000A77E2">
        <w:rPr>
          <w:lang w:val="ru-RU"/>
        </w:rPr>
        <w:tab/>
        <w:t xml:space="preserve">Документ </w:t>
      </w:r>
      <w:hyperlink r:id="rId3" w:history="1">
        <w:r w:rsidRPr="000A77E2">
          <w:rPr>
            <w:rStyle w:val="Hyperlink"/>
            <w:lang w:val="ru-RU"/>
          </w:rPr>
          <w:t>C25/12</w:t>
        </w:r>
      </w:hyperlink>
      <w:r w:rsidRPr="000A77E2">
        <w:rPr>
          <w:lang w:val="ru-RU"/>
        </w:rPr>
        <w:t>, глава 2, пункт f).</w:t>
      </w:r>
    </w:p>
  </w:footnote>
  <w:footnote w:id="4">
    <w:p w14:paraId="1E0EAE06" w14:textId="77777777" w:rsidR="0013061A" w:rsidRPr="000A77E2" w:rsidRDefault="0013061A" w:rsidP="00B61A1D">
      <w:pPr>
        <w:pStyle w:val="FootnoteText"/>
        <w:rPr>
          <w:lang w:val="ru-RU"/>
        </w:rPr>
      </w:pPr>
      <w:r w:rsidRPr="000A77E2">
        <w:rPr>
          <w:rStyle w:val="FootnoteReference"/>
          <w:lang w:val="ru-RU"/>
        </w:rPr>
        <w:footnoteRef/>
      </w:r>
      <w:r w:rsidRPr="000A77E2">
        <w:rPr>
          <w:lang w:val="ru-RU"/>
        </w:rPr>
        <w:tab/>
        <w:t xml:space="preserve">Документ </w:t>
      </w:r>
      <w:hyperlink r:id="rId4" w:history="1">
        <w:r w:rsidRPr="000A77E2">
          <w:rPr>
            <w:rStyle w:val="Hyperlink"/>
            <w:lang w:val="ru-RU"/>
          </w:rPr>
          <w:t>C25/43</w:t>
        </w:r>
      </w:hyperlink>
      <w:r w:rsidRPr="000A77E2">
        <w:rPr>
          <w:lang w:val="ru-RU"/>
        </w:rPr>
        <w:t>, разделы 5.2 и 5.6.</w:t>
      </w:r>
    </w:p>
  </w:footnote>
  <w:footnote w:id="5">
    <w:p w14:paraId="3436DD85" w14:textId="3C872639" w:rsidR="0013061A" w:rsidRPr="000A77E2" w:rsidRDefault="0013061A" w:rsidP="00B61A1D">
      <w:pPr>
        <w:pStyle w:val="FootnoteText"/>
        <w:rPr>
          <w:lang w:val="ru-RU"/>
        </w:rPr>
      </w:pPr>
      <w:r w:rsidRPr="000A77E2">
        <w:rPr>
          <w:rStyle w:val="FootnoteReference"/>
          <w:lang w:val="ru-RU"/>
        </w:rPr>
        <w:footnoteRef/>
      </w:r>
      <w:r w:rsidRPr="000A77E2">
        <w:rPr>
          <w:lang w:val="ru-RU"/>
        </w:rPr>
        <w:tab/>
        <w:t xml:space="preserve">Документ </w:t>
      </w:r>
      <w:hyperlink r:id="rId5" w:history="1">
        <w:r w:rsidRPr="000A77E2">
          <w:rPr>
            <w:rStyle w:val="Hyperlink"/>
            <w:lang w:val="ru-RU"/>
          </w:rPr>
          <w:t>C25/50</w:t>
        </w:r>
      </w:hyperlink>
      <w:r w:rsidRPr="000A77E2">
        <w:rPr>
          <w:lang w:val="ru-RU"/>
        </w:rPr>
        <w:t>, пункт 15.2. На своей сессии 2024 года Совет был лишь проинформирован о реструктуризации Комитета по информационно-коммуникационным технологиям (КИКТ) (Документ</w:t>
      </w:r>
      <w:r w:rsidR="00B61A1D">
        <w:rPr>
          <w:lang w:val="ru-RU"/>
        </w:rPr>
        <w:t> </w:t>
      </w:r>
      <w:hyperlink r:id="rId6" w:history="1">
        <w:r w:rsidRPr="000A77E2">
          <w:rPr>
            <w:rStyle w:val="Hyperlink"/>
            <w:lang w:val="ru-RU"/>
          </w:rPr>
          <w:t>C24/54</w:t>
        </w:r>
      </w:hyperlink>
      <w:r w:rsidRPr="000A77E2">
        <w:rPr>
          <w:lang w:val="ru-RU"/>
        </w:rPr>
        <w:t>).</w:t>
      </w:r>
    </w:p>
  </w:footnote>
  <w:footnote w:id="6">
    <w:p w14:paraId="37DCF9C7" w14:textId="4512603B" w:rsidR="0013061A" w:rsidRPr="000A77E2" w:rsidRDefault="0013061A" w:rsidP="00B61A1D">
      <w:pPr>
        <w:pStyle w:val="FootnoteText"/>
        <w:rPr>
          <w:lang w:val="ru-RU"/>
        </w:rPr>
      </w:pPr>
      <w:r w:rsidRPr="000A77E2">
        <w:rPr>
          <w:rStyle w:val="FootnoteReference"/>
          <w:lang w:val="ru-RU"/>
        </w:rPr>
        <w:footnoteRef/>
      </w:r>
      <w:r w:rsidRPr="000A77E2">
        <w:rPr>
          <w:lang w:val="ru-RU"/>
        </w:rPr>
        <w:tab/>
        <w:t xml:space="preserve">Документ </w:t>
      </w:r>
      <w:hyperlink r:id="rId7" w:history="1">
        <w:r w:rsidRPr="000A77E2">
          <w:rPr>
            <w:rStyle w:val="Hyperlink"/>
            <w:lang w:val="ru-RU"/>
          </w:rPr>
          <w:t>CWG-FHR-17/24</w:t>
        </w:r>
      </w:hyperlink>
      <w:r w:rsidRPr="000A77E2">
        <w:rPr>
          <w:lang w:val="ru-RU"/>
        </w:rPr>
        <w:t xml:space="preserve"> (стр. 14−15); см. также главу 15 Документа C24/22 и главу 15 Документа</w:t>
      </w:r>
      <w:r w:rsidR="00B61A1D">
        <w:rPr>
          <w:lang w:val="ru-RU"/>
        </w:rPr>
        <w:t> </w:t>
      </w:r>
      <w:hyperlink r:id="rId8" w:history="1">
        <w:r w:rsidRPr="000A77E2">
          <w:rPr>
            <w:rStyle w:val="Hyperlink"/>
            <w:lang w:val="ru-RU"/>
          </w:rPr>
          <w:t>C23/22</w:t>
        </w:r>
      </w:hyperlink>
      <w:r w:rsidRPr="000A77E2">
        <w:rPr>
          <w:lang w:val="ru-RU"/>
        </w:rPr>
        <w:t>.</w:t>
      </w:r>
    </w:p>
  </w:footnote>
  <w:footnote w:id="7">
    <w:p w14:paraId="3367258E" w14:textId="77777777" w:rsidR="0013061A" w:rsidRPr="000A77E2" w:rsidRDefault="0013061A" w:rsidP="00B61A1D">
      <w:pPr>
        <w:pStyle w:val="FootnoteText"/>
        <w:rPr>
          <w:lang w:val="ru-RU"/>
        </w:rPr>
      </w:pPr>
      <w:r w:rsidRPr="000A77E2">
        <w:rPr>
          <w:rStyle w:val="FootnoteReference"/>
          <w:lang w:val="ru-RU"/>
        </w:rPr>
        <w:footnoteRef/>
      </w:r>
      <w:r w:rsidRPr="000A77E2">
        <w:rPr>
          <w:lang w:val="ru-RU"/>
        </w:rPr>
        <w:tab/>
        <w:t xml:space="preserve">Пересмотр 1 Документа </w:t>
      </w:r>
      <w:hyperlink r:id="rId9" w:history="1">
        <w:r w:rsidRPr="000A77E2">
          <w:rPr>
            <w:rStyle w:val="Hyperlink"/>
            <w:lang w:val="ru-RU"/>
          </w:rPr>
          <w:t>C24/109</w:t>
        </w:r>
      </w:hyperlink>
      <w:r w:rsidRPr="000A77E2">
        <w:rPr>
          <w:lang w:val="ru-RU"/>
        </w:rPr>
        <w:t>.</w:t>
      </w:r>
    </w:p>
  </w:footnote>
  <w:footnote w:id="8">
    <w:p w14:paraId="17187F65" w14:textId="77777777" w:rsidR="0013061A" w:rsidRPr="000A77E2" w:rsidRDefault="0013061A" w:rsidP="00B61A1D">
      <w:pPr>
        <w:pStyle w:val="FootnoteText"/>
        <w:rPr>
          <w:lang w:val="ru-RU"/>
        </w:rPr>
      </w:pPr>
      <w:r w:rsidRPr="000A77E2">
        <w:rPr>
          <w:rStyle w:val="FootnoteReference"/>
          <w:lang w:val="ru-RU"/>
        </w:rPr>
        <w:footnoteRef/>
      </w:r>
      <w:r w:rsidRPr="000A77E2">
        <w:rPr>
          <w:lang w:val="ru-RU"/>
        </w:rPr>
        <w:tab/>
        <w:t xml:space="preserve">Документ </w:t>
      </w:r>
      <w:hyperlink r:id="rId10" w:history="1">
        <w:r w:rsidRPr="000A77E2">
          <w:rPr>
            <w:rStyle w:val="Hyperlink"/>
            <w:lang w:val="ru-RU"/>
          </w:rPr>
          <w:t>CWG-FHR-20/32</w:t>
        </w:r>
      </w:hyperlink>
      <w:r w:rsidRPr="000A77E2">
        <w:rPr>
          <w:lang w:val="ru-RU"/>
        </w:rPr>
        <w:t>, глава 15.</w:t>
      </w:r>
    </w:p>
  </w:footnote>
  <w:footnote w:id="9">
    <w:p w14:paraId="21DC121F" w14:textId="77777777" w:rsidR="0013061A" w:rsidRPr="000A77E2" w:rsidRDefault="0013061A" w:rsidP="00B61A1D">
      <w:pPr>
        <w:pStyle w:val="FootnoteText"/>
        <w:rPr>
          <w:lang w:val="ru-RU"/>
        </w:rPr>
      </w:pPr>
      <w:r w:rsidRPr="000A77E2">
        <w:rPr>
          <w:rStyle w:val="FootnoteReference"/>
          <w:lang w:val="ru-RU"/>
        </w:rPr>
        <w:footnoteRef/>
      </w:r>
      <w:r w:rsidRPr="000A77E2">
        <w:rPr>
          <w:lang w:val="ru-RU"/>
        </w:rPr>
        <w:tab/>
        <w:t xml:space="preserve">Документ </w:t>
      </w:r>
      <w:hyperlink r:id="rId11" w:history="1">
        <w:r w:rsidRPr="000A77E2">
          <w:rPr>
            <w:rStyle w:val="Hyperlink"/>
            <w:lang w:val="ru-RU"/>
          </w:rPr>
          <w:t>C25/12</w:t>
        </w:r>
      </w:hyperlink>
      <w:r w:rsidRPr="000A77E2">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76C391C2" w14:textId="77777777" w:rsidTr="00156890">
      <w:trPr>
        <w:trHeight w:val="1104"/>
        <w:jc w:val="center"/>
      </w:trPr>
      <w:tc>
        <w:tcPr>
          <w:tcW w:w="6359" w:type="dxa"/>
          <w:vAlign w:val="center"/>
        </w:tcPr>
        <w:p w14:paraId="3ADD3224"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412F6DAB" wp14:editId="538F210C">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52D955F6" w14:textId="77777777" w:rsidR="00156890" w:rsidRDefault="00156890" w:rsidP="00796BD3">
          <w:pPr>
            <w:pStyle w:val="Header"/>
            <w:jc w:val="right"/>
            <w:rPr>
              <w:rFonts w:ascii="Arial" w:hAnsi="Arial" w:cs="Arial"/>
              <w:b/>
              <w:bCs/>
              <w:color w:val="009CD6"/>
              <w:szCs w:val="18"/>
            </w:rPr>
          </w:pPr>
        </w:p>
      </w:tc>
    </w:tr>
  </w:tbl>
  <w:p w14:paraId="47BBC60C"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4F3A0BA" wp14:editId="0169D179">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CD85"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A"/>
    <w:rsid w:val="00005BE0"/>
    <w:rsid w:val="0002183E"/>
    <w:rsid w:val="000569B4"/>
    <w:rsid w:val="0006007D"/>
    <w:rsid w:val="00080E82"/>
    <w:rsid w:val="000B2DE7"/>
    <w:rsid w:val="000E568E"/>
    <w:rsid w:val="0013061A"/>
    <w:rsid w:val="0014229E"/>
    <w:rsid w:val="0014734F"/>
    <w:rsid w:val="00156890"/>
    <w:rsid w:val="0015710D"/>
    <w:rsid w:val="00163A32"/>
    <w:rsid w:val="00165D06"/>
    <w:rsid w:val="00192B41"/>
    <w:rsid w:val="001B7B09"/>
    <w:rsid w:val="001E6719"/>
    <w:rsid w:val="001E7F50"/>
    <w:rsid w:val="00225368"/>
    <w:rsid w:val="00227FF0"/>
    <w:rsid w:val="00282FAD"/>
    <w:rsid w:val="00291EB6"/>
    <w:rsid w:val="002C3F32"/>
    <w:rsid w:val="002D2F57"/>
    <w:rsid w:val="002D48C5"/>
    <w:rsid w:val="0033025A"/>
    <w:rsid w:val="00345D2A"/>
    <w:rsid w:val="00365074"/>
    <w:rsid w:val="003F099E"/>
    <w:rsid w:val="003F235E"/>
    <w:rsid w:val="00401FD7"/>
    <w:rsid w:val="004023E0"/>
    <w:rsid w:val="00403DD8"/>
    <w:rsid w:val="00442515"/>
    <w:rsid w:val="0045686C"/>
    <w:rsid w:val="004918C4"/>
    <w:rsid w:val="00497703"/>
    <w:rsid w:val="004A0374"/>
    <w:rsid w:val="004A45B5"/>
    <w:rsid w:val="004D0129"/>
    <w:rsid w:val="004D4B26"/>
    <w:rsid w:val="00515795"/>
    <w:rsid w:val="005A64D5"/>
    <w:rsid w:val="005B3DEC"/>
    <w:rsid w:val="00601994"/>
    <w:rsid w:val="00660449"/>
    <w:rsid w:val="00672F8A"/>
    <w:rsid w:val="006E2D42"/>
    <w:rsid w:val="006E4E6F"/>
    <w:rsid w:val="00703676"/>
    <w:rsid w:val="00707304"/>
    <w:rsid w:val="00732269"/>
    <w:rsid w:val="00762555"/>
    <w:rsid w:val="0077110E"/>
    <w:rsid w:val="00785ABD"/>
    <w:rsid w:val="00796BD3"/>
    <w:rsid w:val="007A2DD4"/>
    <w:rsid w:val="007D38B5"/>
    <w:rsid w:val="007E7EA0"/>
    <w:rsid w:val="00807255"/>
    <w:rsid w:val="0081023E"/>
    <w:rsid w:val="008173AA"/>
    <w:rsid w:val="00840A14"/>
    <w:rsid w:val="008B62B4"/>
    <w:rsid w:val="008D2D7B"/>
    <w:rsid w:val="008E0737"/>
    <w:rsid w:val="008F7C2C"/>
    <w:rsid w:val="00940E96"/>
    <w:rsid w:val="00950A82"/>
    <w:rsid w:val="009B0BAE"/>
    <w:rsid w:val="009C1C89"/>
    <w:rsid w:val="009E3E38"/>
    <w:rsid w:val="009F3448"/>
    <w:rsid w:val="00A01CF9"/>
    <w:rsid w:val="00A20B63"/>
    <w:rsid w:val="00A71773"/>
    <w:rsid w:val="00AE2C85"/>
    <w:rsid w:val="00B0107F"/>
    <w:rsid w:val="00B12A37"/>
    <w:rsid w:val="00B41837"/>
    <w:rsid w:val="00B61A1D"/>
    <w:rsid w:val="00B63EF2"/>
    <w:rsid w:val="00BA7D89"/>
    <w:rsid w:val="00BC0D39"/>
    <w:rsid w:val="00BC7BC0"/>
    <w:rsid w:val="00BD57B7"/>
    <w:rsid w:val="00BE63E2"/>
    <w:rsid w:val="00C462C5"/>
    <w:rsid w:val="00CD2009"/>
    <w:rsid w:val="00CF629C"/>
    <w:rsid w:val="00D631AA"/>
    <w:rsid w:val="00D92EEA"/>
    <w:rsid w:val="00DA5D4E"/>
    <w:rsid w:val="00DA770A"/>
    <w:rsid w:val="00E05752"/>
    <w:rsid w:val="00E176BA"/>
    <w:rsid w:val="00E423EC"/>
    <w:rsid w:val="00E55121"/>
    <w:rsid w:val="00EB4FCB"/>
    <w:rsid w:val="00EC6BC5"/>
    <w:rsid w:val="00F348D0"/>
    <w:rsid w:val="00F35898"/>
    <w:rsid w:val="00F5225B"/>
    <w:rsid w:val="00F76B01"/>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1ECE8"/>
  <w15:docId w15:val="{C191BDA5-D864-48A4-8002-AF072D92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customStyle="1" w:styleId="FootnoteTextChar">
    <w:name w:val="Footnote Text Char"/>
    <w:basedOn w:val="DefaultParagraphFont"/>
    <w:link w:val="FootnoteText"/>
    <w:uiPriority w:val="99"/>
    <w:rsid w:val="0013061A"/>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tu.int/md/S25-CL-C-0055/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3-CL-C-0022/en" TargetMode="External"/><Relationship Id="rId3" Type="http://schemas.openxmlformats.org/officeDocument/2006/relationships/hyperlink" Target="https://www.itu.int/md/S25-CL-C-0012/en" TargetMode="External"/><Relationship Id="rId7" Type="http://schemas.openxmlformats.org/officeDocument/2006/relationships/hyperlink" Target="https://www.itu.int/md/S24-CWGFHR17-C-0024/en" TargetMode="External"/><Relationship Id="rId2" Type="http://schemas.openxmlformats.org/officeDocument/2006/relationships/hyperlink" Target="https://www.itu.int/md/S25-CL-C-0009/en" TargetMode="External"/><Relationship Id="rId1" Type="http://schemas.openxmlformats.org/officeDocument/2006/relationships/hyperlink" Target="https://www.itu.int/md/S24-CL-C-0054/en" TargetMode="External"/><Relationship Id="rId6" Type="http://schemas.openxmlformats.org/officeDocument/2006/relationships/hyperlink" Target="https://www.itu.int/md/S24-CL-C-0054/en" TargetMode="External"/><Relationship Id="rId11" Type="http://schemas.openxmlformats.org/officeDocument/2006/relationships/hyperlink" Target="https://www.itu.int/md/S25-CL-C-0012/en" TargetMode="External"/><Relationship Id="rId5" Type="http://schemas.openxmlformats.org/officeDocument/2006/relationships/hyperlink" Target="https://www.itu.int/md/S25-CL-C-0050/en" TargetMode="External"/><Relationship Id="rId10" Type="http://schemas.openxmlformats.org/officeDocument/2006/relationships/hyperlink" Target="https://www.itu.int/md/S25-CWGFHR20-C-0032/en" TargetMode="External"/><Relationship Id="rId4" Type="http://schemas.openxmlformats.org/officeDocument/2006/relationships/hyperlink" Target="https://www.itu.int/md/S25-CL-C-0043/en" TargetMode="External"/><Relationship Id="rId9" Type="http://schemas.openxmlformats.org/officeDocument/2006/relationships/hyperlink" Target="https://www.itu.int/md/S24-CL-C-010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PR_Council25.dotx</Template>
  <TotalTime>1</TotalTime>
  <Pages>4</Pages>
  <Words>1403</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11077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NA</dc:creator>
  <cp:keywords>C2024, C24, Council-24</cp:keywords>
  <dc:description/>
  <cp:lastModifiedBy>GBS</cp:lastModifiedBy>
  <cp:revision>2</cp:revision>
  <cp:lastPrinted>2006-03-28T16:12:00Z</cp:lastPrinted>
  <dcterms:created xsi:type="dcterms:W3CDTF">2025-06-12T10:49:00Z</dcterms:created>
  <dcterms:modified xsi:type="dcterms:W3CDTF">2025-06-12T10:49:00Z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