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76E88B71"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Agenda item:</w:t>
            </w:r>
            <w:r w:rsidR="00E016BE">
              <w:rPr>
                <w:b/>
              </w:rPr>
              <w:t xml:space="preserve"> ADM 1</w:t>
            </w:r>
          </w:p>
        </w:tc>
        <w:tc>
          <w:tcPr>
            <w:tcW w:w="5245" w:type="dxa"/>
          </w:tcPr>
          <w:p w14:paraId="6779937E" w14:textId="49351A30"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BC4F5C">
              <w:rPr>
                <w:b/>
              </w:rPr>
              <w:t>84</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03A801A8" w:rsidR="00AD3606" w:rsidRPr="00C0458D" w:rsidRDefault="00BF35F9" w:rsidP="00AD3606">
            <w:pPr>
              <w:tabs>
                <w:tab w:val="left" w:pos="851"/>
              </w:tabs>
              <w:spacing w:before="0"/>
              <w:jc w:val="right"/>
              <w:rPr>
                <w:b/>
              </w:rPr>
            </w:pPr>
            <w:r>
              <w:rPr>
                <w:b/>
              </w:rPr>
              <w:t>3 June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3745726E" w:rsidR="00AD3606" w:rsidRPr="000F7289" w:rsidRDefault="00945CC6" w:rsidP="00945CC6">
            <w:pPr>
              <w:pStyle w:val="Source"/>
              <w:framePr w:hSpace="0" w:wrap="auto" w:vAnchor="margin" w:hAnchor="text" w:xAlign="left" w:yAlign="inline"/>
            </w:pPr>
            <w:bookmarkStart w:id="8" w:name="dsource" w:colFirst="0" w:colLast="0"/>
            <w:bookmarkEnd w:id="7"/>
            <w:r w:rsidRPr="00945CC6">
              <w:t xml:space="preserve">Contribution by </w:t>
            </w:r>
            <w:r w:rsidR="00BF35F9">
              <w:t>Switzerland</w:t>
            </w:r>
            <w:r w:rsidR="00DC3CB1">
              <w:t xml:space="preserve"> </w:t>
            </w:r>
            <w:r w:rsidR="00DC3CB1" w:rsidRPr="00DC3CB1">
              <w:t>(Confederation of)</w:t>
            </w:r>
          </w:p>
        </w:tc>
      </w:tr>
      <w:tr w:rsidR="00AD3606" w:rsidRPr="00C0458D" w14:paraId="3A759762" w14:textId="77777777" w:rsidTr="00AD3606">
        <w:trPr>
          <w:cantSplit/>
        </w:trPr>
        <w:tc>
          <w:tcPr>
            <w:tcW w:w="9214" w:type="dxa"/>
            <w:gridSpan w:val="2"/>
            <w:tcMar>
              <w:left w:w="0" w:type="dxa"/>
            </w:tcMar>
          </w:tcPr>
          <w:p w14:paraId="2A2DCF47" w14:textId="1BF14A73" w:rsidR="00AD3606" w:rsidRPr="000F7289" w:rsidRDefault="00864D1B" w:rsidP="000F7289">
            <w:pPr>
              <w:pStyle w:val="Subtitle"/>
              <w:framePr w:hSpace="0" w:wrap="auto" w:xAlign="left" w:yAlign="inline"/>
            </w:pPr>
            <w:bookmarkStart w:id="9" w:name="dtitle1" w:colFirst="0" w:colLast="0"/>
            <w:bookmarkEnd w:id="8"/>
            <w:r w:rsidRPr="00BF35F9">
              <w:t>CLARIFYING THE ROLE OF ITU’S GOVERNING BODIES IN THE ORGANIZATION’S STRUCTURES FOR IT GOVERNANCE AND DATA/INFORMATION GOVERNANCE</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02F71CA" w:rsidR="00AD3606" w:rsidRPr="00C0458D" w:rsidRDefault="00F16BAB" w:rsidP="00F16BAB">
            <w:pPr>
              <w:spacing w:before="160"/>
              <w:rPr>
                <w:b/>
                <w:bCs/>
                <w:sz w:val="26"/>
                <w:szCs w:val="26"/>
              </w:rPr>
            </w:pPr>
            <w:r w:rsidRPr="00C0458D">
              <w:rPr>
                <w:b/>
                <w:bCs/>
                <w:sz w:val="26"/>
                <w:szCs w:val="26"/>
              </w:rPr>
              <w:t>Purpose</w:t>
            </w:r>
          </w:p>
          <w:p w14:paraId="35CCBAA9" w14:textId="736A5A90" w:rsidR="005F2241" w:rsidRDefault="005F2241" w:rsidP="00756381">
            <w:pPr>
              <w:spacing w:line="260" w:lineRule="atLeast"/>
              <w:jc w:val="both"/>
              <w:rPr>
                <w:rFonts w:eastAsia="Calibri" w:cs="Calibri"/>
                <w:lang w:val="en"/>
              </w:rPr>
            </w:pPr>
            <w:r w:rsidRPr="005F2241">
              <w:rPr>
                <w:rFonts w:eastAsia="Calibri" w:cs="Calibri"/>
                <w:lang w:val="en"/>
              </w:rPr>
              <w:t>On issues crucial to the proper functioning of the organization, the role</w:t>
            </w:r>
            <w:r w:rsidR="00807557">
              <w:rPr>
                <w:rFonts w:eastAsia="Calibri" w:cs="Calibri"/>
                <w:lang w:val="en"/>
              </w:rPr>
              <w:t>s</w:t>
            </w:r>
            <w:r w:rsidRPr="005F2241">
              <w:rPr>
                <w:rFonts w:eastAsia="Calibri" w:cs="Calibri"/>
                <w:lang w:val="en"/>
              </w:rPr>
              <w:t xml:space="preserve"> of Plenipotentiary Conferences </w:t>
            </w:r>
            <w:r w:rsidR="00A161CF">
              <w:rPr>
                <w:rFonts w:eastAsia="Calibri" w:cs="Calibri"/>
                <w:lang w:val="en"/>
              </w:rPr>
              <w:t xml:space="preserve">(PP) </w:t>
            </w:r>
            <w:r w:rsidRPr="005F2241">
              <w:rPr>
                <w:rFonts w:eastAsia="Calibri" w:cs="Calibri"/>
                <w:lang w:val="en"/>
              </w:rPr>
              <w:t xml:space="preserve">and Council should be to decide, approve, and </w:t>
            </w:r>
            <w:r w:rsidR="00807557">
              <w:rPr>
                <w:rFonts w:eastAsia="Calibri" w:cs="Calibri"/>
                <w:lang w:val="en"/>
              </w:rPr>
              <w:t>endorse</w:t>
            </w:r>
            <w:r w:rsidRPr="005F2241">
              <w:rPr>
                <w:rFonts w:eastAsia="Calibri" w:cs="Calibri"/>
                <w:lang w:val="en"/>
              </w:rPr>
              <w:t xml:space="preserve">. However, for IT governance and data/information governance at ITU (vital functions of today's businesses), this is not currently the case. Indeed, </w:t>
            </w:r>
            <w:r w:rsidR="00456568">
              <w:rPr>
                <w:rFonts w:eastAsia="Calibri" w:cs="Calibri"/>
                <w:lang w:val="en"/>
              </w:rPr>
              <w:t xml:space="preserve">the </w:t>
            </w:r>
            <w:r w:rsidR="00807557">
              <w:rPr>
                <w:rFonts w:eastAsia="Calibri" w:cs="Calibri"/>
                <w:lang w:val="en"/>
              </w:rPr>
              <w:t>ITU</w:t>
            </w:r>
            <w:r w:rsidRPr="005F2241">
              <w:rPr>
                <w:rFonts w:eastAsia="Calibri" w:cs="Calibri"/>
                <w:lang w:val="en"/>
              </w:rPr>
              <w:t xml:space="preserve"> Council is only informed in a piecemeal and unsystematic manner, even on strategic aspects related to these areas. This contribution aims to ensure that </w:t>
            </w:r>
            <w:r w:rsidR="00456568">
              <w:rPr>
                <w:rFonts w:eastAsia="Calibri" w:cs="Calibri"/>
                <w:lang w:val="en"/>
              </w:rPr>
              <w:t xml:space="preserve">the </w:t>
            </w:r>
            <w:r w:rsidR="00807557">
              <w:rPr>
                <w:rFonts w:eastAsia="Calibri" w:cs="Calibri"/>
                <w:lang w:val="en"/>
              </w:rPr>
              <w:t>ITU</w:t>
            </w:r>
            <w:r w:rsidRPr="005F2241">
              <w:rPr>
                <w:rFonts w:eastAsia="Calibri" w:cs="Calibri"/>
                <w:lang w:val="en"/>
              </w:rPr>
              <w:t xml:space="preserve"> Council assumes its responsibilities in these areas essential to the proper functioning of the ITU.</w:t>
            </w:r>
          </w:p>
          <w:p w14:paraId="6A4037A0" w14:textId="7077981C" w:rsidR="00807557" w:rsidRPr="00807557" w:rsidRDefault="00807557" w:rsidP="00756381">
            <w:pPr>
              <w:spacing w:line="260" w:lineRule="atLeast"/>
              <w:jc w:val="both"/>
              <w:rPr>
                <w:rFonts w:eastAsia="Calibri" w:cs="Calibri"/>
                <w:lang w:val="en-US"/>
              </w:rPr>
            </w:pPr>
            <w:r w:rsidRPr="00807557">
              <w:rPr>
                <w:rFonts w:eastAsia="Calibri" w:cs="Calibri"/>
                <w:lang w:val="en"/>
              </w:rPr>
              <w:t>If ITU aspires to be the United Nations</w:t>
            </w:r>
            <w:r>
              <w:rPr>
                <w:rFonts w:eastAsia="Calibri" w:cs="Calibri"/>
                <w:lang w:val="en"/>
              </w:rPr>
              <w:t>’</w:t>
            </w:r>
            <w:r w:rsidRPr="00807557">
              <w:rPr>
                <w:rFonts w:eastAsia="Calibri" w:cs="Calibri"/>
                <w:lang w:val="en"/>
              </w:rPr>
              <w:t xml:space="preserve"> specialized agency for information and communication technologies/digital technology, it must be exemplary in its internal management of IT and data/information.</w:t>
            </w:r>
            <w:r>
              <w:rPr>
                <w:rFonts w:eastAsia="Calibri" w:cs="Calibri"/>
                <w:lang w:val="en"/>
              </w:rPr>
              <w:t xml:space="preserve"> This requires the involvement of ITU’s governing bodies in the elaboration, determination, and revision of</w:t>
            </w:r>
            <w:r w:rsidR="00A161CF">
              <w:rPr>
                <w:rFonts w:eastAsia="Calibri" w:cs="Calibri"/>
                <w:lang w:val="en"/>
              </w:rPr>
              <w:t xml:space="preserve"> key elements (e.g. strategies, finances, transversal challenges) of</w:t>
            </w:r>
            <w:r>
              <w:rPr>
                <w:rFonts w:eastAsia="Calibri" w:cs="Calibri"/>
                <w:lang w:val="en"/>
              </w:rPr>
              <w:t xml:space="preserve"> </w:t>
            </w:r>
            <w:r w:rsidRPr="00BF35F9">
              <w:t>IT governance and data/information governance</w:t>
            </w:r>
            <w:r>
              <w:t xml:space="preserve"> beyond mere punctual subsequent information.</w:t>
            </w:r>
          </w:p>
          <w:p w14:paraId="35826008" w14:textId="65AAD524" w:rsidR="0001330B" w:rsidRPr="0001330B" w:rsidRDefault="0001330B" w:rsidP="00756381">
            <w:pPr>
              <w:spacing w:line="260" w:lineRule="atLeast"/>
              <w:jc w:val="both"/>
              <w:rPr>
                <w:rFonts w:eastAsia="Calibri" w:cs="Calibri"/>
                <w:lang w:val="en-US"/>
              </w:rPr>
            </w:pPr>
            <w:r w:rsidRPr="00E0276E">
              <w:rPr>
                <w:rFonts w:cs="Calibri"/>
                <w:szCs w:val="24"/>
              </w:rPr>
              <w:t>T</w:t>
            </w:r>
            <w:r w:rsidRPr="00E0276E">
              <w:rPr>
                <w:rFonts w:eastAsia="Calibri" w:cs="Calibri"/>
              </w:rPr>
              <w:t xml:space="preserve">he restructuring of the </w:t>
            </w:r>
            <w:r w:rsidRPr="00E0276E">
              <w:t>Information and Communication Technology Committee (</w:t>
            </w:r>
            <w:r w:rsidRPr="00E0276E">
              <w:rPr>
                <w:rFonts w:eastAsia="Calibri" w:cs="Calibri"/>
              </w:rPr>
              <w:t>ICTC), renamed the ICT Governance Committee (ICTGC)</w:t>
            </w:r>
            <w:r w:rsidRPr="00E0276E">
              <w:rPr>
                <w:rStyle w:val="FootnoteReference"/>
                <w:rFonts w:eastAsia="Calibri" w:cs="Calibri"/>
              </w:rPr>
              <w:footnoteReference w:id="1"/>
            </w:r>
            <w:r w:rsidRPr="00E0276E">
              <w:rPr>
                <w:rFonts w:eastAsia="Calibri" w:cs="Calibri"/>
              </w:rPr>
              <w:t>, of which Council was informed at its 2024 session, falls, in our opinion, short of giving a solid basis to IT management and data management at ITU, especially as it does not acknowledge a role for the governing bodies of the Union.</w:t>
            </w:r>
          </w:p>
          <w:p w14:paraId="4288AA6F" w14:textId="77777777" w:rsidR="00AD3606" w:rsidRDefault="00AD3606" w:rsidP="00756381">
            <w:pPr>
              <w:spacing w:before="160"/>
              <w:jc w:val="both"/>
              <w:rPr>
                <w:b/>
                <w:bCs/>
                <w:sz w:val="26"/>
                <w:szCs w:val="26"/>
              </w:rPr>
            </w:pPr>
            <w:r w:rsidRPr="00C0458D">
              <w:rPr>
                <w:b/>
                <w:bCs/>
                <w:sz w:val="26"/>
                <w:szCs w:val="26"/>
              </w:rPr>
              <w:t>Action required</w:t>
            </w:r>
            <w:r w:rsidR="00F16BAB" w:rsidRPr="00C0458D">
              <w:rPr>
                <w:b/>
                <w:bCs/>
                <w:sz w:val="26"/>
                <w:szCs w:val="26"/>
              </w:rPr>
              <w:t xml:space="preserve"> by the Council</w:t>
            </w:r>
          </w:p>
          <w:p w14:paraId="3E21501A" w14:textId="6A3DDD88" w:rsidR="00BF35F9" w:rsidRPr="004C6C89" w:rsidRDefault="00BF35F9" w:rsidP="00756381">
            <w:pPr>
              <w:spacing w:line="260" w:lineRule="atLeast"/>
              <w:jc w:val="both"/>
              <w:rPr>
                <w:rFonts w:eastAsia="Calibri" w:cs="Calibri"/>
                <w:lang w:val="en-US"/>
              </w:rPr>
            </w:pPr>
            <w:r>
              <w:rPr>
                <w:rFonts w:eastAsia="Calibri" w:cs="Calibri"/>
              </w:rPr>
              <w:t>First</w:t>
            </w:r>
            <w:r w:rsidRPr="008624FA">
              <w:rPr>
                <w:rFonts w:eastAsia="Calibri" w:cs="Calibri"/>
              </w:rPr>
              <w:t xml:space="preserve">, it is proposed that all significant information – from the perspective of governing bodies – related to IT management and data management at ITU is communicated to </w:t>
            </w:r>
            <w:r>
              <w:rPr>
                <w:rFonts w:eastAsia="Calibri" w:cs="Calibri"/>
              </w:rPr>
              <w:t xml:space="preserve">PP </w:t>
            </w:r>
            <w:r w:rsidRPr="008624FA">
              <w:rPr>
                <w:rFonts w:eastAsia="Calibri" w:cs="Calibri"/>
              </w:rPr>
              <w:t>and Council</w:t>
            </w:r>
            <w:bookmarkStart w:id="10" w:name="_Hlk199258584"/>
            <w:r>
              <w:rPr>
                <w:rFonts w:eastAsia="Calibri" w:cs="Calibri"/>
              </w:rPr>
              <w:t xml:space="preserve"> sessions </w:t>
            </w:r>
            <w:r w:rsidRPr="008624FA">
              <w:rPr>
                <w:rFonts w:eastAsia="Calibri" w:cs="Calibri"/>
              </w:rPr>
              <w:t>in an aggregated and comprehensive fashion</w:t>
            </w:r>
            <w:bookmarkEnd w:id="10"/>
            <w:r w:rsidRPr="008624FA">
              <w:rPr>
                <w:rFonts w:eastAsia="Calibri" w:cs="Calibri"/>
              </w:rPr>
              <w:t>. PP and Council have to champion IT and data governance systems that are mature</w:t>
            </w:r>
            <w:r>
              <w:rPr>
                <w:rFonts w:eastAsia="Calibri" w:cs="Calibri"/>
              </w:rPr>
              <w:t xml:space="preserve"> (</w:t>
            </w:r>
            <w:r w:rsidRPr="008624FA">
              <w:rPr>
                <w:rFonts w:eastAsia="Calibri" w:cs="Calibri"/>
              </w:rPr>
              <w:t>whilst refraining from micromanaging the IT activities of the organisation</w:t>
            </w:r>
            <w:r>
              <w:rPr>
                <w:rFonts w:eastAsia="Calibri" w:cs="Calibri"/>
              </w:rPr>
              <w:t>)</w:t>
            </w:r>
            <w:r w:rsidRPr="008624FA">
              <w:rPr>
                <w:rFonts w:eastAsia="Calibri" w:cs="Calibri"/>
              </w:rPr>
              <w:t xml:space="preserve">. These two bodies must assume their roles and responsibilities </w:t>
            </w:r>
            <w:r w:rsidRPr="008624FA">
              <w:rPr>
                <w:rFonts w:eastAsia="Calibri" w:cs="Calibri"/>
              </w:rPr>
              <w:lastRenderedPageBreak/>
              <w:t xml:space="preserve">in these crucial fields for the functioning of the Union. The current proposed optimisation should lead amongst other things to an improved and more transparent strategic and financial planning for essential IT and technology projects of the organization that will ultimately ensure greater planning certainty to these projects. </w:t>
            </w:r>
            <w:r>
              <w:rPr>
                <w:rFonts w:eastAsia="Calibri" w:cs="Calibri"/>
              </w:rPr>
              <w:t xml:space="preserve">An </w:t>
            </w:r>
            <w:r>
              <w:rPr>
                <w:rFonts w:eastAsia="Calibri" w:cs="Calibri"/>
                <w:lang w:val="en-US"/>
              </w:rPr>
              <w:t>ex</w:t>
            </w:r>
            <w:r w:rsidRPr="004C6C89">
              <w:rPr>
                <w:rFonts w:eastAsia="Calibri" w:cs="Calibri"/>
                <w:lang w:val="en-US"/>
              </w:rPr>
              <w:t>emplary</w:t>
            </w:r>
            <w:r>
              <w:rPr>
                <w:rFonts w:eastAsia="Calibri" w:cs="Calibri"/>
                <w:lang w:val="en-US"/>
              </w:rPr>
              <w:t xml:space="preserve"> l</w:t>
            </w:r>
            <w:r w:rsidRPr="004C6C89">
              <w:rPr>
                <w:rFonts w:eastAsia="Calibri" w:cs="Calibri"/>
                <w:lang w:val="en-US"/>
              </w:rPr>
              <w:t xml:space="preserve">ist of </w:t>
            </w:r>
            <w:r>
              <w:rPr>
                <w:rFonts w:eastAsia="Calibri" w:cs="Calibri"/>
                <w:lang w:val="en-US"/>
              </w:rPr>
              <w:t>a</w:t>
            </w:r>
            <w:r w:rsidRPr="004C6C89">
              <w:rPr>
                <w:rFonts w:eastAsia="Calibri" w:cs="Calibri"/>
                <w:lang w:val="en-US"/>
              </w:rPr>
              <w:t xml:space="preserve">spects of IT </w:t>
            </w:r>
            <w:r>
              <w:rPr>
                <w:rFonts w:eastAsia="Calibri" w:cs="Calibri"/>
                <w:lang w:val="en-US"/>
              </w:rPr>
              <w:t>g</w:t>
            </w:r>
            <w:r w:rsidRPr="004C6C89">
              <w:rPr>
                <w:rFonts w:eastAsia="Calibri" w:cs="Calibri"/>
                <w:lang w:val="en-US"/>
              </w:rPr>
              <w:t xml:space="preserve">overnance and </w:t>
            </w:r>
            <w:r w:rsidR="00A161CF">
              <w:rPr>
                <w:rFonts w:eastAsia="Calibri" w:cs="Calibri"/>
                <w:lang w:val="en-US"/>
              </w:rPr>
              <w:t>d</w:t>
            </w:r>
            <w:r w:rsidRPr="004C6C89">
              <w:rPr>
                <w:rFonts w:eastAsia="Calibri" w:cs="Calibri"/>
                <w:lang w:val="en-US"/>
              </w:rPr>
              <w:t xml:space="preserve">ata </w:t>
            </w:r>
            <w:r>
              <w:rPr>
                <w:rFonts w:eastAsia="Calibri" w:cs="Calibri"/>
                <w:lang w:val="en-US"/>
              </w:rPr>
              <w:t>g</w:t>
            </w:r>
            <w:r w:rsidRPr="004C6C89">
              <w:rPr>
                <w:rFonts w:eastAsia="Calibri" w:cs="Calibri"/>
                <w:lang w:val="en-US"/>
              </w:rPr>
              <w:t xml:space="preserve">overnance to </w:t>
            </w:r>
            <w:r w:rsidRPr="00E71094">
              <w:rPr>
                <w:rFonts w:eastAsia="Calibri" w:cs="Calibri"/>
                <w:b/>
                <w:bCs/>
                <w:lang w:val="en-US"/>
              </w:rPr>
              <w:t>be reported</w:t>
            </w:r>
            <w:r w:rsidRPr="004C6C89">
              <w:rPr>
                <w:rFonts w:eastAsia="Calibri" w:cs="Calibri"/>
                <w:lang w:val="en-US"/>
              </w:rPr>
              <w:t xml:space="preserve"> to ITU Council for </w:t>
            </w:r>
            <w:r>
              <w:rPr>
                <w:rFonts w:eastAsia="Calibri" w:cs="Calibri"/>
                <w:lang w:val="en-US"/>
              </w:rPr>
              <w:t>i</w:t>
            </w:r>
            <w:r w:rsidRPr="004C6C89">
              <w:rPr>
                <w:rFonts w:eastAsia="Calibri" w:cs="Calibri"/>
                <w:lang w:val="en-US"/>
              </w:rPr>
              <w:t xml:space="preserve">nformation or </w:t>
            </w:r>
            <w:r>
              <w:rPr>
                <w:rFonts w:eastAsia="Calibri" w:cs="Calibri"/>
                <w:lang w:val="en-US"/>
              </w:rPr>
              <w:t>e</w:t>
            </w:r>
            <w:r w:rsidRPr="004C6C89">
              <w:rPr>
                <w:rFonts w:eastAsia="Calibri" w:cs="Calibri"/>
                <w:lang w:val="en-US"/>
              </w:rPr>
              <w:t xml:space="preserve">ndorsement, as appropriate, in an </w:t>
            </w:r>
            <w:r>
              <w:rPr>
                <w:rFonts w:eastAsia="Calibri" w:cs="Calibri"/>
                <w:lang w:val="en-US"/>
              </w:rPr>
              <w:t>a</w:t>
            </w:r>
            <w:r w:rsidRPr="004C6C89">
              <w:rPr>
                <w:rFonts w:eastAsia="Calibri" w:cs="Calibri"/>
                <w:lang w:val="en-US"/>
              </w:rPr>
              <w:t xml:space="preserve">ggregated and </w:t>
            </w:r>
            <w:r>
              <w:rPr>
                <w:rFonts w:eastAsia="Calibri" w:cs="Calibri"/>
                <w:lang w:val="en-US"/>
              </w:rPr>
              <w:t>c</w:t>
            </w:r>
            <w:r w:rsidRPr="004C6C89">
              <w:rPr>
                <w:rFonts w:eastAsia="Calibri" w:cs="Calibri"/>
                <w:lang w:val="en-US"/>
              </w:rPr>
              <w:t xml:space="preserve">omprehensive </w:t>
            </w:r>
            <w:r w:rsidR="00A161CF">
              <w:rPr>
                <w:rFonts w:eastAsia="Calibri" w:cs="Calibri"/>
                <w:lang w:val="en-US"/>
              </w:rPr>
              <w:t>f</w:t>
            </w:r>
            <w:r w:rsidRPr="004C6C89">
              <w:rPr>
                <w:rFonts w:eastAsia="Calibri" w:cs="Calibri"/>
                <w:lang w:val="en-US"/>
              </w:rPr>
              <w:t>ashion</w:t>
            </w:r>
            <w:r>
              <w:rPr>
                <w:rFonts w:eastAsia="Calibri" w:cs="Calibri"/>
                <w:lang w:val="en-US"/>
              </w:rPr>
              <w:t xml:space="preserve"> is:</w:t>
            </w:r>
          </w:p>
          <w:p w14:paraId="1F0AB97C" w14:textId="161820D4" w:rsidR="00BF35F9" w:rsidRPr="00BD61C4" w:rsidRDefault="00BD61C4" w:rsidP="00756381">
            <w:pPr>
              <w:pStyle w:val="enumlev1"/>
              <w:jc w:val="both"/>
              <w:rPr>
                <w:rFonts w:eastAsia="Calibri"/>
                <w:lang w:val="it-CH"/>
              </w:rPr>
            </w:pPr>
            <w:r>
              <w:rPr>
                <w:rFonts w:eastAsia="Calibri"/>
                <w:lang w:val="it-CH"/>
              </w:rPr>
              <w:t>–</w:t>
            </w:r>
            <w:r w:rsidRPr="00BF35F9">
              <w:rPr>
                <w:rFonts w:eastAsia="Calibri"/>
                <w:lang w:val="it-CH"/>
              </w:rPr>
              <w:tab/>
            </w:r>
            <w:r w:rsidR="00BF35F9" w:rsidRPr="00BD61C4">
              <w:rPr>
                <w:rFonts w:eastAsia="Calibri"/>
                <w:lang w:val="it-CH"/>
              </w:rPr>
              <w:t>Documentation of strategic nature:</w:t>
            </w:r>
          </w:p>
          <w:p w14:paraId="1BB2DDD5" w14:textId="57FD0F88" w:rsidR="00C32F0E" w:rsidRPr="00BD61C4" w:rsidRDefault="00BD61C4" w:rsidP="00756381">
            <w:pPr>
              <w:pStyle w:val="enumlev2"/>
              <w:jc w:val="both"/>
              <w:rPr>
                <w:rFonts w:eastAsia="Calibri"/>
                <w:lang w:val="en-US"/>
              </w:rPr>
            </w:pPr>
            <w:r w:rsidRPr="00BD61C4">
              <w:rPr>
                <w:rFonts w:ascii="Courier New" w:eastAsia="Calibri" w:hAnsi="Courier New" w:cs="Courier New"/>
                <w:lang w:val="en-US"/>
              </w:rPr>
              <w:t>•</w:t>
            </w:r>
            <w:r>
              <w:rPr>
                <w:rFonts w:ascii="Courier New" w:eastAsia="Calibri" w:hAnsi="Courier New" w:cs="Courier New"/>
                <w:lang w:val="en-US"/>
              </w:rPr>
              <w:tab/>
            </w:r>
            <w:r w:rsidR="00C32F0E" w:rsidRPr="00BD61C4">
              <w:rPr>
                <w:rFonts w:eastAsia="Calibri"/>
                <w:lang w:val="en-US"/>
              </w:rPr>
              <w:t>IT Strategy</w:t>
            </w:r>
          </w:p>
          <w:p w14:paraId="6AC6D401" w14:textId="3304C332" w:rsidR="00BF35F9" w:rsidRPr="00BD61C4" w:rsidRDefault="00BD61C4" w:rsidP="00756381">
            <w:pPr>
              <w:pStyle w:val="enumlev2"/>
              <w:jc w:val="both"/>
              <w:rPr>
                <w:rFonts w:eastAsia="Calibri"/>
                <w:lang w:val="en-US"/>
              </w:rPr>
            </w:pPr>
            <w:r w:rsidRPr="00BD61C4">
              <w:rPr>
                <w:rFonts w:ascii="Courier New" w:eastAsia="Calibri" w:hAnsi="Courier New" w:cs="Courier New"/>
                <w:lang w:val="en-US"/>
              </w:rPr>
              <w:t>•</w:t>
            </w:r>
            <w:r w:rsidRPr="00BF35F9">
              <w:rPr>
                <w:rFonts w:ascii="Courier New" w:eastAsia="Calibri" w:hAnsi="Courier New" w:cs="Courier New"/>
                <w:lang w:val="en-US"/>
              </w:rPr>
              <w:tab/>
            </w:r>
            <w:r w:rsidRPr="00BD61C4">
              <w:rPr>
                <w:rFonts w:eastAsia="Calibri"/>
                <w:lang w:val="en-US"/>
              </w:rPr>
              <w:t xml:space="preserve">information and data management strategy </w:t>
            </w:r>
          </w:p>
          <w:p w14:paraId="4866E599" w14:textId="0869524B" w:rsidR="00C32F0E" w:rsidRPr="00BD61C4" w:rsidRDefault="00BD61C4" w:rsidP="00756381">
            <w:pPr>
              <w:pStyle w:val="enumlev2"/>
              <w:jc w:val="both"/>
              <w:rPr>
                <w:rFonts w:eastAsia="Calibri"/>
                <w:lang w:val="it-CH"/>
              </w:rPr>
            </w:pPr>
            <w:r w:rsidRPr="00BD61C4">
              <w:rPr>
                <w:rFonts w:ascii="Courier New" w:eastAsia="Calibri" w:hAnsi="Courier New" w:cs="Courier New"/>
                <w:lang w:val="en-US"/>
              </w:rPr>
              <w:t>•</w:t>
            </w:r>
            <w:r w:rsidRPr="00BF35F9">
              <w:rPr>
                <w:rFonts w:ascii="Courier New" w:eastAsia="Calibri" w:hAnsi="Courier New" w:cs="Courier New"/>
                <w:lang w:val="it-CH"/>
              </w:rPr>
              <w:tab/>
            </w:r>
            <w:r w:rsidR="00C32F0E" w:rsidRPr="00BD61C4">
              <w:rPr>
                <w:rFonts w:eastAsia="Calibri"/>
                <w:lang w:val="it-CH"/>
              </w:rPr>
              <w:t xml:space="preserve">AI </w:t>
            </w:r>
            <w:r w:rsidRPr="00BD61C4">
              <w:rPr>
                <w:rFonts w:eastAsia="Calibri"/>
                <w:lang w:val="it-CH"/>
              </w:rPr>
              <w:t xml:space="preserve">use strategy </w:t>
            </w:r>
          </w:p>
          <w:p w14:paraId="68C0252B" w14:textId="59BADD07" w:rsidR="00BF35F9" w:rsidRPr="00BD61C4" w:rsidRDefault="00BD61C4" w:rsidP="00756381">
            <w:pPr>
              <w:pStyle w:val="enumlev2"/>
              <w:jc w:val="both"/>
              <w:rPr>
                <w:rFonts w:eastAsia="Calibri"/>
                <w:lang w:val="en-US"/>
              </w:rPr>
            </w:pPr>
            <w:r w:rsidRPr="00BD61C4">
              <w:rPr>
                <w:rFonts w:ascii="Courier New" w:eastAsia="Calibri" w:hAnsi="Courier New" w:cs="Courier New"/>
                <w:lang w:val="en-US"/>
              </w:rPr>
              <w:t>•</w:t>
            </w:r>
            <w:r w:rsidRPr="00BF35F9">
              <w:rPr>
                <w:rFonts w:ascii="Courier New" w:eastAsia="Calibri" w:hAnsi="Courier New" w:cs="Courier New"/>
                <w:lang w:val="en-US"/>
              </w:rPr>
              <w:tab/>
            </w:r>
            <w:r w:rsidR="00BF35F9" w:rsidRPr="00BD61C4">
              <w:rPr>
                <w:rFonts w:eastAsia="Calibri"/>
                <w:lang w:val="en-US"/>
              </w:rPr>
              <w:t>“</w:t>
            </w:r>
            <w:r w:rsidRPr="00BD61C4">
              <w:rPr>
                <w:rFonts w:eastAsia="Calibri"/>
                <w:lang w:val="en-US"/>
              </w:rPr>
              <w:t>enablers</w:t>
            </w:r>
            <w:r w:rsidR="00BF35F9" w:rsidRPr="00BD61C4">
              <w:rPr>
                <w:rFonts w:eastAsia="Calibri"/>
                <w:lang w:val="en-US"/>
              </w:rPr>
              <w:t xml:space="preserve">” of the strategic plan </w:t>
            </w:r>
            <w:r w:rsidR="00C32F0E" w:rsidRPr="00BD61C4">
              <w:rPr>
                <w:rFonts w:eastAsia="Calibri"/>
                <w:lang w:val="en-US"/>
              </w:rPr>
              <w:t xml:space="preserve">associated with </w:t>
            </w:r>
            <w:r w:rsidR="00BF35F9" w:rsidRPr="00BD61C4">
              <w:rPr>
                <w:rFonts w:eastAsia="Calibri"/>
                <w:lang w:val="en-US"/>
              </w:rPr>
              <w:t>IT management and data/information management</w:t>
            </w:r>
          </w:p>
          <w:p w14:paraId="2E5ED7BC" w14:textId="4D6E5A47" w:rsidR="00BF35F9" w:rsidRPr="00BD61C4" w:rsidRDefault="00BD61C4" w:rsidP="00756381">
            <w:pPr>
              <w:pStyle w:val="enumlev1"/>
              <w:jc w:val="both"/>
              <w:rPr>
                <w:rFonts w:eastAsia="Calibri" w:cs="Calibri"/>
                <w:bCs/>
                <w:szCs w:val="24"/>
              </w:rPr>
            </w:pPr>
            <w:r>
              <w:rPr>
                <w:rFonts w:eastAsia="Calibri" w:cs="Calibri"/>
                <w:bCs/>
                <w:szCs w:val="24"/>
              </w:rPr>
              <w:t>–</w:t>
            </w:r>
            <w:r w:rsidRPr="00BF35F9">
              <w:rPr>
                <w:rFonts w:eastAsia="Calibri" w:cs="Calibri"/>
                <w:bCs/>
                <w:szCs w:val="24"/>
              </w:rPr>
              <w:tab/>
            </w:r>
            <w:r w:rsidR="00BF35F9" w:rsidRPr="00BD61C4">
              <w:rPr>
                <w:rFonts w:eastAsia="Calibri" w:cs="Calibri"/>
                <w:bCs/>
                <w:szCs w:val="24"/>
              </w:rPr>
              <w:t xml:space="preserve">Service </w:t>
            </w:r>
            <w:r w:rsidR="00BF35F9" w:rsidRPr="00BD61C4">
              <w:rPr>
                <w:rFonts w:eastAsia="Calibri"/>
                <w:lang w:val="it-CH"/>
              </w:rPr>
              <w:t>orders</w:t>
            </w:r>
            <w:r w:rsidR="00BF35F9" w:rsidRPr="00BD61C4">
              <w:rPr>
                <w:rFonts w:eastAsia="Calibri" w:cs="Calibri"/>
                <w:bCs/>
                <w:szCs w:val="24"/>
              </w:rPr>
              <w:t xml:space="preserve"> relating to </w:t>
            </w:r>
            <w:r w:rsidR="00BF35F9" w:rsidRPr="00BD61C4">
              <w:rPr>
                <w:rFonts w:eastAsia="Calibri" w:cs="Calibri"/>
                <w:bCs/>
                <w:szCs w:val="24"/>
                <w:lang w:val="en-US"/>
              </w:rPr>
              <w:t>IT Governance and Data Governance (drafts &amp; in force)</w:t>
            </w:r>
          </w:p>
          <w:p w14:paraId="07871D78" w14:textId="5B9C9124" w:rsidR="00BF35F9" w:rsidRPr="00BD61C4" w:rsidRDefault="00BD61C4" w:rsidP="00756381">
            <w:pPr>
              <w:pStyle w:val="enumlev1"/>
              <w:jc w:val="both"/>
              <w:rPr>
                <w:rFonts w:eastAsia="Calibri" w:cs="Calibri"/>
                <w:bCs/>
                <w:szCs w:val="24"/>
                <w:lang w:val="en-US"/>
              </w:rPr>
            </w:pPr>
            <w:r>
              <w:rPr>
                <w:rFonts w:eastAsia="Calibri" w:cs="Calibri"/>
                <w:bCs/>
                <w:szCs w:val="24"/>
              </w:rPr>
              <w:t>–</w:t>
            </w:r>
            <w:r w:rsidRPr="00A161CF">
              <w:rPr>
                <w:rFonts w:eastAsia="Calibri" w:cs="Calibri"/>
                <w:bCs/>
                <w:szCs w:val="24"/>
                <w:lang w:val="en-US"/>
              </w:rPr>
              <w:tab/>
            </w:r>
            <w:r w:rsidR="00BF35F9" w:rsidRPr="00BD61C4">
              <w:rPr>
                <w:rFonts w:eastAsia="Calibri"/>
                <w:lang w:val="it-CH"/>
              </w:rPr>
              <w:t>Specifications</w:t>
            </w:r>
            <w:r w:rsidR="00BF35F9" w:rsidRPr="00BD61C4">
              <w:rPr>
                <w:rFonts w:eastAsia="Calibri" w:cs="Calibri"/>
                <w:bCs/>
                <w:szCs w:val="24"/>
                <w:lang w:val="en-US"/>
              </w:rPr>
              <w:t xml:space="preserve"> relating to the new website project (</w:t>
            </w:r>
            <w:r w:rsidR="00A161CF" w:rsidRPr="00BD61C4">
              <w:rPr>
                <w:rFonts w:eastAsia="Calibri" w:cs="Calibri"/>
                <w:bCs/>
                <w:szCs w:val="24"/>
                <w:lang w:val="en-US"/>
              </w:rPr>
              <w:t>graphic charter and requirement specifications</w:t>
            </w:r>
            <w:r w:rsidR="00BF35F9" w:rsidRPr="00BD61C4">
              <w:rPr>
                <w:rFonts w:eastAsia="Calibri" w:cs="Calibri"/>
                <w:bCs/>
                <w:szCs w:val="24"/>
                <w:lang w:val="en-US"/>
              </w:rPr>
              <w:t>)</w:t>
            </w:r>
          </w:p>
          <w:p w14:paraId="658233B9" w14:textId="5A6CA321" w:rsidR="00BF35F9" w:rsidRPr="00BD61C4" w:rsidRDefault="00BD61C4" w:rsidP="00756381">
            <w:pPr>
              <w:pStyle w:val="enumlev1"/>
              <w:jc w:val="both"/>
              <w:rPr>
                <w:rFonts w:eastAsia="Calibri" w:cs="Calibri"/>
                <w:bCs/>
                <w:szCs w:val="24"/>
              </w:rPr>
            </w:pPr>
            <w:r>
              <w:rPr>
                <w:rFonts w:eastAsia="Calibri" w:cs="Calibri"/>
                <w:bCs/>
                <w:szCs w:val="24"/>
              </w:rPr>
              <w:t>–</w:t>
            </w:r>
            <w:r w:rsidRPr="00BF35F9">
              <w:rPr>
                <w:rFonts w:eastAsia="Calibri" w:cs="Calibri"/>
                <w:bCs/>
                <w:szCs w:val="24"/>
              </w:rPr>
              <w:tab/>
            </w:r>
            <w:r w:rsidR="00BF35F9" w:rsidRPr="00BD61C4">
              <w:rPr>
                <w:rFonts w:eastAsia="Calibri" w:cs="Calibri"/>
                <w:bCs/>
                <w:szCs w:val="24"/>
              </w:rPr>
              <w:t>Information on the transformation of the core business processes in the organization relating to digital</w:t>
            </w:r>
            <w:r w:rsidR="00B019E6" w:rsidRPr="00BD61C4">
              <w:rPr>
                <w:rFonts w:eastAsia="Calibri" w:cs="Calibri"/>
                <w:bCs/>
                <w:szCs w:val="24"/>
              </w:rPr>
              <w:t xml:space="preserve"> tools</w:t>
            </w:r>
            <w:r w:rsidR="00BF35F9" w:rsidRPr="00BD61C4">
              <w:rPr>
                <w:rFonts w:eastAsia="Calibri" w:cs="Calibri"/>
                <w:bCs/>
                <w:szCs w:val="24"/>
              </w:rPr>
              <w:t>, using innovative technologies</w:t>
            </w:r>
          </w:p>
          <w:p w14:paraId="4F0723B6" w14:textId="64DE56E5" w:rsidR="00BF35F9" w:rsidRPr="00BD61C4" w:rsidRDefault="00BD61C4" w:rsidP="00756381">
            <w:pPr>
              <w:pStyle w:val="enumlev1"/>
              <w:jc w:val="both"/>
              <w:rPr>
                <w:rFonts w:eastAsia="Calibri" w:cs="Calibri"/>
                <w:bCs/>
                <w:szCs w:val="24"/>
              </w:rPr>
            </w:pPr>
            <w:r>
              <w:rPr>
                <w:rFonts w:eastAsia="Calibri" w:cs="Calibri"/>
                <w:bCs/>
                <w:szCs w:val="24"/>
              </w:rPr>
              <w:t>–</w:t>
            </w:r>
            <w:r w:rsidRPr="00BF35F9">
              <w:rPr>
                <w:rFonts w:eastAsia="Calibri" w:cs="Calibri"/>
                <w:bCs/>
                <w:szCs w:val="24"/>
              </w:rPr>
              <w:tab/>
            </w:r>
            <w:r w:rsidR="00BF35F9" w:rsidRPr="00BD61C4">
              <w:rPr>
                <w:rFonts w:eastAsia="Calibri" w:cs="Calibri"/>
                <w:bCs/>
                <w:szCs w:val="24"/>
              </w:rPr>
              <w:t xml:space="preserve">Digital </w:t>
            </w:r>
            <w:r w:rsidR="00BF35F9" w:rsidRPr="00BD61C4">
              <w:rPr>
                <w:rFonts w:eastAsia="Calibri"/>
                <w:lang w:val="it-CH"/>
              </w:rPr>
              <w:t>risks</w:t>
            </w:r>
            <w:r w:rsidR="00BF35F9" w:rsidRPr="00BD61C4">
              <w:rPr>
                <w:rFonts w:eastAsia="Calibri" w:cs="Calibri"/>
                <w:bCs/>
                <w:szCs w:val="24"/>
              </w:rPr>
              <w:t xml:space="preserve"> at the strategic level and in core business processes</w:t>
            </w:r>
          </w:p>
          <w:p w14:paraId="5FF1DF59" w14:textId="7E76E001" w:rsidR="00BF35F9" w:rsidRPr="00BD61C4" w:rsidRDefault="00BD61C4" w:rsidP="00756381">
            <w:pPr>
              <w:pStyle w:val="enumlev1"/>
              <w:jc w:val="both"/>
              <w:rPr>
                <w:rFonts w:eastAsia="Calibri" w:cs="Calibri"/>
                <w:bCs/>
                <w:szCs w:val="24"/>
              </w:rPr>
            </w:pPr>
            <w:r>
              <w:rPr>
                <w:rFonts w:eastAsia="Calibri" w:cs="Calibri"/>
                <w:bCs/>
                <w:szCs w:val="24"/>
              </w:rPr>
              <w:t>–</w:t>
            </w:r>
            <w:r w:rsidRPr="00BF35F9">
              <w:rPr>
                <w:rFonts w:eastAsia="Calibri" w:cs="Calibri"/>
                <w:bCs/>
                <w:szCs w:val="24"/>
              </w:rPr>
              <w:tab/>
            </w:r>
            <w:r w:rsidR="00BF35F9" w:rsidRPr="00BD61C4">
              <w:rPr>
                <w:rFonts w:eastAsia="Calibri"/>
                <w:lang w:val="it-CH"/>
              </w:rPr>
              <w:t>Management</w:t>
            </w:r>
            <w:r w:rsidR="00BF35F9" w:rsidRPr="00BD61C4">
              <w:rPr>
                <w:rFonts w:eastAsia="Calibri" w:cs="Calibri"/>
                <w:bCs/>
                <w:szCs w:val="24"/>
              </w:rPr>
              <w:t>, capitalization and protection of the organization's data in harmonized fashion</w:t>
            </w:r>
          </w:p>
          <w:p w14:paraId="5D123831" w14:textId="117CB7D7" w:rsidR="00BF35F9" w:rsidRPr="00BD61C4" w:rsidRDefault="00BD61C4" w:rsidP="00756381">
            <w:pPr>
              <w:pStyle w:val="enumlev1"/>
              <w:jc w:val="both"/>
              <w:rPr>
                <w:rFonts w:eastAsia="Calibri" w:cs="Calibri"/>
                <w:bCs/>
                <w:szCs w:val="24"/>
              </w:rPr>
            </w:pPr>
            <w:r>
              <w:rPr>
                <w:rFonts w:eastAsia="Calibri" w:cs="Calibri"/>
                <w:bCs/>
                <w:szCs w:val="24"/>
              </w:rPr>
              <w:t>–</w:t>
            </w:r>
            <w:r w:rsidRPr="00BF35F9">
              <w:rPr>
                <w:rFonts w:eastAsia="Calibri" w:cs="Calibri"/>
                <w:bCs/>
                <w:szCs w:val="24"/>
              </w:rPr>
              <w:tab/>
            </w:r>
            <w:r w:rsidR="00BF35F9" w:rsidRPr="00BD61C4">
              <w:rPr>
                <w:rFonts w:eastAsia="Calibri" w:cs="Calibri"/>
                <w:bCs/>
                <w:szCs w:val="24"/>
              </w:rPr>
              <w:t xml:space="preserve">Alignment of the IT architecture with the strategic </w:t>
            </w:r>
            <w:r w:rsidR="00BF35F9" w:rsidRPr="00BD61C4">
              <w:rPr>
                <w:rFonts w:eastAsia="Calibri"/>
                <w:lang w:val="it-CH"/>
              </w:rPr>
              <w:t>orientation</w:t>
            </w:r>
            <w:r w:rsidR="00BF35F9" w:rsidRPr="00BD61C4">
              <w:rPr>
                <w:rFonts w:eastAsia="Calibri" w:cs="Calibri"/>
                <w:bCs/>
                <w:szCs w:val="24"/>
              </w:rPr>
              <w:t xml:space="preserve"> and challenges</w:t>
            </w:r>
          </w:p>
          <w:p w14:paraId="1F0287FE" w14:textId="7C7CD260" w:rsidR="00BF35F9" w:rsidRPr="00BD61C4" w:rsidRDefault="00BD61C4" w:rsidP="00756381">
            <w:pPr>
              <w:pStyle w:val="enumlev1"/>
              <w:jc w:val="both"/>
              <w:rPr>
                <w:rFonts w:eastAsia="Calibri" w:cs="Calibri"/>
                <w:bCs/>
                <w:szCs w:val="24"/>
              </w:rPr>
            </w:pPr>
            <w:r>
              <w:rPr>
                <w:rFonts w:eastAsia="Calibri" w:cs="Calibri"/>
                <w:bCs/>
                <w:szCs w:val="24"/>
              </w:rPr>
              <w:t>–</w:t>
            </w:r>
            <w:r w:rsidRPr="00BF35F9">
              <w:rPr>
                <w:rFonts w:eastAsia="Calibri" w:cs="Calibri"/>
                <w:bCs/>
                <w:szCs w:val="24"/>
              </w:rPr>
              <w:tab/>
            </w:r>
            <w:r w:rsidR="00BF35F9" w:rsidRPr="00BD61C4">
              <w:rPr>
                <w:rFonts w:eastAsia="Calibri" w:cs="Calibri"/>
                <w:bCs/>
                <w:szCs w:val="24"/>
              </w:rPr>
              <w:t xml:space="preserve">IT assets/portfolio of digital solutions and management of their evolutions as well as information on IT projects </w:t>
            </w:r>
            <w:r w:rsidR="00BF35F9" w:rsidRPr="00BD61C4">
              <w:rPr>
                <w:rFonts w:eastAsia="Calibri"/>
                <w:lang w:val="it-CH"/>
              </w:rPr>
              <w:t>that</w:t>
            </w:r>
            <w:r w:rsidR="00BF35F9" w:rsidRPr="00BD61C4">
              <w:rPr>
                <w:rFonts w:eastAsia="Calibri" w:cs="Calibri"/>
                <w:bCs/>
                <w:szCs w:val="24"/>
              </w:rPr>
              <w:t xml:space="preserve"> have been initiated</w:t>
            </w:r>
          </w:p>
          <w:p w14:paraId="79BF990B" w14:textId="16A5F6B0" w:rsidR="00BF35F9" w:rsidRPr="00BD61C4" w:rsidRDefault="00BD61C4" w:rsidP="00756381">
            <w:pPr>
              <w:pStyle w:val="enumlev1"/>
              <w:jc w:val="both"/>
              <w:rPr>
                <w:rFonts w:eastAsia="Calibri" w:cs="Calibri"/>
                <w:bCs/>
                <w:szCs w:val="24"/>
                <w:lang w:val="en-US"/>
              </w:rPr>
            </w:pPr>
            <w:r>
              <w:rPr>
                <w:rFonts w:eastAsia="Calibri" w:cs="Calibri"/>
                <w:bCs/>
                <w:szCs w:val="24"/>
                <w:lang w:val="en-US"/>
              </w:rPr>
              <w:t>–</w:t>
            </w:r>
            <w:r w:rsidRPr="00C32F0E">
              <w:rPr>
                <w:rFonts w:eastAsia="Calibri" w:cs="Calibri"/>
                <w:bCs/>
                <w:szCs w:val="24"/>
                <w:lang w:val="en-US"/>
              </w:rPr>
              <w:tab/>
            </w:r>
            <w:r w:rsidR="000E1593" w:rsidRPr="00BD61C4">
              <w:rPr>
                <w:rFonts w:eastAsia="Calibri" w:cs="Calibri"/>
                <w:bCs/>
                <w:szCs w:val="24"/>
                <w:lang w:val="en-US"/>
              </w:rPr>
              <w:t xml:space="preserve">Multi-year rolling </w:t>
            </w:r>
            <w:r w:rsidR="00BF35F9" w:rsidRPr="00BD61C4">
              <w:rPr>
                <w:rFonts w:eastAsia="Calibri" w:cs="Calibri"/>
                <w:bCs/>
                <w:szCs w:val="24"/>
                <w:lang w:val="en-US"/>
              </w:rPr>
              <w:t xml:space="preserve">IT budget and budget </w:t>
            </w:r>
            <w:r w:rsidR="00BF35F9" w:rsidRPr="00BD61C4">
              <w:rPr>
                <w:rFonts w:eastAsia="Calibri"/>
                <w:lang w:val="it-CH"/>
              </w:rPr>
              <w:t>relating</w:t>
            </w:r>
            <w:r w:rsidR="00BF35F9" w:rsidRPr="00BD61C4">
              <w:rPr>
                <w:rFonts w:eastAsia="Calibri" w:cs="Calibri"/>
                <w:bCs/>
                <w:szCs w:val="24"/>
                <w:lang w:val="en-US"/>
              </w:rPr>
              <w:t xml:space="preserve"> to data/information management </w:t>
            </w:r>
            <w:r w:rsidR="00C32F0E" w:rsidRPr="00BD61C4">
              <w:rPr>
                <w:rFonts w:eastAsia="Calibri" w:cs="Calibri"/>
                <w:bCs/>
                <w:szCs w:val="24"/>
                <w:lang w:val="en-US"/>
              </w:rPr>
              <w:t>(of the organization as a whole and in the sectors)</w:t>
            </w:r>
            <w:r w:rsidR="000E1593" w:rsidRPr="00BD61C4">
              <w:rPr>
                <w:rFonts w:eastAsia="Calibri" w:cs="Calibri"/>
                <w:bCs/>
                <w:szCs w:val="24"/>
                <w:lang w:val="en-US"/>
              </w:rPr>
              <w:t>.</w:t>
            </w:r>
          </w:p>
          <w:p w14:paraId="465F2758" w14:textId="77777777" w:rsidR="00BF35F9" w:rsidRPr="008624FA" w:rsidRDefault="00BF35F9" w:rsidP="00756381">
            <w:pPr>
              <w:spacing w:line="260" w:lineRule="atLeast"/>
              <w:jc w:val="both"/>
              <w:rPr>
                <w:rFonts w:eastAsia="Calibri" w:cs="Calibri"/>
              </w:rPr>
            </w:pPr>
            <w:r>
              <w:rPr>
                <w:rFonts w:eastAsia="Calibri" w:cs="Calibri"/>
              </w:rPr>
              <w:t xml:space="preserve">Second, Council should </w:t>
            </w:r>
            <w:r w:rsidRPr="00E71094">
              <w:rPr>
                <w:rFonts w:eastAsia="Calibri" w:cs="Calibri"/>
                <w:b/>
                <w:bCs/>
              </w:rPr>
              <w:t>instruct</w:t>
            </w:r>
            <w:r>
              <w:rPr>
                <w:rFonts w:eastAsia="Calibri" w:cs="Calibri"/>
              </w:rPr>
              <w:t xml:space="preserve"> </w:t>
            </w:r>
            <w:r w:rsidRPr="00AC09E4">
              <w:rPr>
                <w:szCs w:val="24"/>
              </w:rPr>
              <w:t>Council Working Group on Financial and Human Resources (CWG-FHR)</w:t>
            </w:r>
            <w:r>
              <w:rPr>
                <w:szCs w:val="24"/>
              </w:rPr>
              <w:t xml:space="preserve">, in close collaboration with the </w:t>
            </w:r>
            <w:r w:rsidRPr="008624FA">
              <w:rPr>
                <w:rFonts w:eastAsia="Calibri" w:cs="Calibri"/>
              </w:rPr>
              <w:t>Advisory</w:t>
            </w:r>
            <w:r>
              <w:rPr>
                <w:rFonts w:eastAsia="Calibri" w:cs="Calibri"/>
              </w:rPr>
              <w:t xml:space="preserve"> G</w:t>
            </w:r>
            <w:r w:rsidRPr="008624FA">
              <w:rPr>
                <w:rFonts w:eastAsia="Calibri" w:cs="Calibri"/>
              </w:rPr>
              <w:t>roups of the three Sectors of the Union</w:t>
            </w:r>
            <w:r>
              <w:rPr>
                <w:rFonts w:eastAsia="Calibri" w:cs="Calibri"/>
              </w:rPr>
              <w:t xml:space="preserve"> and</w:t>
            </w:r>
            <w:r>
              <w:rPr>
                <w:szCs w:val="24"/>
              </w:rPr>
              <w:t xml:space="preserve"> the </w:t>
            </w:r>
            <w:r w:rsidRPr="007B7836">
              <w:rPr>
                <w:szCs w:val="24"/>
              </w:rPr>
              <w:t>Independent Management Advisory Committee (IMAC)</w:t>
            </w:r>
            <w:r>
              <w:rPr>
                <w:szCs w:val="24"/>
              </w:rPr>
              <w:t xml:space="preserve">, to elaborate a concept clarifying and strengthening the </w:t>
            </w:r>
            <w:r w:rsidRPr="008624FA">
              <w:rPr>
                <w:rFonts w:eastAsia="Calibri" w:cs="Calibri"/>
              </w:rPr>
              <w:t>responsibilities of</w:t>
            </w:r>
            <w:r>
              <w:rPr>
                <w:rFonts w:eastAsia="Calibri" w:cs="Calibri"/>
              </w:rPr>
              <w:t xml:space="preserve"> Plenipotentiary C</w:t>
            </w:r>
            <w:r w:rsidRPr="008624FA">
              <w:rPr>
                <w:rFonts w:eastAsia="Calibri" w:cs="Calibri"/>
              </w:rPr>
              <w:t>onferences</w:t>
            </w:r>
            <w:r>
              <w:rPr>
                <w:rFonts w:eastAsia="Calibri" w:cs="Calibri"/>
              </w:rPr>
              <w:t xml:space="preserve"> </w:t>
            </w:r>
            <w:r w:rsidRPr="008624FA">
              <w:rPr>
                <w:rFonts w:eastAsia="Calibri" w:cs="Calibri"/>
              </w:rPr>
              <w:t xml:space="preserve">and Council </w:t>
            </w:r>
            <w:r>
              <w:rPr>
                <w:rFonts w:eastAsia="Calibri" w:cs="Calibri"/>
              </w:rPr>
              <w:t xml:space="preserve">with respect to </w:t>
            </w:r>
            <w:r w:rsidRPr="008624FA">
              <w:rPr>
                <w:rFonts w:eastAsia="Calibri" w:cs="Calibri"/>
              </w:rPr>
              <w:t>the organization and harmonization of IT management and data management of ITU</w:t>
            </w:r>
            <w:r>
              <w:rPr>
                <w:rFonts w:eastAsia="Calibri" w:cs="Calibri"/>
              </w:rPr>
              <w:t xml:space="preserve">. These </w:t>
            </w:r>
            <w:r w:rsidRPr="008624FA">
              <w:rPr>
                <w:rFonts w:eastAsia="Calibri" w:cs="Calibri"/>
              </w:rPr>
              <w:t>reforms in the fields of IT management and data management of ITU should achieve improved value delivery, proper strategic alignment, higher performance management, more efficient resource management, and strengthened risk management</w:t>
            </w:r>
            <w:r>
              <w:rPr>
                <w:rFonts w:eastAsia="Calibri" w:cs="Calibri"/>
              </w:rPr>
              <w:t>. CWG-FHR should report on this matter to Council at its 2026 ordinary session.</w:t>
            </w:r>
          </w:p>
          <w:p w14:paraId="7089D4B7" w14:textId="7C5FEE67" w:rsidR="00AD3606" w:rsidRPr="00F13D98" w:rsidRDefault="00BF35F9" w:rsidP="00756381">
            <w:pPr>
              <w:spacing w:after="120" w:line="260" w:lineRule="atLeast"/>
              <w:jc w:val="both"/>
              <w:rPr>
                <w:rFonts w:eastAsia="Calibri" w:cs="Calibri"/>
              </w:rPr>
            </w:pPr>
            <w:r>
              <w:rPr>
                <w:rFonts w:eastAsia="Calibri" w:cs="Calibri"/>
              </w:rPr>
              <w:t xml:space="preserve">Third, Council should </w:t>
            </w:r>
            <w:r w:rsidRPr="00E71094">
              <w:rPr>
                <w:rFonts w:eastAsia="Calibri" w:cs="Calibri"/>
                <w:b/>
                <w:bCs/>
              </w:rPr>
              <w:t>instruct</w:t>
            </w:r>
            <w:r>
              <w:rPr>
                <w:rFonts w:eastAsia="Calibri" w:cs="Calibri"/>
              </w:rPr>
              <w:t xml:space="preserve"> </w:t>
            </w:r>
            <w:r w:rsidRPr="008624FA">
              <w:rPr>
                <w:rFonts w:eastAsia="Calibri" w:cs="Calibri"/>
              </w:rPr>
              <w:t>Secretary-General</w:t>
            </w:r>
            <w:r>
              <w:rPr>
                <w:rFonts w:eastAsia="Calibri" w:cs="Calibri"/>
              </w:rPr>
              <w:t xml:space="preserve"> </w:t>
            </w:r>
            <w:r w:rsidRPr="008624FA">
              <w:rPr>
                <w:rFonts w:eastAsia="Calibri" w:cs="Calibri"/>
              </w:rPr>
              <w:t xml:space="preserve">to prepare a report </w:t>
            </w:r>
            <w:r>
              <w:rPr>
                <w:rFonts w:eastAsia="Calibri" w:cs="Calibri"/>
              </w:rPr>
              <w:t>to be submitted to the September meeting of CWG-FHR, providing complete information on the organisational aspects relating to IT and data/information governance in the whole of the organization (including the three sectors) and specifics about the documents enumerated in the exemplary list (and those of similar nature but of which the contributors are not aware of).</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76C75007" w14:textId="3D3FBC86" w:rsidR="00BF35F9" w:rsidRPr="00BF35F9" w:rsidRDefault="00BF35F9" w:rsidP="00F13D98">
      <w:pPr>
        <w:pStyle w:val="Headingb"/>
      </w:pPr>
      <w:r w:rsidRPr="00BF35F9">
        <w:lastRenderedPageBreak/>
        <w:t>Context</w:t>
      </w:r>
    </w:p>
    <w:p w14:paraId="54323778" w14:textId="6549AA3D" w:rsidR="00BF35F9" w:rsidRPr="00E0276E" w:rsidRDefault="00BF35F9" w:rsidP="00F13D98">
      <w:pPr>
        <w:jc w:val="both"/>
        <w:rPr>
          <w:rFonts w:eastAsia="Calibri"/>
        </w:rPr>
      </w:pPr>
      <w:r w:rsidRPr="00E0276E">
        <w:rPr>
          <w:rFonts w:eastAsia="Calibri"/>
        </w:rPr>
        <w:t>Nowadays</w:t>
      </w:r>
      <w:r w:rsidR="00456568">
        <w:rPr>
          <w:rFonts w:eastAsia="Calibri"/>
        </w:rPr>
        <w:t>,</w:t>
      </w:r>
      <w:r w:rsidRPr="00E0276E">
        <w:rPr>
          <w:rFonts w:eastAsia="Calibri"/>
        </w:rPr>
        <w:t xml:space="preserve"> ICT and data/information governance </w:t>
      </w:r>
      <w:r w:rsidR="00456568" w:rsidRPr="00E0276E">
        <w:rPr>
          <w:rFonts w:eastAsia="Calibri"/>
        </w:rPr>
        <w:t>have become</w:t>
      </w:r>
      <w:r w:rsidRPr="00E0276E">
        <w:rPr>
          <w:rFonts w:eastAsia="Calibri"/>
        </w:rPr>
        <w:t xml:space="preserve"> critical aspects of the management of any corporation/organization. If they intend to be competitive and appealing, today’s businesses cannot be conducted the way they were two decades ago with respect to IT management and data management. </w:t>
      </w:r>
      <w:r w:rsidRPr="00E0276E">
        <w:rPr>
          <w:rFonts w:eastAsia="Calibri"/>
          <w:lang w:val="en-US"/>
        </w:rPr>
        <w:t>IT governance is an element of corporate governance, aimed at improving the overall management of IT, deriving improved value from investment in information and technology, enabling the management of IT risks effectively, and ensuring that the activities associated with information and technology are aligned with the overall business objectives. Data governance is a holistic approach to managing corporate information by implementing processes, roles, controls and metrics that treat information as a valuable business asset, aimed at making information assets available to those who need it, while streamlining management, reducing storage costs and ensuring compliance.</w:t>
      </w:r>
    </w:p>
    <w:p w14:paraId="43413E1B" w14:textId="63C890D6" w:rsidR="00BF35F9" w:rsidRPr="00E0276E" w:rsidRDefault="00BF35F9" w:rsidP="00F13D98">
      <w:pPr>
        <w:jc w:val="both"/>
        <w:rPr>
          <w:rFonts w:eastAsia="Calibri"/>
        </w:rPr>
      </w:pPr>
      <w:r w:rsidRPr="00E0276E">
        <w:rPr>
          <w:rFonts w:eastAsia="Calibri"/>
        </w:rPr>
        <w:t>Th</w:t>
      </w:r>
      <w:r w:rsidR="007644F4">
        <w:rPr>
          <w:rFonts w:eastAsia="Calibri"/>
        </w:rPr>
        <w:t>ese principles should</w:t>
      </w:r>
      <w:r w:rsidRPr="00E0276E">
        <w:rPr>
          <w:rFonts w:eastAsia="Calibri"/>
        </w:rPr>
        <w:t xml:space="preserve"> also appl</w:t>
      </w:r>
      <w:r w:rsidR="007644F4">
        <w:rPr>
          <w:rFonts w:eastAsia="Calibri"/>
        </w:rPr>
        <w:t>y</w:t>
      </w:r>
      <w:r w:rsidRPr="00E0276E">
        <w:rPr>
          <w:rFonts w:eastAsia="Calibri"/>
        </w:rPr>
        <w:t xml:space="preserve"> to the ITU that so far has been successful despite </w:t>
      </w:r>
      <w:r w:rsidR="00456568">
        <w:rPr>
          <w:rFonts w:eastAsia="Calibri"/>
        </w:rPr>
        <w:t xml:space="preserve">the </w:t>
      </w:r>
      <w:r w:rsidRPr="00E0276E">
        <w:rPr>
          <w:rFonts w:eastAsia="Calibri"/>
        </w:rPr>
        <w:t xml:space="preserve">principles and organisational structures of governance of IT and of data that could be qualified as hazy. Though the criticality of the management of IT and data for the Union seems to be acknowledged, the approaches employed by the Union regarding inter alia the organization and harmonization in these fields </w:t>
      </w:r>
      <w:r w:rsidR="007644F4">
        <w:rPr>
          <w:rFonts w:eastAsia="Calibri"/>
        </w:rPr>
        <w:t>seem</w:t>
      </w:r>
      <w:r w:rsidRPr="00E0276E">
        <w:rPr>
          <w:rFonts w:eastAsia="Calibri"/>
        </w:rPr>
        <w:t xml:space="preserve"> not up to date and progress seems very slow. Amongst other things, organization and harmonization are unsatisfactory from the perspective of the strategic guidance and oversight functions of the governing bodies. Questions relating to IT and data governance were of late considered </w:t>
      </w:r>
      <w:r w:rsidRPr="00E0276E">
        <w:rPr>
          <w:rFonts w:eastAsia="Calibri"/>
          <w:i/>
        </w:rPr>
        <w:t>piecemeal</w:t>
      </w:r>
      <w:r w:rsidRPr="00E0276E">
        <w:rPr>
          <w:rFonts w:eastAsia="Calibri"/>
        </w:rPr>
        <w:t xml:space="preserve"> at ITU conferences, assemblies and </w:t>
      </w:r>
      <w:r w:rsidR="00395773">
        <w:rPr>
          <w:rFonts w:eastAsia="Calibri"/>
        </w:rPr>
        <w:t xml:space="preserve">the </w:t>
      </w:r>
      <w:r w:rsidRPr="00E0276E">
        <w:rPr>
          <w:rFonts w:eastAsia="Calibri"/>
        </w:rPr>
        <w:t xml:space="preserve">Council. Despite OneITU, these questions are spread over the different ITU Sectors and addressed in an unstructured way at conferences, assemblies, and advisory groups of the sectors. Furthermore, at </w:t>
      </w:r>
      <w:r w:rsidR="00395773">
        <w:rPr>
          <w:rFonts w:eastAsia="Calibri"/>
        </w:rPr>
        <w:t xml:space="preserve">the </w:t>
      </w:r>
      <w:r w:rsidRPr="00E0276E">
        <w:rPr>
          <w:rFonts w:eastAsia="Calibri"/>
        </w:rPr>
        <w:t>Council</w:t>
      </w:r>
      <w:r w:rsidR="00395773">
        <w:rPr>
          <w:rFonts w:eastAsia="Calibri"/>
        </w:rPr>
        <w:t>,</w:t>
      </w:r>
      <w:r w:rsidRPr="00E0276E">
        <w:rPr>
          <w:rFonts w:eastAsia="Calibri"/>
        </w:rPr>
        <w:t xml:space="preserve"> the information associated with </w:t>
      </w:r>
      <w:r w:rsidRPr="00E0276E">
        <w:rPr>
          <w:lang w:val="en-US"/>
        </w:rPr>
        <w:t>ICT and data/information governance is patchy.</w:t>
      </w:r>
      <w:r w:rsidRPr="00E0276E">
        <w:rPr>
          <w:rFonts w:eastAsia="Calibri"/>
        </w:rPr>
        <w:t xml:space="preserve"> </w:t>
      </w:r>
    </w:p>
    <w:p w14:paraId="2A7AD12E" w14:textId="0F151A72" w:rsidR="00BF35F9" w:rsidRPr="00E0276E" w:rsidRDefault="00BF35F9" w:rsidP="00F13D98">
      <w:pPr>
        <w:jc w:val="both"/>
        <w:rPr>
          <w:rFonts w:eastAsia="Calibri"/>
        </w:rPr>
      </w:pPr>
      <w:r w:rsidRPr="00E0276E">
        <w:rPr>
          <w:rFonts w:eastAsia="Calibri"/>
        </w:rPr>
        <w:t xml:space="preserve">Plenipotentiary conferences (PP) and </w:t>
      </w:r>
      <w:r w:rsidR="00756381">
        <w:rPr>
          <w:rFonts w:eastAsia="Calibri"/>
        </w:rPr>
        <w:t xml:space="preserve">the </w:t>
      </w:r>
      <w:r w:rsidRPr="00E0276E">
        <w:rPr>
          <w:rFonts w:eastAsia="Calibri"/>
        </w:rPr>
        <w:t xml:space="preserve">Council are the governing bodies of ITU with an essential role in giving directions to the Union and overseeing the activities of the organisation. It flows from the critical importance of IT and data/information for the activities of the Union that these bodies must be informed, consulted and take decisions, as appropriate, on strategic crosscutting matters relating to IT and data (e.g. information security, data policy, pluriannual investments). Consequently, a clarification of the roles of the various actors, including PPs and Council, is needed with respect to IT governance and data governance in the ITU, especially when they relate to vital aspects of the organization, namely funding, information security, and risk management. </w:t>
      </w:r>
    </w:p>
    <w:p w14:paraId="53B9035A" w14:textId="3925C7D3" w:rsidR="00BF35F9" w:rsidRDefault="00BF35F9" w:rsidP="00F13D98">
      <w:pPr>
        <w:jc w:val="both"/>
        <w:rPr>
          <w:rFonts w:eastAsia="Calibri"/>
        </w:rPr>
      </w:pPr>
      <w:r>
        <w:rPr>
          <w:rFonts w:eastAsia="Calibri"/>
        </w:rPr>
        <w:t>There are many e</w:t>
      </w:r>
      <w:r w:rsidRPr="00E0276E">
        <w:rPr>
          <w:rFonts w:eastAsia="Calibri"/>
        </w:rPr>
        <w:t>xample</w:t>
      </w:r>
      <w:r>
        <w:rPr>
          <w:rFonts w:eastAsia="Calibri"/>
        </w:rPr>
        <w:t>s</w:t>
      </w:r>
      <w:r w:rsidRPr="00E0276E">
        <w:rPr>
          <w:rFonts w:eastAsia="Calibri"/>
        </w:rPr>
        <w:t xml:space="preserve"> </w:t>
      </w:r>
      <w:r>
        <w:rPr>
          <w:rFonts w:eastAsia="Calibri"/>
        </w:rPr>
        <w:t>for</w:t>
      </w:r>
      <w:r w:rsidRPr="00E0276E">
        <w:rPr>
          <w:rFonts w:eastAsia="Calibri"/>
        </w:rPr>
        <w:t xml:space="preserve"> the lack of involvement of the governing bodies on key aspects of the organization’s ICT and data/information governance</w:t>
      </w:r>
      <w:r>
        <w:rPr>
          <w:rFonts w:eastAsia="Calibri"/>
        </w:rPr>
        <w:t xml:space="preserve"> and for the incoherence of the governance in these fields. At this session, Council is informed (implicitly)</w:t>
      </w:r>
      <w:r w:rsidRPr="00E0276E">
        <w:rPr>
          <w:rFonts w:eastAsia="Calibri"/>
        </w:rPr>
        <w:t xml:space="preserve"> </w:t>
      </w:r>
      <w:r>
        <w:rPr>
          <w:rFonts w:eastAsia="Calibri"/>
        </w:rPr>
        <w:t xml:space="preserve">that </w:t>
      </w:r>
      <w:r>
        <w:rPr>
          <w:rFonts w:asciiTheme="minorHAnsi" w:eastAsiaTheme="minorHAnsi" w:hAnsiTheme="minorHAnsi" w:cstheme="minorHAnsi"/>
          <w:color w:val="000000" w:themeColor="text1"/>
          <w:szCs w:val="24"/>
          <w:lang w:val="en-US"/>
        </w:rPr>
        <w:t>transformational IT system and service upgrades and improvements, including data management improvements and AI adoption initiatives</w:t>
      </w:r>
      <w:r w:rsidR="007644F4">
        <w:rPr>
          <w:rFonts w:asciiTheme="minorHAnsi" w:eastAsiaTheme="minorHAnsi" w:hAnsiTheme="minorHAnsi" w:cstheme="minorHAnsi"/>
          <w:color w:val="000000" w:themeColor="text1"/>
          <w:szCs w:val="24"/>
          <w:lang w:val="en-US"/>
        </w:rPr>
        <w:t>,</w:t>
      </w:r>
      <w:r>
        <w:rPr>
          <w:rFonts w:asciiTheme="minorHAnsi" w:eastAsiaTheme="minorHAnsi" w:hAnsiTheme="minorHAnsi" w:cstheme="minorHAnsi"/>
          <w:color w:val="000000" w:themeColor="text1"/>
          <w:szCs w:val="24"/>
          <w:lang w:val="en-US"/>
        </w:rPr>
        <w:t xml:space="preserve"> </w:t>
      </w:r>
      <w:r w:rsidR="007644F4">
        <w:rPr>
          <w:rFonts w:asciiTheme="minorHAnsi" w:eastAsiaTheme="minorHAnsi" w:hAnsiTheme="minorHAnsi" w:cstheme="minorHAnsi"/>
          <w:color w:val="000000" w:themeColor="text1"/>
          <w:szCs w:val="24"/>
          <w:lang w:val="en-US"/>
        </w:rPr>
        <w:t>are</w:t>
      </w:r>
      <w:r>
        <w:rPr>
          <w:rFonts w:asciiTheme="minorHAnsi" w:eastAsiaTheme="minorHAnsi" w:hAnsiTheme="minorHAnsi" w:cstheme="minorHAnsi"/>
          <w:color w:val="000000" w:themeColor="text1"/>
          <w:szCs w:val="24"/>
          <w:lang w:val="en-US"/>
        </w:rPr>
        <w:t xml:space="preserve"> not funded</w:t>
      </w:r>
      <w:r>
        <w:rPr>
          <w:rStyle w:val="FootnoteReference"/>
          <w:rFonts w:eastAsiaTheme="minorHAnsi" w:cstheme="minorHAnsi"/>
          <w:color w:val="000000" w:themeColor="text1"/>
          <w:szCs w:val="24"/>
          <w:lang w:val="en-US"/>
        </w:rPr>
        <w:footnoteReference w:id="2"/>
      </w:r>
      <w:r>
        <w:rPr>
          <w:rFonts w:asciiTheme="minorHAnsi" w:eastAsiaTheme="minorHAnsi" w:hAnsiTheme="minorHAnsi" w:cstheme="minorHAnsi"/>
          <w:color w:val="000000" w:themeColor="text1"/>
          <w:szCs w:val="24"/>
          <w:lang w:val="en-US"/>
        </w:rPr>
        <w:t xml:space="preserve">. </w:t>
      </w:r>
      <w:r w:rsidR="00A23D92">
        <w:rPr>
          <w:rFonts w:asciiTheme="minorHAnsi" w:eastAsiaTheme="minorHAnsi" w:hAnsiTheme="minorHAnsi" w:cstheme="minorHAnsi"/>
          <w:color w:val="000000" w:themeColor="text1"/>
          <w:szCs w:val="24"/>
          <w:lang w:val="en-US"/>
        </w:rPr>
        <w:t>In another document</w:t>
      </w:r>
      <w:r w:rsidR="00297B73">
        <w:rPr>
          <w:rFonts w:asciiTheme="minorHAnsi" w:eastAsiaTheme="minorHAnsi" w:hAnsiTheme="minorHAnsi" w:cstheme="minorHAnsi"/>
          <w:color w:val="000000" w:themeColor="text1"/>
          <w:szCs w:val="24"/>
          <w:lang w:val="en-US"/>
        </w:rPr>
        <w:t>,</w:t>
      </w:r>
      <w:r w:rsidR="00A23D92">
        <w:rPr>
          <w:rFonts w:asciiTheme="minorHAnsi" w:eastAsiaTheme="minorHAnsi" w:hAnsiTheme="minorHAnsi" w:cstheme="minorHAnsi"/>
          <w:color w:val="000000" w:themeColor="text1"/>
          <w:szCs w:val="24"/>
          <w:lang w:val="en-US"/>
        </w:rPr>
        <w:t xml:space="preserve"> </w:t>
      </w:r>
      <w:r w:rsidR="00297B73">
        <w:rPr>
          <w:rFonts w:asciiTheme="minorHAnsi" w:eastAsiaTheme="minorHAnsi" w:hAnsiTheme="minorHAnsi" w:cstheme="minorHAnsi"/>
          <w:color w:val="000000" w:themeColor="text1"/>
          <w:szCs w:val="24"/>
          <w:lang w:val="en-US"/>
        </w:rPr>
        <w:t xml:space="preserve">the </w:t>
      </w:r>
      <w:r w:rsidR="00E75BEA">
        <w:rPr>
          <w:rFonts w:asciiTheme="minorHAnsi" w:eastAsiaTheme="minorHAnsi" w:hAnsiTheme="minorHAnsi" w:cstheme="minorHAnsi"/>
          <w:color w:val="000000" w:themeColor="text1"/>
          <w:szCs w:val="24"/>
          <w:lang w:val="en-US"/>
        </w:rPr>
        <w:t>Council</w:t>
      </w:r>
      <w:r w:rsidR="00A23D92">
        <w:rPr>
          <w:rFonts w:asciiTheme="minorHAnsi" w:eastAsiaTheme="minorHAnsi" w:hAnsiTheme="minorHAnsi" w:cstheme="minorHAnsi"/>
          <w:color w:val="000000" w:themeColor="text1"/>
          <w:szCs w:val="24"/>
          <w:lang w:val="en-US"/>
        </w:rPr>
        <w:t xml:space="preserve"> is informed that </w:t>
      </w:r>
      <w:r w:rsidR="007644F4">
        <w:rPr>
          <w:rFonts w:asciiTheme="minorHAnsi" w:eastAsiaTheme="minorHAnsi" w:hAnsiTheme="minorHAnsi" w:cstheme="minorHAnsi"/>
          <w:color w:val="000000" w:themeColor="text1"/>
          <w:szCs w:val="24"/>
          <w:lang w:val="en-US"/>
        </w:rPr>
        <w:t xml:space="preserve">a balance of </w:t>
      </w:r>
      <w:r w:rsidR="00A23D92" w:rsidRPr="00C04FCB">
        <w:t xml:space="preserve">CHF </w:t>
      </w:r>
      <w:r w:rsidR="00A23D92" w:rsidRPr="00B12F82">
        <w:rPr>
          <w:rFonts w:eastAsia="Calibri"/>
          <w:lang w:val="en-US"/>
        </w:rPr>
        <w:t xml:space="preserve">250K </w:t>
      </w:r>
      <w:r w:rsidR="00A23D92">
        <w:rPr>
          <w:rFonts w:eastAsia="Calibri"/>
          <w:lang w:val="en-US"/>
        </w:rPr>
        <w:t xml:space="preserve">necessary for the implementation of the </w:t>
      </w:r>
      <w:r w:rsidR="00A23D92" w:rsidRPr="00B12F82">
        <w:rPr>
          <w:rFonts w:eastAsia="Calibri"/>
          <w:lang w:val="en-US"/>
        </w:rPr>
        <w:t xml:space="preserve">New Website Project </w:t>
      </w:r>
      <w:r w:rsidR="00A23D92">
        <w:rPr>
          <w:rFonts w:eastAsia="Calibri"/>
          <w:lang w:val="en-US"/>
        </w:rPr>
        <w:t xml:space="preserve">are still not </w:t>
      </w:r>
      <w:r w:rsidR="00A23D92" w:rsidRPr="00B12F82">
        <w:rPr>
          <w:rFonts w:eastAsia="Calibri"/>
          <w:lang w:val="en-US"/>
        </w:rPr>
        <w:t>identif</w:t>
      </w:r>
      <w:r w:rsidR="00A23D92">
        <w:rPr>
          <w:rFonts w:eastAsia="Calibri"/>
          <w:lang w:val="en-US"/>
        </w:rPr>
        <w:t>ied</w:t>
      </w:r>
      <w:r w:rsidR="00A23D92">
        <w:rPr>
          <w:rStyle w:val="FootnoteReference"/>
          <w:rFonts w:eastAsia="Calibri"/>
          <w:lang w:val="en-US"/>
        </w:rPr>
        <w:footnoteReference w:id="3"/>
      </w:r>
      <w:r w:rsidR="00A23D92" w:rsidRPr="00B12F82">
        <w:rPr>
          <w:rFonts w:eastAsia="Calibri"/>
          <w:lang w:val="en-US"/>
        </w:rPr>
        <w:t>.</w:t>
      </w:r>
      <w:r w:rsidR="00505F81">
        <w:rPr>
          <w:rFonts w:eastAsia="Calibri"/>
          <w:lang w:val="en-US"/>
        </w:rPr>
        <w:t xml:space="preserve"> </w:t>
      </w:r>
      <w:r w:rsidR="00E76C69">
        <w:rPr>
          <w:rFonts w:eastAsia="Calibri"/>
          <w:lang w:val="en-US"/>
        </w:rPr>
        <w:t xml:space="preserve">It is worth noting that funding of both these elementary projects for ITU could be put in place if </w:t>
      </w:r>
      <w:r w:rsidR="00297B73">
        <w:rPr>
          <w:rFonts w:eastAsia="Calibri"/>
          <w:lang w:val="en-US"/>
        </w:rPr>
        <w:t xml:space="preserve">the </w:t>
      </w:r>
      <w:r w:rsidR="00E76C69">
        <w:rPr>
          <w:rFonts w:eastAsia="Calibri"/>
          <w:lang w:val="en-US"/>
        </w:rPr>
        <w:t xml:space="preserve">Council approves </w:t>
      </w:r>
      <w:r w:rsidR="00E76C69">
        <w:rPr>
          <w:rFonts w:eastAsia="Calibri"/>
          <w:lang w:val="en-US"/>
        </w:rPr>
        <w:lastRenderedPageBreak/>
        <w:t xml:space="preserve">the </w:t>
      </w:r>
      <w:r w:rsidR="00E76C69" w:rsidRPr="1E1389B9">
        <w:rPr>
          <w:rFonts w:asciiTheme="minorHAnsi" w:hAnsiTheme="minorHAnsi" w:cstheme="minorBidi"/>
        </w:rPr>
        <w:t>use of savings from the 202</w:t>
      </w:r>
      <w:r w:rsidR="00E76C69">
        <w:rPr>
          <w:rFonts w:asciiTheme="minorHAnsi" w:hAnsiTheme="minorHAnsi" w:cstheme="minorBidi"/>
        </w:rPr>
        <w:t>4</w:t>
      </w:r>
      <w:r w:rsidR="00E76C69" w:rsidRPr="1E1389B9">
        <w:rPr>
          <w:rFonts w:asciiTheme="minorHAnsi" w:hAnsiTheme="minorHAnsi" w:cstheme="minorBidi"/>
        </w:rPr>
        <w:t xml:space="preserve"> budget implementation</w:t>
      </w:r>
      <w:r w:rsidR="00E76C69">
        <w:rPr>
          <w:rStyle w:val="FootnoteReference"/>
          <w:rFonts w:cstheme="minorBidi"/>
        </w:rPr>
        <w:footnoteReference w:id="4"/>
      </w:r>
      <w:r w:rsidR="00E76C69">
        <w:rPr>
          <w:rFonts w:asciiTheme="minorHAnsi" w:hAnsiTheme="minorHAnsi" w:cstheme="minorBidi"/>
        </w:rPr>
        <w:t xml:space="preserve"> – however in our eyes the ad hoc funding of such essential projects is lacking </w:t>
      </w:r>
      <w:r w:rsidR="0020150F">
        <w:rPr>
          <w:rFonts w:asciiTheme="minorHAnsi" w:hAnsiTheme="minorHAnsi" w:cstheme="minorBidi"/>
        </w:rPr>
        <w:t>rigor</w:t>
      </w:r>
      <w:r w:rsidR="00E76C69">
        <w:rPr>
          <w:rFonts w:asciiTheme="minorHAnsi" w:hAnsiTheme="minorHAnsi" w:cstheme="minorBidi"/>
        </w:rPr>
        <w:t>.</w:t>
      </w:r>
      <w:r w:rsidR="00E76C69">
        <w:rPr>
          <w:rFonts w:eastAsia="Calibri"/>
          <w:lang w:val="en-US"/>
        </w:rPr>
        <w:t xml:space="preserve"> </w:t>
      </w:r>
      <w:r w:rsidR="0001330B">
        <w:rPr>
          <w:rFonts w:eastAsia="Calibri"/>
          <w:lang w:val="en-US"/>
        </w:rPr>
        <w:t>Apparently,</w:t>
      </w:r>
      <w:r w:rsidR="00E75BEA">
        <w:rPr>
          <w:rFonts w:eastAsia="Calibri"/>
          <w:lang w:val="en-US"/>
        </w:rPr>
        <w:t xml:space="preserve"> </w:t>
      </w:r>
      <w:r w:rsidR="00505F81">
        <w:rPr>
          <w:rFonts w:eastAsia="Calibri"/>
          <w:lang w:val="en-US"/>
        </w:rPr>
        <w:t>I</w:t>
      </w:r>
      <w:r w:rsidR="00E75BEA">
        <w:rPr>
          <w:rFonts w:eastAsia="Calibri"/>
          <w:lang w:val="en-US"/>
        </w:rPr>
        <w:t>T governance i</w:t>
      </w:r>
      <w:r w:rsidR="00505F81">
        <w:rPr>
          <w:rFonts w:eastAsia="Calibri"/>
          <w:lang w:val="en-US"/>
        </w:rPr>
        <w:t>n ITU is</w:t>
      </w:r>
      <w:r w:rsidR="00E75BEA">
        <w:rPr>
          <w:rFonts w:eastAsia="Calibri"/>
          <w:lang w:val="en-US"/>
        </w:rPr>
        <w:t xml:space="preserve"> </w:t>
      </w:r>
      <w:r w:rsidR="0001330B">
        <w:rPr>
          <w:rFonts w:eastAsia="Calibri"/>
          <w:lang w:val="en-US"/>
        </w:rPr>
        <w:t xml:space="preserve">now </w:t>
      </w:r>
      <w:r w:rsidR="00E75BEA">
        <w:rPr>
          <w:rFonts w:eastAsia="Calibri"/>
          <w:lang w:val="en-US"/>
        </w:rPr>
        <w:t>overseen by the</w:t>
      </w:r>
      <w:r w:rsidR="00505F81">
        <w:rPr>
          <w:rFonts w:eastAsia="Calibri"/>
          <w:lang w:val="en-US"/>
        </w:rPr>
        <w:t xml:space="preserve"> </w:t>
      </w:r>
      <w:r w:rsidR="00505F81" w:rsidRPr="00505F81">
        <w:rPr>
          <w:rFonts w:eastAsia="Calibri"/>
          <w:lang w:val="en-US"/>
        </w:rPr>
        <w:t>Information and Communication Technology Governance Committee (ICTGC)</w:t>
      </w:r>
      <w:r w:rsidR="00E75BEA">
        <w:rPr>
          <w:rFonts w:eastAsia="Calibri"/>
          <w:lang w:val="en-US"/>
        </w:rPr>
        <w:t xml:space="preserve"> based on </w:t>
      </w:r>
      <w:r w:rsidR="00E75BEA" w:rsidRPr="00C64788">
        <w:rPr>
          <w:rFonts w:asciiTheme="minorHAnsi" w:hAnsiTheme="minorHAnsi" w:cstheme="minorHAnsi"/>
          <w:szCs w:val="24"/>
        </w:rPr>
        <w:t>Service Order 24/10 on 20 September 2024</w:t>
      </w:r>
      <w:r w:rsidR="00E75BEA">
        <w:rPr>
          <w:rStyle w:val="FootnoteReference"/>
          <w:rFonts w:eastAsia="Calibri"/>
          <w:lang w:val="en-US"/>
        </w:rPr>
        <w:footnoteReference w:id="5"/>
      </w:r>
      <w:r w:rsidR="00E75BEA">
        <w:rPr>
          <w:rFonts w:eastAsia="Calibri"/>
          <w:lang w:val="en-US"/>
        </w:rPr>
        <w:t>.</w:t>
      </w:r>
      <w:r w:rsidR="0001330B">
        <w:rPr>
          <w:rFonts w:eastAsia="Calibri"/>
          <w:lang w:val="en-US"/>
        </w:rPr>
        <w:t xml:space="preserve"> There </w:t>
      </w:r>
      <w:r w:rsidR="00297B73">
        <w:rPr>
          <w:rFonts w:eastAsia="Calibri"/>
          <w:lang w:val="en-US"/>
        </w:rPr>
        <w:t>is still</w:t>
      </w:r>
      <w:r w:rsidR="0001330B">
        <w:rPr>
          <w:rFonts w:eastAsia="Calibri"/>
          <w:lang w:val="en-US"/>
        </w:rPr>
        <w:t xml:space="preserve"> an</w:t>
      </w:r>
      <w:r w:rsidRPr="00E0276E">
        <w:rPr>
          <w:rFonts w:eastAsia="Calibri"/>
        </w:rPr>
        <w:t xml:space="preserve"> absence of information </w:t>
      </w:r>
      <w:r w:rsidR="00E76C69">
        <w:rPr>
          <w:rFonts w:eastAsia="Calibri"/>
        </w:rPr>
        <w:t xml:space="preserve">of </w:t>
      </w:r>
      <w:r w:rsidR="00297B73">
        <w:rPr>
          <w:rFonts w:eastAsia="Calibri"/>
        </w:rPr>
        <w:t xml:space="preserve">the </w:t>
      </w:r>
      <w:r w:rsidR="00E76C69">
        <w:rPr>
          <w:rFonts w:eastAsia="Calibri"/>
        </w:rPr>
        <w:t xml:space="preserve">Council </w:t>
      </w:r>
      <w:r w:rsidRPr="00E0276E">
        <w:rPr>
          <w:rFonts w:eastAsia="Calibri"/>
        </w:rPr>
        <w:t xml:space="preserve">about the revision </w:t>
      </w:r>
      <w:r w:rsidR="00E76C69">
        <w:rPr>
          <w:rFonts w:eastAsia="Calibri"/>
        </w:rPr>
        <w:t xml:space="preserve">and the details </w:t>
      </w:r>
      <w:r w:rsidRPr="00E0276E">
        <w:rPr>
          <w:rFonts w:eastAsia="Calibri"/>
        </w:rPr>
        <w:t xml:space="preserve">of the </w:t>
      </w:r>
      <w:r w:rsidRPr="00E0276E">
        <w:rPr>
          <w:rFonts w:eastAsia="Calibri"/>
          <w:szCs w:val="24"/>
          <w:lang w:val="en-US"/>
        </w:rPr>
        <w:t>service order on ICT and data governance whose elaboration has been recommended by IMAC</w:t>
      </w:r>
      <w:r w:rsidRPr="00E0276E">
        <w:rPr>
          <w:rStyle w:val="FootnoteReference"/>
          <w:rFonts w:eastAsia="Calibri" w:cs="Calibri"/>
          <w:szCs w:val="24"/>
          <w:lang w:val="en-US"/>
        </w:rPr>
        <w:footnoteReference w:id="6"/>
      </w:r>
      <w:r w:rsidRPr="00E0276E">
        <w:rPr>
          <w:rFonts w:eastAsia="Calibri"/>
          <w:szCs w:val="24"/>
          <w:lang w:val="en-US"/>
        </w:rPr>
        <w:t xml:space="preserve">. </w:t>
      </w:r>
      <w:r w:rsidRPr="00E0276E">
        <w:rPr>
          <w:szCs w:val="24"/>
        </w:rPr>
        <w:t xml:space="preserve">Council also instructed the Secretary-General to report regularly to CWG-FHR and the ITU </w:t>
      </w:r>
      <w:r w:rsidR="00297B73" w:rsidRPr="00E0276E">
        <w:rPr>
          <w:szCs w:val="24"/>
        </w:rPr>
        <w:t>Council</w:t>
      </w:r>
      <w:r w:rsidRPr="00E0276E">
        <w:rPr>
          <w:szCs w:val="24"/>
        </w:rPr>
        <w:t xml:space="preserve"> on the implementation of the IT strategy</w:t>
      </w:r>
      <w:r w:rsidRPr="00E0276E">
        <w:rPr>
          <w:rStyle w:val="FootnoteReference"/>
          <w:rFonts w:cs="Calibri"/>
          <w:szCs w:val="24"/>
        </w:rPr>
        <w:footnoteReference w:id="7"/>
      </w:r>
      <w:r w:rsidRPr="00E0276E">
        <w:rPr>
          <w:szCs w:val="24"/>
        </w:rPr>
        <w:t>. At the 17</w:t>
      </w:r>
      <w:r w:rsidRPr="00E0276E">
        <w:rPr>
          <w:szCs w:val="24"/>
          <w:vertAlign w:val="superscript"/>
        </w:rPr>
        <w:t>th</w:t>
      </w:r>
      <w:r w:rsidRPr="00E0276E">
        <w:rPr>
          <w:szCs w:val="24"/>
        </w:rPr>
        <w:t xml:space="preserve"> meeting of CWG-FHR in February 2025, it appeared that</w:t>
      </w:r>
      <w:r w:rsidR="0001330B">
        <w:rPr>
          <w:szCs w:val="24"/>
        </w:rPr>
        <w:t xml:space="preserve"> </w:t>
      </w:r>
      <w:r w:rsidRPr="00E0276E">
        <w:rPr>
          <w:szCs w:val="24"/>
        </w:rPr>
        <w:t>the IT strategy of ITU is still in the process of being elaborated</w:t>
      </w:r>
      <w:r w:rsidRPr="00E0276E">
        <w:rPr>
          <w:rStyle w:val="FootnoteReference"/>
          <w:rFonts w:cs="Calibri"/>
          <w:szCs w:val="24"/>
        </w:rPr>
        <w:footnoteReference w:id="8"/>
      </w:r>
      <w:r w:rsidR="007644F4">
        <w:rPr>
          <w:szCs w:val="24"/>
        </w:rPr>
        <w:t xml:space="preserve"> – an elaboration that takes place without any involvement of </w:t>
      </w:r>
      <w:r w:rsidR="00297B73">
        <w:rPr>
          <w:szCs w:val="24"/>
        </w:rPr>
        <w:t xml:space="preserve">the </w:t>
      </w:r>
      <w:r w:rsidR="007644F4">
        <w:rPr>
          <w:szCs w:val="24"/>
        </w:rPr>
        <w:t>Council and/or CWG-FHR</w:t>
      </w:r>
      <w:r w:rsidRPr="00E0276E">
        <w:rPr>
          <w:szCs w:val="24"/>
        </w:rPr>
        <w:t xml:space="preserve">. </w:t>
      </w:r>
      <w:r w:rsidRPr="00E0276E">
        <w:rPr>
          <w:rFonts w:eastAsia="Calibri"/>
        </w:rPr>
        <w:t xml:space="preserve">A point in case is that Councillors need to consult Document </w:t>
      </w:r>
      <w:hyperlink r:id="rId8" w:history="1">
        <w:r w:rsidRPr="00297B73">
          <w:rPr>
            <w:rStyle w:val="Hyperlink"/>
            <w:rFonts w:eastAsia="Calibri"/>
          </w:rPr>
          <w:t>C25/55</w:t>
        </w:r>
      </w:hyperlink>
      <w:r w:rsidRPr="00E0276E">
        <w:rPr>
          <w:rFonts w:eastAsia="Calibri"/>
        </w:rPr>
        <w:t xml:space="preserve"> “Update on ITU Transformation Process and Roadmap” in order to pick up titbits on the facts that the first guidelines for the use of Generative AI at ITU have been drafted (§</w:t>
      </w:r>
      <w:r w:rsidR="00297B73">
        <w:rPr>
          <w:rFonts w:eastAsia="Calibri"/>
        </w:rPr>
        <w:t> </w:t>
      </w:r>
      <w:r w:rsidRPr="00E0276E">
        <w:rPr>
          <w:rFonts w:eastAsia="Calibri"/>
        </w:rPr>
        <w:t>3.1.2), that an ITU Information Governance Strategy has been developed (§</w:t>
      </w:r>
      <w:r w:rsidR="00297B73">
        <w:rPr>
          <w:rFonts w:eastAsia="Calibri"/>
        </w:rPr>
        <w:t> </w:t>
      </w:r>
      <w:r w:rsidRPr="00E0276E">
        <w:rPr>
          <w:rFonts w:eastAsia="Calibri"/>
        </w:rPr>
        <w:t>3.2.3), that there are plans to establish an ICT Governance Committee Working Group to address Information Governance and Management issues (§</w:t>
      </w:r>
      <w:r w:rsidR="00297B73">
        <w:rPr>
          <w:rFonts w:eastAsia="Calibri"/>
        </w:rPr>
        <w:t> </w:t>
      </w:r>
      <w:r w:rsidRPr="00E0276E">
        <w:rPr>
          <w:rFonts w:eastAsia="Calibri"/>
        </w:rPr>
        <w:t>3.2.3) and to get an update on progress of the new website project (§</w:t>
      </w:r>
      <w:r w:rsidR="00297B73">
        <w:rPr>
          <w:rFonts w:eastAsia="Calibri"/>
        </w:rPr>
        <w:t> </w:t>
      </w:r>
      <w:r w:rsidRPr="00E0276E">
        <w:rPr>
          <w:rFonts w:eastAsia="Calibri"/>
        </w:rPr>
        <w:t>3.2.5).</w:t>
      </w:r>
      <w:r w:rsidR="001E2684">
        <w:rPr>
          <w:rFonts w:eastAsia="Calibri"/>
        </w:rPr>
        <w:t xml:space="preserve"> The latter topic is also addressed in the report of </w:t>
      </w:r>
      <w:r w:rsidR="00297B73">
        <w:rPr>
          <w:rFonts w:eastAsia="Calibri"/>
        </w:rPr>
        <w:t xml:space="preserve">the </w:t>
      </w:r>
      <w:r w:rsidR="001E2684" w:rsidRPr="001E2684">
        <w:rPr>
          <w:rFonts w:eastAsia="Calibri"/>
        </w:rPr>
        <w:t>Council Working Group on the use of the six official languages of the Union</w:t>
      </w:r>
      <w:r w:rsidR="001E2684">
        <w:rPr>
          <w:rFonts w:eastAsia="Calibri"/>
        </w:rPr>
        <w:t xml:space="preserve"> (CWG</w:t>
      </w:r>
      <w:r w:rsidR="00297B73">
        <w:rPr>
          <w:rFonts w:eastAsia="Calibri"/>
        </w:rPr>
        <w:noBreakHyphen/>
      </w:r>
      <w:r w:rsidR="001E2684">
        <w:rPr>
          <w:rFonts w:eastAsia="Calibri"/>
        </w:rPr>
        <w:t>LANG)</w:t>
      </w:r>
      <w:r w:rsidR="001E2684">
        <w:rPr>
          <w:rStyle w:val="FootnoteReference"/>
          <w:rFonts w:eastAsia="Calibri" w:cs="Calibri"/>
        </w:rPr>
        <w:footnoteReference w:id="9"/>
      </w:r>
      <w:r w:rsidR="001E2684">
        <w:rPr>
          <w:rFonts w:eastAsia="Calibri"/>
        </w:rPr>
        <w:t>.</w:t>
      </w:r>
      <w:r w:rsidRPr="00E0276E">
        <w:rPr>
          <w:rFonts w:eastAsia="Calibri"/>
        </w:rPr>
        <w:t xml:space="preserve"> It is also unclear to us in how much depth and how regularly IMAC can address IT governance and data/information governance in ITU. </w:t>
      </w:r>
      <w:r w:rsidR="001E2684">
        <w:rPr>
          <w:rFonts w:eastAsia="Calibri"/>
        </w:rPr>
        <w:t>It is worth highlighting that</w:t>
      </w:r>
      <w:r w:rsidR="0001330B">
        <w:rPr>
          <w:rFonts w:eastAsia="Calibri"/>
        </w:rPr>
        <w:t xml:space="preserve"> the </w:t>
      </w:r>
      <w:r w:rsidR="0001330B" w:rsidRPr="0001330B">
        <w:rPr>
          <w:rFonts w:eastAsia="Calibri"/>
        </w:rPr>
        <w:t>Telecommunication Standardization Advisory Group (TSAG)</w:t>
      </w:r>
      <w:r w:rsidR="0001330B">
        <w:rPr>
          <w:rFonts w:eastAsia="Calibri"/>
        </w:rPr>
        <w:t xml:space="preserve"> and the Radiocommunication Advisory Group (RAG) each dealt with </w:t>
      </w:r>
      <w:r w:rsidR="007644F4">
        <w:rPr>
          <w:rFonts w:eastAsia="Calibri"/>
        </w:rPr>
        <w:t xml:space="preserve">a </w:t>
      </w:r>
      <w:r w:rsidR="008E36E5">
        <w:rPr>
          <w:rFonts w:eastAsia="Calibri"/>
        </w:rPr>
        <w:t>wide range</w:t>
      </w:r>
      <w:r w:rsidR="007644F4">
        <w:rPr>
          <w:rFonts w:eastAsia="Calibri"/>
        </w:rPr>
        <w:t xml:space="preserve"> of</w:t>
      </w:r>
      <w:r w:rsidR="0001330B">
        <w:rPr>
          <w:rFonts w:eastAsia="Calibri"/>
        </w:rPr>
        <w:t xml:space="preserve"> questions related to IT </w:t>
      </w:r>
      <w:r w:rsidR="00F612A1">
        <w:rPr>
          <w:rFonts w:eastAsia="Calibri"/>
        </w:rPr>
        <w:t xml:space="preserve">and data/information </w:t>
      </w:r>
      <w:r w:rsidR="0001330B">
        <w:rPr>
          <w:rFonts w:eastAsia="Calibri"/>
        </w:rPr>
        <w:t xml:space="preserve">governance at their meetings. </w:t>
      </w:r>
    </w:p>
    <w:p w14:paraId="12AFC10F" w14:textId="77777777" w:rsidR="00F13D98" w:rsidRDefault="00F13D98" w:rsidP="00F13D98">
      <w:pPr>
        <w:jc w:val="both"/>
        <w:rPr>
          <w:rFonts w:eastAsia="Calibri"/>
        </w:rPr>
      </w:pPr>
    </w:p>
    <w:p w14:paraId="35C6D0A5" w14:textId="77777777" w:rsidR="007A3FCD" w:rsidRPr="00C0458D" w:rsidRDefault="007A3FCD" w:rsidP="007A3FCD">
      <w:pPr>
        <w:jc w:val="center"/>
      </w:pPr>
      <w:r>
        <w:t>______________</w:t>
      </w:r>
    </w:p>
    <w:sectPr w:rsidR="007A3FCD" w:rsidRPr="00C0458D"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D34C" w14:textId="77777777" w:rsidR="00B23F9E" w:rsidRDefault="00B23F9E">
      <w:r>
        <w:separator/>
      </w:r>
    </w:p>
  </w:endnote>
  <w:endnote w:type="continuationSeparator" w:id="0">
    <w:p w14:paraId="6390F50C" w14:textId="77777777" w:rsidR="00B23F9E" w:rsidRDefault="00B2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54E3EFE5"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BD61C4">
            <w:rPr>
              <w:bCs/>
            </w:rPr>
            <w:t>84</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03D7B7A1"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BD61C4">
            <w:rPr>
              <w:bCs/>
            </w:rPr>
            <w:t>84</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6759" w14:textId="77777777" w:rsidR="00B23F9E" w:rsidRDefault="00B23F9E">
      <w:r>
        <w:t>____________________</w:t>
      </w:r>
    </w:p>
  </w:footnote>
  <w:footnote w:type="continuationSeparator" w:id="0">
    <w:p w14:paraId="2283045B" w14:textId="77777777" w:rsidR="00B23F9E" w:rsidRDefault="00B23F9E">
      <w:r>
        <w:continuationSeparator/>
      </w:r>
    </w:p>
  </w:footnote>
  <w:footnote w:id="1">
    <w:p w14:paraId="65BFB5CB" w14:textId="7EB314FA" w:rsidR="0001330B" w:rsidRPr="00E81049" w:rsidRDefault="0001330B" w:rsidP="0001330B">
      <w:pPr>
        <w:pStyle w:val="FootnoteText"/>
        <w:rPr>
          <w:lang w:val="fr-CH"/>
        </w:rPr>
      </w:pPr>
      <w:r>
        <w:rPr>
          <w:rStyle w:val="FootnoteReference"/>
        </w:rPr>
        <w:footnoteRef/>
      </w:r>
      <w:r w:rsidR="00BD61C4">
        <w:rPr>
          <w:lang w:val="fr-CH"/>
        </w:rPr>
        <w:tab/>
      </w:r>
      <w:r w:rsidRPr="0001330B">
        <w:rPr>
          <w:lang w:val="fr-CH"/>
        </w:rPr>
        <w:t xml:space="preserve">Document </w:t>
      </w:r>
      <w:hyperlink r:id="rId1" w:history="1">
        <w:r w:rsidRPr="00BD61C4">
          <w:rPr>
            <w:rStyle w:val="Hyperlink"/>
            <w:lang w:val="fr-CH"/>
          </w:rPr>
          <w:t>C24/54</w:t>
        </w:r>
      </w:hyperlink>
      <w:r w:rsidRPr="0001330B">
        <w:rPr>
          <w:lang w:val="fr-CH"/>
        </w:rPr>
        <w:t>.</w:t>
      </w:r>
    </w:p>
  </w:footnote>
  <w:footnote w:id="2">
    <w:p w14:paraId="0547057F" w14:textId="378E6A0D" w:rsidR="00BF35F9" w:rsidRPr="00BF35F9" w:rsidRDefault="00BF35F9" w:rsidP="00F13D98">
      <w:pPr>
        <w:pStyle w:val="FootnoteText"/>
        <w:rPr>
          <w:lang w:val="fr-CH"/>
        </w:rPr>
      </w:pPr>
      <w:r>
        <w:rPr>
          <w:rStyle w:val="FootnoteReference"/>
        </w:rPr>
        <w:footnoteRef/>
      </w:r>
      <w:r w:rsidR="00F13D98">
        <w:rPr>
          <w:lang w:val="fr-CH"/>
        </w:rPr>
        <w:tab/>
      </w:r>
      <w:r w:rsidRPr="00BF35F9">
        <w:rPr>
          <w:lang w:val="fr-CH"/>
        </w:rPr>
        <w:t xml:space="preserve">Document </w:t>
      </w:r>
      <w:hyperlink r:id="rId2" w:history="1">
        <w:r w:rsidRPr="00F13D98">
          <w:rPr>
            <w:rStyle w:val="Hyperlink"/>
            <w:lang w:val="fr-CH"/>
          </w:rPr>
          <w:t>C25/9</w:t>
        </w:r>
      </w:hyperlink>
      <w:r w:rsidRPr="00BF35F9">
        <w:rPr>
          <w:lang w:val="fr-CH"/>
        </w:rPr>
        <w:t xml:space="preserve">, </w:t>
      </w:r>
      <w:r>
        <w:rPr>
          <w:lang w:val="fr-CH"/>
        </w:rPr>
        <w:t>section 2.3.</w:t>
      </w:r>
    </w:p>
  </w:footnote>
  <w:footnote w:id="3">
    <w:p w14:paraId="0C936855" w14:textId="0C80910C" w:rsidR="00A23D92" w:rsidRPr="00A23D92" w:rsidRDefault="00A23D92">
      <w:pPr>
        <w:pStyle w:val="FootnoteText"/>
        <w:rPr>
          <w:lang w:val="fr-CH"/>
        </w:rPr>
      </w:pPr>
      <w:r>
        <w:rPr>
          <w:rStyle w:val="FootnoteReference"/>
        </w:rPr>
        <w:footnoteRef/>
      </w:r>
      <w:r w:rsidR="00F13D98">
        <w:rPr>
          <w:lang w:val="fr-CH"/>
        </w:rPr>
        <w:tab/>
      </w:r>
      <w:r w:rsidRPr="00A23D92">
        <w:rPr>
          <w:lang w:val="fr-CH"/>
        </w:rPr>
        <w:t>Docu</w:t>
      </w:r>
      <w:r>
        <w:rPr>
          <w:lang w:val="fr-CH"/>
        </w:rPr>
        <w:t xml:space="preserve">ment </w:t>
      </w:r>
      <w:hyperlink r:id="rId3" w:history="1">
        <w:r w:rsidRPr="00F13D98">
          <w:rPr>
            <w:rStyle w:val="Hyperlink"/>
            <w:lang w:val="fr-CH"/>
          </w:rPr>
          <w:t>C25/12</w:t>
        </w:r>
      </w:hyperlink>
      <w:r>
        <w:rPr>
          <w:lang w:val="fr-CH"/>
        </w:rPr>
        <w:t xml:space="preserve">, </w:t>
      </w:r>
      <w:r w:rsidR="00F13D98">
        <w:rPr>
          <w:lang w:val="fr-CH"/>
        </w:rPr>
        <w:t xml:space="preserve">chapter </w:t>
      </w:r>
      <w:r>
        <w:rPr>
          <w:lang w:val="fr-CH"/>
        </w:rPr>
        <w:t>2, letter f).</w:t>
      </w:r>
    </w:p>
  </w:footnote>
  <w:footnote w:id="4">
    <w:p w14:paraId="69C4162E" w14:textId="12AC0E69" w:rsidR="00E76C69" w:rsidRPr="00E76C69" w:rsidRDefault="00E76C69">
      <w:pPr>
        <w:pStyle w:val="FootnoteText"/>
        <w:rPr>
          <w:lang w:val="fr-CH"/>
        </w:rPr>
      </w:pPr>
      <w:r>
        <w:rPr>
          <w:rStyle w:val="FootnoteReference"/>
        </w:rPr>
        <w:footnoteRef/>
      </w:r>
      <w:r w:rsidR="00F13D98">
        <w:rPr>
          <w:lang w:val="fr-CH"/>
        </w:rPr>
        <w:tab/>
      </w:r>
      <w:r w:rsidRPr="00E76C69">
        <w:rPr>
          <w:lang w:val="fr-CH"/>
        </w:rPr>
        <w:t xml:space="preserve">Document </w:t>
      </w:r>
      <w:hyperlink r:id="rId4" w:history="1">
        <w:r w:rsidRPr="00F13D98">
          <w:rPr>
            <w:rStyle w:val="Hyperlink"/>
            <w:lang w:val="fr-CH"/>
          </w:rPr>
          <w:t>C25/43</w:t>
        </w:r>
      </w:hyperlink>
      <w:r>
        <w:rPr>
          <w:lang w:val="fr-CH"/>
        </w:rPr>
        <w:t xml:space="preserve">, </w:t>
      </w:r>
      <w:r w:rsidR="00F13D98">
        <w:rPr>
          <w:lang w:val="fr-CH"/>
        </w:rPr>
        <w:t xml:space="preserve">sections </w:t>
      </w:r>
      <w:r>
        <w:rPr>
          <w:lang w:val="fr-CH"/>
        </w:rPr>
        <w:t>5.2 and 5.6.</w:t>
      </w:r>
    </w:p>
  </w:footnote>
  <w:footnote w:id="5">
    <w:p w14:paraId="3AFB2A54" w14:textId="35A8E4F9" w:rsidR="00E75BEA" w:rsidRPr="00E75BEA" w:rsidRDefault="00E75BEA" w:rsidP="00456568">
      <w:pPr>
        <w:pStyle w:val="FootnoteText"/>
        <w:jc w:val="both"/>
        <w:rPr>
          <w:lang w:val="en-US"/>
        </w:rPr>
      </w:pPr>
      <w:r>
        <w:rPr>
          <w:rStyle w:val="FootnoteReference"/>
        </w:rPr>
        <w:footnoteRef/>
      </w:r>
      <w:r w:rsidR="00F13D98">
        <w:rPr>
          <w:lang w:val="fr-CH"/>
        </w:rPr>
        <w:tab/>
      </w:r>
      <w:r w:rsidRPr="00E76C69">
        <w:rPr>
          <w:lang w:val="fr-CH"/>
        </w:rPr>
        <w:t xml:space="preserve">Document </w:t>
      </w:r>
      <w:hyperlink r:id="rId5" w:history="1">
        <w:r w:rsidRPr="00F13D98">
          <w:rPr>
            <w:rStyle w:val="Hyperlink"/>
            <w:lang w:val="fr-CH"/>
          </w:rPr>
          <w:t>C25/50</w:t>
        </w:r>
      </w:hyperlink>
      <w:r w:rsidRPr="00E76C69">
        <w:rPr>
          <w:lang w:val="fr-CH"/>
        </w:rPr>
        <w:t xml:space="preserve">, para. </w:t>
      </w:r>
      <w:r w:rsidRPr="00E75BEA">
        <w:rPr>
          <w:lang w:val="en-US"/>
        </w:rPr>
        <w:t>15.2. At its 202</w:t>
      </w:r>
      <w:r>
        <w:rPr>
          <w:lang w:val="en-US"/>
        </w:rPr>
        <w:t xml:space="preserve">4 session, Council was merely informed of the restructuring of the </w:t>
      </w:r>
      <w:r w:rsidRPr="00B642C2">
        <w:t>Information and Communication Technology Committee (ICTC)</w:t>
      </w:r>
      <w:r>
        <w:t xml:space="preserve"> (Doc</w:t>
      </w:r>
      <w:r w:rsidR="00F13D98">
        <w:t>.</w:t>
      </w:r>
      <w:r>
        <w:t xml:space="preserve"> </w:t>
      </w:r>
      <w:hyperlink r:id="rId6" w:history="1">
        <w:r w:rsidRPr="00F13D98">
          <w:rPr>
            <w:rStyle w:val="Hyperlink"/>
          </w:rPr>
          <w:t>C24/54</w:t>
        </w:r>
      </w:hyperlink>
      <w:r>
        <w:t>)</w:t>
      </w:r>
      <w:r w:rsidRPr="00B642C2">
        <w:t>.</w:t>
      </w:r>
    </w:p>
  </w:footnote>
  <w:footnote w:id="6">
    <w:p w14:paraId="7BC28057" w14:textId="019DE39B" w:rsidR="00BF35F9" w:rsidRPr="00E75BEA" w:rsidRDefault="00BF35F9" w:rsidP="00456568">
      <w:pPr>
        <w:pStyle w:val="FootnoteText"/>
        <w:jc w:val="both"/>
        <w:rPr>
          <w:lang w:val="en-US"/>
        </w:rPr>
      </w:pPr>
      <w:r>
        <w:rPr>
          <w:rStyle w:val="FootnoteReference"/>
        </w:rPr>
        <w:footnoteRef/>
      </w:r>
      <w:r w:rsidR="00F13D98">
        <w:rPr>
          <w:lang w:val="en-US"/>
        </w:rPr>
        <w:tab/>
      </w:r>
      <w:r w:rsidRPr="00E75BEA">
        <w:rPr>
          <w:lang w:val="en-US"/>
        </w:rPr>
        <w:t xml:space="preserve">Document </w:t>
      </w:r>
      <w:hyperlink r:id="rId7" w:history="1">
        <w:r w:rsidRPr="00756381">
          <w:rPr>
            <w:rStyle w:val="Hyperlink"/>
            <w:lang w:val="en-US"/>
          </w:rPr>
          <w:t>CWG-FHR-17/24</w:t>
        </w:r>
      </w:hyperlink>
      <w:r w:rsidRPr="00E75BEA">
        <w:rPr>
          <w:lang w:val="en-US"/>
        </w:rPr>
        <w:t xml:space="preserve"> (pp. 14-15); see also Document C24/22, chapter 15, and Document</w:t>
      </w:r>
      <w:r w:rsidR="00456568">
        <w:rPr>
          <w:lang w:val="en-US"/>
        </w:rPr>
        <w:t> </w:t>
      </w:r>
      <w:hyperlink r:id="rId8" w:history="1">
        <w:r w:rsidRPr="00F13D98">
          <w:rPr>
            <w:rStyle w:val="Hyperlink"/>
            <w:lang w:val="en-US"/>
          </w:rPr>
          <w:t>C23/22</w:t>
        </w:r>
      </w:hyperlink>
      <w:r w:rsidRPr="00E75BEA">
        <w:rPr>
          <w:lang w:val="en-US"/>
        </w:rPr>
        <w:t>, chapter 15.</w:t>
      </w:r>
    </w:p>
  </w:footnote>
  <w:footnote w:id="7">
    <w:p w14:paraId="6FC271FA" w14:textId="41403E68" w:rsidR="00BF35F9" w:rsidRPr="007644F4" w:rsidRDefault="00BF35F9" w:rsidP="00F13D98">
      <w:pPr>
        <w:pStyle w:val="FootnoteText"/>
        <w:rPr>
          <w:lang w:val="en-US"/>
        </w:rPr>
      </w:pPr>
      <w:r>
        <w:rPr>
          <w:rStyle w:val="FootnoteReference"/>
        </w:rPr>
        <w:footnoteRef/>
      </w:r>
      <w:r w:rsidR="00F13D98">
        <w:tab/>
      </w:r>
      <w:r w:rsidRPr="008624FA">
        <w:t xml:space="preserve">Revision 1 to Document </w:t>
      </w:r>
      <w:hyperlink r:id="rId9" w:history="1">
        <w:r w:rsidRPr="00F13D98">
          <w:rPr>
            <w:rStyle w:val="Hyperlink"/>
          </w:rPr>
          <w:t>C24/109</w:t>
        </w:r>
      </w:hyperlink>
      <w:r>
        <w:t>.</w:t>
      </w:r>
    </w:p>
  </w:footnote>
  <w:footnote w:id="8">
    <w:p w14:paraId="119B8513" w14:textId="2FD8111C" w:rsidR="00BF35F9" w:rsidRPr="007644F4" w:rsidRDefault="00BF35F9" w:rsidP="00BF35F9">
      <w:pPr>
        <w:pStyle w:val="FootnoteText"/>
        <w:rPr>
          <w:lang w:val="en-US"/>
        </w:rPr>
      </w:pPr>
      <w:r>
        <w:rPr>
          <w:rStyle w:val="FootnoteReference"/>
        </w:rPr>
        <w:footnoteRef/>
      </w:r>
      <w:r w:rsidR="00F13D98">
        <w:tab/>
      </w:r>
      <w:r w:rsidRPr="008624FA">
        <w:t xml:space="preserve">Document </w:t>
      </w:r>
      <w:hyperlink r:id="rId10" w:history="1">
        <w:r w:rsidRPr="00756381">
          <w:rPr>
            <w:rStyle w:val="Hyperlink"/>
          </w:rPr>
          <w:t>CWG-FHR-20/32</w:t>
        </w:r>
      </w:hyperlink>
      <w:r>
        <w:t>, chapter 15.</w:t>
      </w:r>
    </w:p>
  </w:footnote>
  <w:footnote w:id="9">
    <w:p w14:paraId="1C68B95A" w14:textId="334A9FB4" w:rsidR="001E2684" w:rsidRPr="001E2684" w:rsidRDefault="001E2684">
      <w:pPr>
        <w:pStyle w:val="FootnoteText"/>
        <w:rPr>
          <w:lang w:val="de-CH"/>
        </w:rPr>
      </w:pPr>
      <w:r>
        <w:rPr>
          <w:rStyle w:val="FootnoteReference"/>
        </w:rPr>
        <w:footnoteRef/>
      </w:r>
      <w:r w:rsidR="00F13D98">
        <w:tab/>
      </w:r>
      <w:r>
        <w:rPr>
          <w:lang w:val="de-CH"/>
        </w:rPr>
        <w:t xml:space="preserve">Document </w:t>
      </w:r>
      <w:hyperlink r:id="rId11" w:history="1">
        <w:r w:rsidRPr="00F13D98">
          <w:rPr>
            <w:rStyle w:val="Hyperlink"/>
            <w:lang w:val="de-CH"/>
          </w:rPr>
          <w:t>C25/12</w:t>
        </w:r>
      </w:hyperlink>
      <w:r>
        <w:rPr>
          <w:lang w:val="de-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DE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72753C"/>
    <w:multiLevelType w:val="hybridMultilevel"/>
    <w:tmpl w:val="7D2EAC0A"/>
    <w:lvl w:ilvl="0" w:tplc="CFA6A9B2">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7D76524"/>
    <w:multiLevelType w:val="hybridMultilevel"/>
    <w:tmpl w:val="10866774"/>
    <w:lvl w:ilvl="0" w:tplc="10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74816267">
    <w:abstractNumId w:val="0"/>
  </w:num>
  <w:num w:numId="2" w16cid:durableId="43717301">
    <w:abstractNumId w:val="1"/>
  </w:num>
  <w:num w:numId="3" w16cid:durableId="152011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1330B"/>
    <w:rsid w:val="000210D4"/>
    <w:rsid w:val="0006007D"/>
    <w:rsid w:val="00063016"/>
    <w:rsid w:val="00066795"/>
    <w:rsid w:val="000721AD"/>
    <w:rsid w:val="000745AB"/>
    <w:rsid w:val="00076AF6"/>
    <w:rsid w:val="00085CF2"/>
    <w:rsid w:val="000B1705"/>
    <w:rsid w:val="000D75B2"/>
    <w:rsid w:val="000D7EA3"/>
    <w:rsid w:val="000E1593"/>
    <w:rsid w:val="000F5DDB"/>
    <w:rsid w:val="000F7289"/>
    <w:rsid w:val="00101A26"/>
    <w:rsid w:val="001121F5"/>
    <w:rsid w:val="001400DC"/>
    <w:rsid w:val="00140CE1"/>
    <w:rsid w:val="0017539C"/>
    <w:rsid w:val="00175AC2"/>
    <w:rsid w:val="0017609F"/>
    <w:rsid w:val="001A3154"/>
    <w:rsid w:val="001A7D1D"/>
    <w:rsid w:val="001B51DD"/>
    <w:rsid w:val="001C628E"/>
    <w:rsid w:val="001E0F7B"/>
    <w:rsid w:val="001E2684"/>
    <w:rsid w:val="001F5569"/>
    <w:rsid w:val="0020150F"/>
    <w:rsid w:val="002119FD"/>
    <w:rsid w:val="002130E0"/>
    <w:rsid w:val="00221F46"/>
    <w:rsid w:val="00240B32"/>
    <w:rsid w:val="00264425"/>
    <w:rsid w:val="00265875"/>
    <w:rsid w:val="0027303B"/>
    <w:rsid w:val="0028109B"/>
    <w:rsid w:val="002830C6"/>
    <w:rsid w:val="00297B73"/>
    <w:rsid w:val="002A2188"/>
    <w:rsid w:val="002B1F58"/>
    <w:rsid w:val="002C1C7A"/>
    <w:rsid w:val="002C54E2"/>
    <w:rsid w:val="0030160F"/>
    <w:rsid w:val="00320223"/>
    <w:rsid w:val="00322D0D"/>
    <w:rsid w:val="00361465"/>
    <w:rsid w:val="003877F5"/>
    <w:rsid w:val="003936D3"/>
    <w:rsid w:val="003942D4"/>
    <w:rsid w:val="00395773"/>
    <w:rsid w:val="003958A8"/>
    <w:rsid w:val="003B29C2"/>
    <w:rsid w:val="003C2533"/>
    <w:rsid w:val="003D5A7F"/>
    <w:rsid w:val="0040435A"/>
    <w:rsid w:val="00416A24"/>
    <w:rsid w:val="00427BFF"/>
    <w:rsid w:val="00431D9E"/>
    <w:rsid w:val="00433CE8"/>
    <w:rsid w:val="00434A5C"/>
    <w:rsid w:val="00453079"/>
    <w:rsid w:val="004544D9"/>
    <w:rsid w:val="00456568"/>
    <w:rsid w:val="00472BAD"/>
    <w:rsid w:val="004811F8"/>
    <w:rsid w:val="00484009"/>
    <w:rsid w:val="00490E72"/>
    <w:rsid w:val="00491157"/>
    <w:rsid w:val="00491BA9"/>
    <w:rsid w:val="004921C8"/>
    <w:rsid w:val="00495B0B"/>
    <w:rsid w:val="00496EE1"/>
    <w:rsid w:val="004A1B8B"/>
    <w:rsid w:val="004B25A1"/>
    <w:rsid w:val="004D1851"/>
    <w:rsid w:val="004D599D"/>
    <w:rsid w:val="004E2EA5"/>
    <w:rsid w:val="004E3AEB"/>
    <w:rsid w:val="0050223C"/>
    <w:rsid w:val="00505F81"/>
    <w:rsid w:val="005243FF"/>
    <w:rsid w:val="00564FBC"/>
    <w:rsid w:val="005800BC"/>
    <w:rsid w:val="00582442"/>
    <w:rsid w:val="005F2241"/>
    <w:rsid w:val="005F3269"/>
    <w:rsid w:val="00623AE3"/>
    <w:rsid w:val="00630C4D"/>
    <w:rsid w:val="00644EC6"/>
    <w:rsid w:val="0064737F"/>
    <w:rsid w:val="00650C3A"/>
    <w:rsid w:val="006535F1"/>
    <w:rsid w:val="0065557D"/>
    <w:rsid w:val="00660D50"/>
    <w:rsid w:val="00662984"/>
    <w:rsid w:val="006716BB"/>
    <w:rsid w:val="006B1859"/>
    <w:rsid w:val="006B6680"/>
    <w:rsid w:val="006B6DCC"/>
    <w:rsid w:val="006B77F1"/>
    <w:rsid w:val="006C5ECF"/>
    <w:rsid w:val="006F63D4"/>
    <w:rsid w:val="00702DEF"/>
    <w:rsid w:val="00706861"/>
    <w:rsid w:val="00722551"/>
    <w:rsid w:val="007249F0"/>
    <w:rsid w:val="0075051B"/>
    <w:rsid w:val="00756381"/>
    <w:rsid w:val="007644F4"/>
    <w:rsid w:val="0077110E"/>
    <w:rsid w:val="00793188"/>
    <w:rsid w:val="00794D34"/>
    <w:rsid w:val="007A3FCD"/>
    <w:rsid w:val="007B19CF"/>
    <w:rsid w:val="007D01AF"/>
    <w:rsid w:val="00807557"/>
    <w:rsid w:val="00813E5E"/>
    <w:rsid w:val="0083581B"/>
    <w:rsid w:val="00863874"/>
    <w:rsid w:val="00864AFF"/>
    <w:rsid w:val="00864D1B"/>
    <w:rsid w:val="00865925"/>
    <w:rsid w:val="00871354"/>
    <w:rsid w:val="008A57EE"/>
    <w:rsid w:val="008B4A6A"/>
    <w:rsid w:val="008C7E27"/>
    <w:rsid w:val="008E36E5"/>
    <w:rsid w:val="008F152C"/>
    <w:rsid w:val="008F7448"/>
    <w:rsid w:val="0090147A"/>
    <w:rsid w:val="009173EF"/>
    <w:rsid w:val="00932906"/>
    <w:rsid w:val="00937B5D"/>
    <w:rsid w:val="00945CC6"/>
    <w:rsid w:val="00961B0B"/>
    <w:rsid w:val="00962D33"/>
    <w:rsid w:val="009841F4"/>
    <w:rsid w:val="009B38C3"/>
    <w:rsid w:val="009E17BD"/>
    <w:rsid w:val="009E485A"/>
    <w:rsid w:val="009F2104"/>
    <w:rsid w:val="00A04CEC"/>
    <w:rsid w:val="00A161CF"/>
    <w:rsid w:val="00A23D92"/>
    <w:rsid w:val="00A27F92"/>
    <w:rsid w:val="00A32257"/>
    <w:rsid w:val="00A36D20"/>
    <w:rsid w:val="00A514A4"/>
    <w:rsid w:val="00A51B54"/>
    <w:rsid w:val="00A55622"/>
    <w:rsid w:val="00A83502"/>
    <w:rsid w:val="00A94BAB"/>
    <w:rsid w:val="00AD15B3"/>
    <w:rsid w:val="00AD3606"/>
    <w:rsid w:val="00AD4A3D"/>
    <w:rsid w:val="00AD677D"/>
    <w:rsid w:val="00AF6E49"/>
    <w:rsid w:val="00B019E6"/>
    <w:rsid w:val="00B04A67"/>
    <w:rsid w:val="00B0583C"/>
    <w:rsid w:val="00B23F9E"/>
    <w:rsid w:val="00B40A81"/>
    <w:rsid w:val="00B44910"/>
    <w:rsid w:val="00B518E3"/>
    <w:rsid w:val="00B65F48"/>
    <w:rsid w:val="00B72267"/>
    <w:rsid w:val="00B76EB6"/>
    <w:rsid w:val="00B7737B"/>
    <w:rsid w:val="00B824C8"/>
    <w:rsid w:val="00B84B9D"/>
    <w:rsid w:val="00B9131F"/>
    <w:rsid w:val="00BB0646"/>
    <w:rsid w:val="00BC251A"/>
    <w:rsid w:val="00BC4F5C"/>
    <w:rsid w:val="00BD032B"/>
    <w:rsid w:val="00BD61C4"/>
    <w:rsid w:val="00BE01C6"/>
    <w:rsid w:val="00BE2640"/>
    <w:rsid w:val="00BF1FDE"/>
    <w:rsid w:val="00BF35F9"/>
    <w:rsid w:val="00C01189"/>
    <w:rsid w:val="00C0458D"/>
    <w:rsid w:val="00C06509"/>
    <w:rsid w:val="00C32F0E"/>
    <w:rsid w:val="00C339D0"/>
    <w:rsid w:val="00C374DE"/>
    <w:rsid w:val="00C47AD4"/>
    <w:rsid w:val="00C52D81"/>
    <w:rsid w:val="00C55198"/>
    <w:rsid w:val="00C6520B"/>
    <w:rsid w:val="00CA6393"/>
    <w:rsid w:val="00CA7995"/>
    <w:rsid w:val="00CB18FF"/>
    <w:rsid w:val="00CD0C08"/>
    <w:rsid w:val="00CE03FB"/>
    <w:rsid w:val="00CE433C"/>
    <w:rsid w:val="00CF0161"/>
    <w:rsid w:val="00CF33F3"/>
    <w:rsid w:val="00CF4A2B"/>
    <w:rsid w:val="00D024CA"/>
    <w:rsid w:val="00D06183"/>
    <w:rsid w:val="00D21D8D"/>
    <w:rsid w:val="00D22C42"/>
    <w:rsid w:val="00D65041"/>
    <w:rsid w:val="00D803C1"/>
    <w:rsid w:val="00DB1936"/>
    <w:rsid w:val="00DB384B"/>
    <w:rsid w:val="00DC3CB1"/>
    <w:rsid w:val="00DD11ED"/>
    <w:rsid w:val="00DF0189"/>
    <w:rsid w:val="00DF26C9"/>
    <w:rsid w:val="00E016BE"/>
    <w:rsid w:val="00E06FD5"/>
    <w:rsid w:val="00E10E80"/>
    <w:rsid w:val="00E124F0"/>
    <w:rsid w:val="00E227F3"/>
    <w:rsid w:val="00E545C6"/>
    <w:rsid w:val="00E60F04"/>
    <w:rsid w:val="00E65B24"/>
    <w:rsid w:val="00E71094"/>
    <w:rsid w:val="00E75BEA"/>
    <w:rsid w:val="00E76C69"/>
    <w:rsid w:val="00E854E4"/>
    <w:rsid w:val="00E86DBF"/>
    <w:rsid w:val="00E922D9"/>
    <w:rsid w:val="00E969AF"/>
    <w:rsid w:val="00EB0D6F"/>
    <w:rsid w:val="00EB2232"/>
    <w:rsid w:val="00EC5337"/>
    <w:rsid w:val="00EE49E8"/>
    <w:rsid w:val="00F13D98"/>
    <w:rsid w:val="00F16BAB"/>
    <w:rsid w:val="00F2150A"/>
    <w:rsid w:val="00F231D8"/>
    <w:rsid w:val="00F2608F"/>
    <w:rsid w:val="00F30421"/>
    <w:rsid w:val="00F41209"/>
    <w:rsid w:val="00F44C00"/>
    <w:rsid w:val="00F45D2C"/>
    <w:rsid w:val="00F46C5F"/>
    <w:rsid w:val="00F612A1"/>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BF35F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lt-LT"/>
    </w:rPr>
  </w:style>
  <w:style w:type="character" w:customStyle="1" w:styleId="FootnoteTextChar">
    <w:name w:val="Footnote Text Char"/>
    <w:basedOn w:val="DefaultParagraphFont"/>
    <w:link w:val="FootnoteText"/>
    <w:uiPriority w:val="99"/>
    <w:rsid w:val="00BF35F9"/>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523281">
      <w:bodyDiv w:val="1"/>
      <w:marLeft w:val="0"/>
      <w:marRight w:val="0"/>
      <w:marTop w:val="0"/>
      <w:marBottom w:val="0"/>
      <w:divBdr>
        <w:top w:val="none" w:sz="0" w:space="0" w:color="auto"/>
        <w:left w:val="none" w:sz="0" w:space="0" w:color="auto"/>
        <w:bottom w:val="none" w:sz="0" w:space="0" w:color="auto"/>
        <w:right w:val="none" w:sz="0" w:space="0" w:color="auto"/>
      </w:divBdr>
    </w:div>
    <w:div w:id="622997613">
      <w:bodyDiv w:val="1"/>
      <w:marLeft w:val="0"/>
      <w:marRight w:val="0"/>
      <w:marTop w:val="0"/>
      <w:marBottom w:val="0"/>
      <w:divBdr>
        <w:top w:val="none" w:sz="0" w:space="0" w:color="auto"/>
        <w:left w:val="none" w:sz="0" w:space="0" w:color="auto"/>
        <w:bottom w:val="none" w:sz="0" w:space="0" w:color="auto"/>
        <w:right w:val="none" w:sz="0" w:space="0" w:color="auto"/>
      </w:divBdr>
    </w:div>
    <w:div w:id="963392050">
      <w:bodyDiv w:val="1"/>
      <w:marLeft w:val="0"/>
      <w:marRight w:val="0"/>
      <w:marTop w:val="0"/>
      <w:marBottom w:val="0"/>
      <w:divBdr>
        <w:top w:val="none" w:sz="0" w:space="0" w:color="auto"/>
        <w:left w:val="none" w:sz="0" w:space="0" w:color="auto"/>
        <w:bottom w:val="none" w:sz="0" w:space="0" w:color="auto"/>
        <w:right w:val="none" w:sz="0" w:space="0" w:color="auto"/>
      </w:divBdr>
    </w:div>
    <w:div w:id="1325932050">
      <w:bodyDiv w:val="1"/>
      <w:marLeft w:val="0"/>
      <w:marRight w:val="0"/>
      <w:marTop w:val="0"/>
      <w:marBottom w:val="0"/>
      <w:divBdr>
        <w:top w:val="none" w:sz="0" w:space="0" w:color="auto"/>
        <w:left w:val="none" w:sz="0" w:space="0" w:color="auto"/>
        <w:bottom w:val="none" w:sz="0" w:space="0" w:color="auto"/>
        <w:right w:val="none" w:sz="0" w:space="0" w:color="auto"/>
      </w:divBdr>
    </w:div>
    <w:div w:id="1429081171">
      <w:bodyDiv w:val="1"/>
      <w:marLeft w:val="0"/>
      <w:marRight w:val="0"/>
      <w:marTop w:val="0"/>
      <w:marBottom w:val="0"/>
      <w:divBdr>
        <w:top w:val="none" w:sz="0" w:space="0" w:color="auto"/>
        <w:left w:val="none" w:sz="0" w:space="0" w:color="auto"/>
        <w:bottom w:val="none" w:sz="0" w:space="0" w:color="auto"/>
        <w:right w:val="none" w:sz="0" w:space="0" w:color="auto"/>
      </w:divBdr>
    </w:div>
    <w:div w:id="1936285926">
      <w:bodyDiv w:val="1"/>
      <w:marLeft w:val="0"/>
      <w:marRight w:val="0"/>
      <w:marTop w:val="0"/>
      <w:marBottom w:val="0"/>
      <w:divBdr>
        <w:top w:val="none" w:sz="0" w:space="0" w:color="auto"/>
        <w:left w:val="none" w:sz="0" w:space="0" w:color="auto"/>
        <w:bottom w:val="none" w:sz="0" w:space="0" w:color="auto"/>
        <w:right w:val="none" w:sz="0" w:space="0" w:color="auto"/>
      </w:divBdr>
    </w:div>
    <w:div w:id="2046638241">
      <w:bodyDiv w:val="1"/>
      <w:marLeft w:val="0"/>
      <w:marRight w:val="0"/>
      <w:marTop w:val="0"/>
      <w:marBottom w:val="0"/>
      <w:divBdr>
        <w:top w:val="none" w:sz="0" w:space="0" w:color="auto"/>
        <w:left w:val="none" w:sz="0" w:space="0" w:color="auto"/>
        <w:bottom w:val="none" w:sz="0" w:space="0" w:color="auto"/>
        <w:right w:val="none" w:sz="0" w:space="0" w:color="auto"/>
      </w:divBdr>
      <w:divsChild>
        <w:div w:id="1066681799">
          <w:marLeft w:val="0"/>
          <w:marRight w:val="0"/>
          <w:marTop w:val="0"/>
          <w:marBottom w:val="0"/>
          <w:divBdr>
            <w:top w:val="none" w:sz="0" w:space="0" w:color="auto"/>
            <w:left w:val="none" w:sz="0" w:space="0" w:color="auto"/>
            <w:bottom w:val="none" w:sz="0" w:space="0" w:color="auto"/>
            <w:right w:val="none" w:sz="0" w:space="0" w:color="auto"/>
          </w:divBdr>
          <w:divsChild>
            <w:div w:id="701900988">
              <w:marLeft w:val="0"/>
              <w:marRight w:val="0"/>
              <w:marTop w:val="0"/>
              <w:marBottom w:val="0"/>
              <w:divBdr>
                <w:top w:val="none" w:sz="0" w:space="0" w:color="auto"/>
                <w:left w:val="none" w:sz="0" w:space="0" w:color="auto"/>
                <w:bottom w:val="none" w:sz="0" w:space="0" w:color="auto"/>
                <w:right w:val="none" w:sz="0" w:space="0" w:color="auto"/>
              </w:divBdr>
              <w:divsChild>
                <w:div w:id="1089354650">
                  <w:marLeft w:val="0"/>
                  <w:marRight w:val="0"/>
                  <w:marTop w:val="0"/>
                  <w:marBottom w:val="0"/>
                  <w:divBdr>
                    <w:top w:val="none" w:sz="0" w:space="0" w:color="auto"/>
                    <w:left w:val="none" w:sz="0" w:space="0" w:color="auto"/>
                    <w:bottom w:val="none" w:sz="0" w:space="0" w:color="auto"/>
                    <w:right w:val="none" w:sz="0" w:space="0" w:color="auto"/>
                  </w:divBdr>
                  <w:divsChild>
                    <w:div w:id="1493914915">
                      <w:marLeft w:val="0"/>
                      <w:marRight w:val="0"/>
                      <w:marTop w:val="0"/>
                      <w:marBottom w:val="0"/>
                      <w:divBdr>
                        <w:top w:val="none" w:sz="0" w:space="0" w:color="auto"/>
                        <w:left w:val="none" w:sz="0" w:space="0" w:color="auto"/>
                        <w:bottom w:val="none" w:sz="0" w:space="0" w:color="auto"/>
                        <w:right w:val="none" w:sz="0" w:space="0" w:color="auto"/>
                      </w:divBdr>
                      <w:divsChild>
                        <w:div w:id="2123065944">
                          <w:marLeft w:val="0"/>
                          <w:marRight w:val="0"/>
                          <w:marTop w:val="0"/>
                          <w:marBottom w:val="0"/>
                          <w:divBdr>
                            <w:top w:val="none" w:sz="0" w:space="0" w:color="auto"/>
                            <w:left w:val="none" w:sz="0" w:space="0" w:color="auto"/>
                            <w:bottom w:val="none" w:sz="0" w:space="0" w:color="auto"/>
                            <w:right w:val="none" w:sz="0" w:space="0" w:color="auto"/>
                          </w:divBdr>
                          <w:divsChild>
                            <w:div w:id="125591732">
                              <w:marLeft w:val="0"/>
                              <w:marRight w:val="0"/>
                              <w:marTop w:val="0"/>
                              <w:marBottom w:val="0"/>
                              <w:divBdr>
                                <w:top w:val="none" w:sz="0" w:space="0" w:color="auto"/>
                                <w:left w:val="none" w:sz="0" w:space="0" w:color="auto"/>
                                <w:bottom w:val="none" w:sz="0" w:space="0" w:color="auto"/>
                                <w:right w:val="none" w:sz="0" w:space="0" w:color="auto"/>
                              </w:divBdr>
                              <w:divsChild>
                                <w:div w:id="1969509499">
                                  <w:marLeft w:val="0"/>
                                  <w:marRight w:val="0"/>
                                  <w:marTop w:val="0"/>
                                  <w:marBottom w:val="0"/>
                                  <w:divBdr>
                                    <w:top w:val="none" w:sz="0" w:space="0" w:color="auto"/>
                                    <w:left w:val="none" w:sz="0" w:space="0" w:color="auto"/>
                                    <w:bottom w:val="none" w:sz="0" w:space="0" w:color="auto"/>
                                    <w:right w:val="none" w:sz="0" w:space="0" w:color="auto"/>
                                  </w:divBdr>
                                  <w:divsChild>
                                    <w:div w:id="5415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942858">
      <w:bodyDiv w:val="1"/>
      <w:marLeft w:val="0"/>
      <w:marRight w:val="0"/>
      <w:marTop w:val="0"/>
      <w:marBottom w:val="0"/>
      <w:divBdr>
        <w:top w:val="none" w:sz="0" w:space="0" w:color="auto"/>
        <w:left w:val="none" w:sz="0" w:space="0" w:color="auto"/>
        <w:bottom w:val="none" w:sz="0" w:space="0" w:color="auto"/>
        <w:right w:val="none" w:sz="0" w:space="0" w:color="auto"/>
      </w:divBdr>
      <w:divsChild>
        <w:div w:id="736439759">
          <w:marLeft w:val="0"/>
          <w:marRight w:val="0"/>
          <w:marTop w:val="0"/>
          <w:marBottom w:val="0"/>
          <w:divBdr>
            <w:top w:val="none" w:sz="0" w:space="0" w:color="auto"/>
            <w:left w:val="none" w:sz="0" w:space="0" w:color="auto"/>
            <w:bottom w:val="none" w:sz="0" w:space="0" w:color="auto"/>
            <w:right w:val="none" w:sz="0" w:space="0" w:color="auto"/>
          </w:divBdr>
          <w:divsChild>
            <w:div w:id="1546940728">
              <w:marLeft w:val="0"/>
              <w:marRight w:val="0"/>
              <w:marTop w:val="0"/>
              <w:marBottom w:val="0"/>
              <w:divBdr>
                <w:top w:val="none" w:sz="0" w:space="0" w:color="auto"/>
                <w:left w:val="none" w:sz="0" w:space="0" w:color="auto"/>
                <w:bottom w:val="none" w:sz="0" w:space="0" w:color="auto"/>
                <w:right w:val="none" w:sz="0" w:space="0" w:color="auto"/>
              </w:divBdr>
              <w:divsChild>
                <w:div w:id="1452162024">
                  <w:marLeft w:val="0"/>
                  <w:marRight w:val="0"/>
                  <w:marTop w:val="0"/>
                  <w:marBottom w:val="0"/>
                  <w:divBdr>
                    <w:top w:val="none" w:sz="0" w:space="0" w:color="auto"/>
                    <w:left w:val="none" w:sz="0" w:space="0" w:color="auto"/>
                    <w:bottom w:val="none" w:sz="0" w:space="0" w:color="auto"/>
                    <w:right w:val="none" w:sz="0" w:space="0" w:color="auto"/>
                  </w:divBdr>
                  <w:divsChild>
                    <w:div w:id="820342897">
                      <w:marLeft w:val="0"/>
                      <w:marRight w:val="0"/>
                      <w:marTop w:val="0"/>
                      <w:marBottom w:val="0"/>
                      <w:divBdr>
                        <w:top w:val="none" w:sz="0" w:space="0" w:color="auto"/>
                        <w:left w:val="none" w:sz="0" w:space="0" w:color="auto"/>
                        <w:bottom w:val="none" w:sz="0" w:space="0" w:color="auto"/>
                        <w:right w:val="none" w:sz="0" w:space="0" w:color="auto"/>
                      </w:divBdr>
                      <w:divsChild>
                        <w:div w:id="1048996693">
                          <w:marLeft w:val="0"/>
                          <w:marRight w:val="0"/>
                          <w:marTop w:val="0"/>
                          <w:marBottom w:val="0"/>
                          <w:divBdr>
                            <w:top w:val="none" w:sz="0" w:space="0" w:color="auto"/>
                            <w:left w:val="none" w:sz="0" w:space="0" w:color="auto"/>
                            <w:bottom w:val="none" w:sz="0" w:space="0" w:color="auto"/>
                            <w:right w:val="none" w:sz="0" w:space="0" w:color="auto"/>
                          </w:divBdr>
                          <w:divsChild>
                            <w:div w:id="178550223">
                              <w:marLeft w:val="0"/>
                              <w:marRight w:val="0"/>
                              <w:marTop w:val="0"/>
                              <w:marBottom w:val="0"/>
                              <w:divBdr>
                                <w:top w:val="none" w:sz="0" w:space="0" w:color="auto"/>
                                <w:left w:val="none" w:sz="0" w:space="0" w:color="auto"/>
                                <w:bottom w:val="none" w:sz="0" w:space="0" w:color="auto"/>
                                <w:right w:val="none" w:sz="0" w:space="0" w:color="auto"/>
                              </w:divBdr>
                              <w:divsChild>
                                <w:div w:id="148912816">
                                  <w:marLeft w:val="0"/>
                                  <w:marRight w:val="0"/>
                                  <w:marTop w:val="0"/>
                                  <w:marBottom w:val="0"/>
                                  <w:divBdr>
                                    <w:top w:val="none" w:sz="0" w:space="0" w:color="auto"/>
                                    <w:left w:val="none" w:sz="0" w:space="0" w:color="auto"/>
                                    <w:bottom w:val="none" w:sz="0" w:space="0" w:color="auto"/>
                                    <w:right w:val="none" w:sz="0" w:space="0" w:color="auto"/>
                                  </w:divBdr>
                                  <w:divsChild>
                                    <w:div w:id="7523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5/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3-CL-C-0022/en" TargetMode="External"/><Relationship Id="rId3" Type="http://schemas.openxmlformats.org/officeDocument/2006/relationships/hyperlink" Target="https://www.itu.int/md/S25-CL-C-0012/en" TargetMode="External"/><Relationship Id="rId7" Type="http://schemas.openxmlformats.org/officeDocument/2006/relationships/hyperlink" Target="https://www.itu.int/md/S24-CWGFHR17-C-0024/en" TargetMode="External"/><Relationship Id="rId2" Type="http://schemas.openxmlformats.org/officeDocument/2006/relationships/hyperlink" Target="https://www.itu.int/md/S25-CL-C-0009/en" TargetMode="External"/><Relationship Id="rId1" Type="http://schemas.openxmlformats.org/officeDocument/2006/relationships/hyperlink" Target="https://www.itu.int/md/S24-CL-C-0054/en" TargetMode="External"/><Relationship Id="rId6" Type="http://schemas.openxmlformats.org/officeDocument/2006/relationships/hyperlink" Target="https://www.itu.int/md/S24-CL-C-0054/en" TargetMode="External"/><Relationship Id="rId11" Type="http://schemas.openxmlformats.org/officeDocument/2006/relationships/hyperlink" Target="https://www.itu.int/md/S25-CL-C-0012/en" TargetMode="External"/><Relationship Id="rId5" Type="http://schemas.openxmlformats.org/officeDocument/2006/relationships/hyperlink" Target="https://www.itu.int/md/S25-CL-C-0050/en" TargetMode="External"/><Relationship Id="rId10" Type="http://schemas.openxmlformats.org/officeDocument/2006/relationships/hyperlink" Target="https://www.itu.int/md/S25-CWGFHR20-C-0032/en" TargetMode="External"/><Relationship Id="rId4" Type="http://schemas.openxmlformats.org/officeDocument/2006/relationships/hyperlink" Target="https://www.itu.int/md/S25-CL-C-0043/en" TargetMode="External"/><Relationship Id="rId9" Type="http://schemas.openxmlformats.org/officeDocument/2006/relationships/hyperlink" Target="https://www.itu.int/md/S24-CL-C-010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1566</Words>
  <Characters>8881</Characters>
  <Application>Microsoft Office Word</Application>
  <DocSecurity>0</DocSecurity>
  <Lines>145</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Clarifying the role of ITU’s governing bodies in the organization’s structures for IT governance and data/information governance</vt:lpstr>
      <vt:lpstr>Council 2025</vt:lpstr>
    </vt:vector>
  </TitlesOfParts>
  <Manager>General Secretariat</Manager>
  <Company>International Telecommunication Union (ITU)</Company>
  <LinksUpToDate>false</LinksUpToDate>
  <CharactersWithSpaces>10408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Clarifying the role of ITU’s governing bodies in the organization’s structures for IT governance and data/information governance</dc:title>
  <dc:subject>ITU Council 2025</dc:subject>
  <cp:keywords>C25; C2025; Council 2025; ITU160</cp:keywords>
  <dc:description/>
  <cp:lastPrinted>2000-07-18T13:30:00Z</cp:lastPrinted>
  <dcterms:created xsi:type="dcterms:W3CDTF">2025-06-03T14:28:00Z</dcterms:created>
  <dcterms:modified xsi:type="dcterms:W3CDTF">2025-06-05T07:15:00Z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MSIP_Label_245c3252-146d-46f3-8062-82cd8c8d7e7d_Enabled">
    <vt:lpwstr>true</vt:lpwstr>
  </property>
  <property fmtid="{D5CDD505-2E9C-101B-9397-08002B2CF9AE}" pid="10" name="MSIP_Label_245c3252-146d-46f3-8062-82cd8c8d7e7d_SetDate">
    <vt:lpwstr>2025-06-03T12:01:48Z</vt:lpwstr>
  </property>
  <property fmtid="{D5CDD505-2E9C-101B-9397-08002B2CF9AE}" pid="11" name="MSIP_Label_245c3252-146d-46f3-8062-82cd8c8d7e7d_Method">
    <vt:lpwstr>Privileged</vt:lpwstr>
  </property>
  <property fmtid="{D5CDD505-2E9C-101B-9397-08002B2CF9AE}" pid="12" name="MSIP_Label_245c3252-146d-46f3-8062-82cd8c8d7e7d_Name">
    <vt:lpwstr>L1</vt:lpwstr>
  </property>
  <property fmtid="{D5CDD505-2E9C-101B-9397-08002B2CF9AE}" pid="13" name="MSIP_Label_245c3252-146d-46f3-8062-82cd8c8d7e7d_SiteId">
    <vt:lpwstr>6ae27add-8276-4a38-88c1-3a9c1f973767</vt:lpwstr>
  </property>
  <property fmtid="{D5CDD505-2E9C-101B-9397-08002B2CF9AE}" pid="14" name="MSIP_Label_245c3252-146d-46f3-8062-82cd8c8d7e7d_ActionId">
    <vt:lpwstr>2ca32490-bf09-49ab-8b65-3ae62ee68154</vt:lpwstr>
  </property>
  <property fmtid="{D5CDD505-2E9C-101B-9397-08002B2CF9AE}" pid="15" name="MSIP_Label_245c3252-146d-46f3-8062-82cd8c8d7e7d_ContentBits">
    <vt:lpwstr>0</vt:lpwstr>
  </property>
  <property fmtid="{D5CDD505-2E9C-101B-9397-08002B2CF9AE}" pid="16" name="MSIP_Label_245c3252-146d-46f3-8062-82cd8c8d7e7d_Tag">
    <vt:lpwstr>10, 0, 1, 1</vt:lpwstr>
  </property>
</Properties>
</file>