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6E5D6D" w14:paraId="5CEADB40" w14:textId="77777777" w:rsidTr="00C538FC">
        <w:trPr>
          <w:cantSplit/>
          <w:trHeight w:val="23"/>
        </w:trPr>
        <w:tc>
          <w:tcPr>
            <w:tcW w:w="3969" w:type="dxa"/>
            <w:vMerge w:val="restart"/>
            <w:tcMar>
              <w:left w:w="0" w:type="dxa"/>
            </w:tcMar>
          </w:tcPr>
          <w:p w14:paraId="32A71C16" w14:textId="5868C32C" w:rsidR="00FE57F6" w:rsidRPr="006E5D6D" w:rsidRDefault="002E0C2A" w:rsidP="002E0C2A">
            <w:pPr>
              <w:tabs>
                <w:tab w:val="left" w:pos="851"/>
              </w:tabs>
              <w:spacing w:before="0" w:line="240" w:lineRule="atLeast"/>
              <w:rPr>
                <w:b/>
              </w:rPr>
            </w:pPr>
            <w:bookmarkStart w:id="0" w:name="_Hlk133421839"/>
            <w:r w:rsidRPr="006E5D6D">
              <w:rPr>
                <w:b/>
                <w:bCs/>
              </w:rPr>
              <w:t>Punto del orden del día: ADM 1</w:t>
            </w:r>
          </w:p>
        </w:tc>
        <w:tc>
          <w:tcPr>
            <w:tcW w:w="5245" w:type="dxa"/>
          </w:tcPr>
          <w:p w14:paraId="4FED47DD" w14:textId="4096FC3A" w:rsidR="00FE57F6" w:rsidRPr="006E5D6D" w:rsidRDefault="00FE57F6" w:rsidP="00C538FC">
            <w:pPr>
              <w:tabs>
                <w:tab w:val="left" w:pos="851"/>
              </w:tabs>
              <w:spacing w:before="0" w:line="240" w:lineRule="atLeast"/>
              <w:jc w:val="right"/>
              <w:rPr>
                <w:b/>
              </w:rPr>
            </w:pPr>
            <w:r w:rsidRPr="006E5D6D">
              <w:rPr>
                <w:b/>
              </w:rPr>
              <w:t>Document</w:t>
            </w:r>
            <w:r w:rsidR="00F24B71" w:rsidRPr="006E5D6D">
              <w:rPr>
                <w:b/>
              </w:rPr>
              <w:t>o</w:t>
            </w:r>
            <w:r w:rsidRPr="006E5D6D">
              <w:rPr>
                <w:b/>
              </w:rPr>
              <w:t xml:space="preserve"> C2</w:t>
            </w:r>
            <w:r w:rsidR="00BB6FD8" w:rsidRPr="006E5D6D">
              <w:rPr>
                <w:b/>
              </w:rPr>
              <w:t>5</w:t>
            </w:r>
            <w:r w:rsidRPr="006E5D6D">
              <w:rPr>
                <w:b/>
              </w:rPr>
              <w:t>/</w:t>
            </w:r>
            <w:r w:rsidR="002E0C2A" w:rsidRPr="006E5D6D">
              <w:rPr>
                <w:b/>
              </w:rPr>
              <w:t>82</w:t>
            </w:r>
            <w:r w:rsidRPr="006E5D6D">
              <w:rPr>
                <w:b/>
              </w:rPr>
              <w:t>-</w:t>
            </w:r>
            <w:r w:rsidR="00F24B71" w:rsidRPr="006E5D6D">
              <w:rPr>
                <w:b/>
              </w:rPr>
              <w:t>S</w:t>
            </w:r>
          </w:p>
        </w:tc>
      </w:tr>
      <w:tr w:rsidR="00FE57F6" w:rsidRPr="006E5D6D" w14:paraId="0890EC85" w14:textId="77777777" w:rsidTr="00C538FC">
        <w:trPr>
          <w:cantSplit/>
        </w:trPr>
        <w:tc>
          <w:tcPr>
            <w:tcW w:w="3969" w:type="dxa"/>
            <w:vMerge/>
          </w:tcPr>
          <w:p w14:paraId="38EA0AA8" w14:textId="77777777" w:rsidR="00FE57F6" w:rsidRPr="006E5D6D" w:rsidRDefault="00FE57F6" w:rsidP="00C538FC">
            <w:pPr>
              <w:tabs>
                <w:tab w:val="left" w:pos="851"/>
              </w:tabs>
              <w:spacing w:line="240" w:lineRule="atLeast"/>
              <w:rPr>
                <w:b/>
              </w:rPr>
            </w:pPr>
          </w:p>
        </w:tc>
        <w:tc>
          <w:tcPr>
            <w:tcW w:w="5245" w:type="dxa"/>
          </w:tcPr>
          <w:p w14:paraId="05A791CC" w14:textId="334C4B26" w:rsidR="00FE57F6" w:rsidRPr="006E5D6D" w:rsidRDefault="002E0C2A" w:rsidP="00C538FC">
            <w:pPr>
              <w:tabs>
                <w:tab w:val="left" w:pos="851"/>
              </w:tabs>
              <w:spacing w:before="0"/>
              <w:jc w:val="right"/>
              <w:rPr>
                <w:b/>
              </w:rPr>
            </w:pPr>
            <w:r w:rsidRPr="006E5D6D">
              <w:rPr>
                <w:b/>
              </w:rPr>
              <w:t>2 de junio de 2025</w:t>
            </w:r>
          </w:p>
        </w:tc>
      </w:tr>
      <w:tr w:rsidR="00FE57F6" w:rsidRPr="006E5D6D" w14:paraId="2D03C81B" w14:textId="77777777" w:rsidTr="00C538FC">
        <w:trPr>
          <w:cantSplit/>
          <w:trHeight w:val="23"/>
        </w:trPr>
        <w:tc>
          <w:tcPr>
            <w:tcW w:w="3969" w:type="dxa"/>
            <w:vMerge/>
          </w:tcPr>
          <w:p w14:paraId="3ACE60A4" w14:textId="77777777" w:rsidR="00FE57F6" w:rsidRPr="006E5D6D" w:rsidRDefault="00FE57F6" w:rsidP="00C538FC">
            <w:pPr>
              <w:tabs>
                <w:tab w:val="left" w:pos="851"/>
              </w:tabs>
              <w:spacing w:line="240" w:lineRule="atLeast"/>
              <w:rPr>
                <w:b/>
              </w:rPr>
            </w:pPr>
          </w:p>
        </w:tc>
        <w:tc>
          <w:tcPr>
            <w:tcW w:w="5245" w:type="dxa"/>
          </w:tcPr>
          <w:p w14:paraId="1A5E4182" w14:textId="77777777" w:rsidR="00FE57F6" w:rsidRPr="006E5D6D" w:rsidRDefault="00F24B71" w:rsidP="00C538FC">
            <w:pPr>
              <w:tabs>
                <w:tab w:val="left" w:pos="851"/>
              </w:tabs>
              <w:spacing w:before="0" w:line="240" w:lineRule="atLeast"/>
              <w:jc w:val="right"/>
              <w:rPr>
                <w:b/>
                <w:bCs/>
              </w:rPr>
            </w:pPr>
            <w:r w:rsidRPr="006E5D6D">
              <w:rPr>
                <w:rFonts w:cstheme="minorHAnsi"/>
                <w:b/>
                <w:bCs/>
              </w:rPr>
              <w:t>Original: inglés</w:t>
            </w:r>
          </w:p>
        </w:tc>
      </w:tr>
      <w:tr w:rsidR="00FE57F6" w:rsidRPr="006E5D6D" w14:paraId="6571CC62" w14:textId="77777777" w:rsidTr="00C538FC">
        <w:trPr>
          <w:cantSplit/>
          <w:trHeight w:val="23"/>
        </w:trPr>
        <w:tc>
          <w:tcPr>
            <w:tcW w:w="3969" w:type="dxa"/>
          </w:tcPr>
          <w:p w14:paraId="05209046" w14:textId="77777777" w:rsidR="00FE57F6" w:rsidRPr="006E5D6D" w:rsidRDefault="00FE57F6" w:rsidP="00C538FC">
            <w:pPr>
              <w:tabs>
                <w:tab w:val="left" w:pos="851"/>
              </w:tabs>
              <w:spacing w:line="240" w:lineRule="atLeast"/>
              <w:rPr>
                <w:b/>
              </w:rPr>
            </w:pPr>
          </w:p>
        </w:tc>
        <w:tc>
          <w:tcPr>
            <w:tcW w:w="5245" w:type="dxa"/>
          </w:tcPr>
          <w:p w14:paraId="4D4B8673" w14:textId="77777777" w:rsidR="00FE57F6" w:rsidRPr="006E5D6D" w:rsidRDefault="00FE57F6" w:rsidP="00C538FC">
            <w:pPr>
              <w:tabs>
                <w:tab w:val="left" w:pos="851"/>
              </w:tabs>
              <w:spacing w:before="0" w:line="240" w:lineRule="atLeast"/>
              <w:jc w:val="right"/>
              <w:rPr>
                <w:b/>
              </w:rPr>
            </w:pPr>
          </w:p>
        </w:tc>
      </w:tr>
      <w:tr w:rsidR="00FE57F6" w:rsidRPr="006E5D6D" w14:paraId="68A32F22" w14:textId="77777777" w:rsidTr="00C538FC">
        <w:trPr>
          <w:cantSplit/>
        </w:trPr>
        <w:tc>
          <w:tcPr>
            <w:tcW w:w="9214" w:type="dxa"/>
            <w:gridSpan w:val="2"/>
            <w:tcMar>
              <w:left w:w="0" w:type="dxa"/>
            </w:tcMar>
          </w:tcPr>
          <w:p w14:paraId="59BAA6F0" w14:textId="18BE28F9" w:rsidR="00FE57F6" w:rsidRPr="006E5D6D" w:rsidRDefault="002E0C2A" w:rsidP="002E0C2A">
            <w:pPr>
              <w:pStyle w:val="Source"/>
              <w:jc w:val="left"/>
              <w:rPr>
                <w:sz w:val="34"/>
                <w:szCs w:val="34"/>
              </w:rPr>
            </w:pPr>
            <w:r w:rsidRPr="006E5D6D">
              <w:rPr>
                <w:rFonts w:cstheme="minorHAnsi"/>
                <w:bCs/>
                <w:sz w:val="34"/>
                <w:szCs w:val="34"/>
              </w:rPr>
              <w:t>Contribución de Angola, Botswana, Comoras, Eswatini, Lesotho, Madagascar, Malawi, Mauricio, Mozambique, Namibia, República Democrática del Congo, Seychelles, Sudáfrica, Tanzanía, Zambia y Zimbabwe</w:t>
            </w:r>
          </w:p>
        </w:tc>
      </w:tr>
      <w:tr w:rsidR="00FE57F6" w:rsidRPr="006E5D6D" w14:paraId="522C02DD" w14:textId="77777777" w:rsidTr="00C538FC">
        <w:trPr>
          <w:cantSplit/>
        </w:trPr>
        <w:tc>
          <w:tcPr>
            <w:tcW w:w="9214" w:type="dxa"/>
            <w:gridSpan w:val="2"/>
            <w:tcMar>
              <w:left w:w="0" w:type="dxa"/>
            </w:tcMar>
          </w:tcPr>
          <w:p w14:paraId="57542569" w14:textId="4055FA37" w:rsidR="00FE57F6" w:rsidRPr="006E5D6D" w:rsidRDefault="002E0C2A" w:rsidP="002E0C2A">
            <w:pPr>
              <w:pStyle w:val="Subtitle"/>
              <w:framePr w:hSpace="0" w:wrap="auto" w:vAnchor="margin" w:hAnchor="text" w:xAlign="left" w:yAlign="inline"/>
            </w:pPr>
            <w:bookmarkStart w:id="1" w:name="_Hlk199853548"/>
            <w:r w:rsidRPr="006E5D6D">
              <w:t>PROPUESTA DE EXONERACIÓN DE PAGO DE LA TASA DE RECUPERACIÓN DE COSTES PARA SIETE NOTIFICACIONES EN VIRTUD DE LA RESOLUCIÓN 170 (REV. CMR-23), PRESENTADA POR LA ADMINISTRACIÓN DE ANGOLA EN NOMBRE DE 16 ESTADOS MIEMBROS DE LA SADC</w:t>
            </w:r>
            <w:bookmarkEnd w:id="1"/>
          </w:p>
        </w:tc>
      </w:tr>
      <w:tr w:rsidR="00FE57F6" w:rsidRPr="006E5D6D" w14:paraId="1A54FC2E" w14:textId="77777777" w:rsidTr="00C538FC">
        <w:trPr>
          <w:cantSplit/>
        </w:trPr>
        <w:tc>
          <w:tcPr>
            <w:tcW w:w="9214" w:type="dxa"/>
            <w:gridSpan w:val="2"/>
            <w:tcBorders>
              <w:top w:val="single" w:sz="4" w:space="0" w:color="auto"/>
              <w:bottom w:val="single" w:sz="4" w:space="0" w:color="auto"/>
            </w:tcBorders>
            <w:tcMar>
              <w:left w:w="0" w:type="dxa"/>
            </w:tcMar>
          </w:tcPr>
          <w:p w14:paraId="7D76AA54" w14:textId="77777777" w:rsidR="00FE57F6" w:rsidRPr="006E5D6D" w:rsidRDefault="00F24B71" w:rsidP="00C538FC">
            <w:pPr>
              <w:spacing w:before="160"/>
              <w:rPr>
                <w:b/>
                <w:bCs/>
                <w:sz w:val="26"/>
                <w:szCs w:val="26"/>
              </w:rPr>
            </w:pPr>
            <w:r w:rsidRPr="006E5D6D">
              <w:rPr>
                <w:b/>
                <w:bCs/>
                <w:sz w:val="26"/>
                <w:szCs w:val="26"/>
              </w:rPr>
              <w:t>Finalidad</w:t>
            </w:r>
          </w:p>
          <w:p w14:paraId="4C7154BF" w14:textId="2E74D7A6" w:rsidR="00FE57F6" w:rsidRPr="006E5D6D" w:rsidRDefault="002E0C2A" w:rsidP="002E0C2A">
            <w:r w:rsidRPr="006E5D6D">
              <w:t>Proponer la exoneración de pago de la tasa de recuperación de costes de siete (7)</w:t>
            </w:r>
            <w:r w:rsidR="0049615D" w:rsidRPr="006E5D6D">
              <w:t xml:space="preserve"> </w:t>
            </w:r>
            <w:r w:rsidRPr="006E5D6D">
              <w:t xml:space="preserve">notificaciones de coordinación, que se comunicarán en virtud de la Resolución </w:t>
            </w:r>
            <w:r w:rsidRPr="006E5D6D">
              <w:rPr>
                <w:b/>
                <w:bCs/>
              </w:rPr>
              <w:t>170 (Rev.</w:t>
            </w:r>
            <w:r w:rsidR="0049615D" w:rsidRPr="006E5D6D">
              <w:rPr>
                <w:b/>
                <w:bCs/>
              </w:rPr>
              <w:t> </w:t>
            </w:r>
            <w:r w:rsidRPr="006E5D6D">
              <w:rPr>
                <w:b/>
                <w:bCs/>
              </w:rPr>
              <w:t>CMR-23)</w:t>
            </w:r>
            <w:r w:rsidRPr="006E5D6D">
              <w:t>, ya que serán presentadas por la Administración de Angola en nombre de 16</w:t>
            </w:r>
            <w:r w:rsidR="0049615D" w:rsidRPr="006E5D6D">
              <w:t> </w:t>
            </w:r>
            <w:r w:rsidRPr="006E5D6D">
              <w:t>Estados miembros de la SADC.</w:t>
            </w:r>
          </w:p>
          <w:p w14:paraId="32CD0385" w14:textId="77777777" w:rsidR="00FE57F6" w:rsidRPr="006E5D6D" w:rsidRDefault="00F24B71" w:rsidP="00C538FC">
            <w:pPr>
              <w:spacing w:before="160"/>
              <w:rPr>
                <w:b/>
                <w:bCs/>
                <w:sz w:val="26"/>
                <w:szCs w:val="26"/>
              </w:rPr>
            </w:pPr>
            <w:r w:rsidRPr="006E5D6D">
              <w:rPr>
                <w:b/>
                <w:bCs/>
                <w:sz w:val="26"/>
                <w:szCs w:val="26"/>
              </w:rPr>
              <w:t xml:space="preserve">Acción solicitada </w:t>
            </w:r>
            <w:r w:rsidR="00677A97" w:rsidRPr="006E5D6D">
              <w:rPr>
                <w:b/>
                <w:bCs/>
                <w:sz w:val="26"/>
                <w:szCs w:val="26"/>
              </w:rPr>
              <w:t>al</w:t>
            </w:r>
            <w:r w:rsidRPr="006E5D6D">
              <w:rPr>
                <w:b/>
                <w:bCs/>
                <w:sz w:val="26"/>
                <w:szCs w:val="26"/>
              </w:rPr>
              <w:t xml:space="preserve"> Consejo</w:t>
            </w:r>
          </w:p>
          <w:p w14:paraId="7E0CE0E0" w14:textId="10174958" w:rsidR="00F92BED" w:rsidRPr="006E5D6D" w:rsidRDefault="002E0C2A" w:rsidP="002E0C2A">
            <w:pPr>
              <w:spacing w:before="160"/>
              <w:rPr>
                <w:szCs w:val="24"/>
              </w:rPr>
            </w:pPr>
            <w:r w:rsidRPr="006E5D6D">
              <w:rPr>
                <w:szCs w:val="24"/>
              </w:rPr>
              <w:t xml:space="preserve">Se solicita al Consejo que </w:t>
            </w:r>
            <w:r w:rsidRPr="006E5D6D">
              <w:rPr>
                <w:b/>
                <w:bCs/>
                <w:szCs w:val="24"/>
              </w:rPr>
              <w:t xml:space="preserve">considere </w:t>
            </w:r>
            <w:r w:rsidRPr="006E5D6D">
              <w:rPr>
                <w:szCs w:val="24"/>
              </w:rPr>
              <w:t xml:space="preserve">y </w:t>
            </w:r>
            <w:r w:rsidRPr="006E5D6D">
              <w:rPr>
                <w:b/>
                <w:bCs/>
                <w:szCs w:val="24"/>
              </w:rPr>
              <w:t xml:space="preserve">apruebe </w:t>
            </w:r>
            <w:r w:rsidRPr="006E5D6D">
              <w:rPr>
                <w:szCs w:val="24"/>
              </w:rPr>
              <w:t>la propuesta recogida en la presente contribución.</w:t>
            </w:r>
          </w:p>
          <w:p w14:paraId="5CD44029" w14:textId="77777777" w:rsidR="00FE57F6" w:rsidRPr="006E5D6D" w:rsidRDefault="00FE57F6" w:rsidP="00C538FC">
            <w:pPr>
              <w:spacing w:before="160"/>
              <w:rPr>
                <w:caps/>
                <w:sz w:val="22"/>
              </w:rPr>
            </w:pPr>
            <w:r w:rsidRPr="006E5D6D">
              <w:rPr>
                <w:sz w:val="22"/>
              </w:rPr>
              <w:t>__________________</w:t>
            </w:r>
          </w:p>
          <w:p w14:paraId="55AE4E05" w14:textId="5381C2C9" w:rsidR="00FE57F6" w:rsidRPr="006E5D6D" w:rsidRDefault="00F24B71" w:rsidP="00C538FC">
            <w:pPr>
              <w:spacing w:before="160"/>
              <w:rPr>
                <w:b/>
                <w:bCs/>
                <w:sz w:val="26"/>
                <w:szCs w:val="26"/>
              </w:rPr>
            </w:pPr>
            <w:r w:rsidRPr="006E5D6D">
              <w:rPr>
                <w:b/>
                <w:bCs/>
                <w:sz w:val="26"/>
                <w:szCs w:val="26"/>
              </w:rPr>
              <w:t>Referencia</w:t>
            </w:r>
            <w:r w:rsidR="00F92BED" w:rsidRPr="006E5D6D">
              <w:rPr>
                <w:b/>
                <w:bCs/>
                <w:sz w:val="26"/>
                <w:szCs w:val="26"/>
              </w:rPr>
              <w:t>s</w:t>
            </w:r>
          </w:p>
          <w:p w14:paraId="1AF3E997" w14:textId="38C1924A" w:rsidR="00FE57F6" w:rsidRPr="006E5D6D" w:rsidRDefault="002E0C2A" w:rsidP="002E0C2A">
            <w:pPr>
              <w:spacing w:after="160"/>
              <w:rPr>
                <w:i/>
                <w:iCs/>
                <w:szCs w:val="24"/>
              </w:rPr>
            </w:pPr>
            <w:hyperlink r:id="rId7" w:history="1">
              <w:r w:rsidRPr="006E5D6D">
                <w:rPr>
                  <w:rStyle w:val="Hyperlink"/>
                  <w:i/>
                  <w:iCs/>
                  <w:szCs w:val="24"/>
                </w:rPr>
                <w:t>Resolución 76/3 de la Asamblea General de las Naciones Unidas</w:t>
              </w:r>
            </w:hyperlink>
            <w:r w:rsidRPr="006E5D6D">
              <w:rPr>
                <w:i/>
                <w:iCs/>
                <w:szCs w:val="24"/>
              </w:rPr>
              <w:t xml:space="preserve">; Resoluciones </w:t>
            </w:r>
            <w:hyperlink r:id="rId8" w:history="1">
              <w:r w:rsidRPr="006E5D6D">
                <w:rPr>
                  <w:rStyle w:val="Hyperlink"/>
                  <w:i/>
                  <w:iCs/>
                  <w:szCs w:val="24"/>
                </w:rPr>
                <w:t>30</w:t>
              </w:r>
              <w:r w:rsidR="0049615D" w:rsidRPr="006E5D6D">
                <w:rPr>
                  <w:rStyle w:val="Hyperlink"/>
                  <w:i/>
                  <w:iCs/>
                  <w:szCs w:val="24"/>
                </w:rPr>
                <w:t> </w:t>
              </w:r>
              <w:r w:rsidRPr="006E5D6D">
                <w:rPr>
                  <w:rStyle w:val="Hyperlink"/>
                  <w:i/>
                  <w:iCs/>
                  <w:szCs w:val="24"/>
                </w:rPr>
                <w:t>(Rev.</w:t>
              </w:r>
              <w:r w:rsidR="0049615D" w:rsidRPr="006E5D6D">
                <w:rPr>
                  <w:rStyle w:val="Hyperlink"/>
                  <w:i/>
                  <w:iCs/>
                  <w:szCs w:val="24"/>
                </w:rPr>
                <w:t> </w:t>
              </w:r>
              <w:r w:rsidRPr="006E5D6D">
                <w:rPr>
                  <w:rStyle w:val="Hyperlink"/>
                  <w:i/>
                  <w:iCs/>
                  <w:szCs w:val="24"/>
                </w:rPr>
                <w:t>Bucarest, 2022)</w:t>
              </w:r>
            </w:hyperlink>
            <w:r w:rsidRPr="006E5D6D">
              <w:rPr>
                <w:i/>
                <w:iCs/>
                <w:szCs w:val="24"/>
              </w:rPr>
              <w:t xml:space="preserve">, </w:t>
            </w:r>
            <w:hyperlink r:id="rId9" w:history="1">
              <w:r w:rsidRPr="006E5D6D">
                <w:rPr>
                  <w:rStyle w:val="Hyperlink"/>
                  <w:i/>
                  <w:iCs/>
                  <w:szCs w:val="24"/>
                </w:rPr>
                <w:t>140 (Rev. Bucarest, 2022)</w:t>
              </w:r>
            </w:hyperlink>
            <w:r w:rsidRPr="006E5D6D">
              <w:rPr>
                <w:i/>
                <w:iCs/>
                <w:szCs w:val="24"/>
              </w:rPr>
              <w:t xml:space="preserve">, </w:t>
            </w:r>
            <w:hyperlink r:id="rId10" w:history="1">
              <w:r w:rsidRPr="006E5D6D">
                <w:rPr>
                  <w:rStyle w:val="Hyperlink"/>
                  <w:i/>
                  <w:iCs/>
                  <w:szCs w:val="24"/>
                </w:rPr>
                <w:t>200 (Rev. Bucarest, 2022)</w:t>
              </w:r>
            </w:hyperlink>
            <w:r w:rsidRPr="006E5D6D">
              <w:rPr>
                <w:i/>
                <w:iCs/>
                <w:szCs w:val="24"/>
              </w:rPr>
              <w:t xml:space="preserve">, </w:t>
            </w:r>
            <w:hyperlink r:id="rId11" w:history="1">
              <w:r w:rsidRPr="006E5D6D">
                <w:rPr>
                  <w:rStyle w:val="Hyperlink"/>
                  <w:i/>
                  <w:iCs/>
                  <w:szCs w:val="24"/>
                </w:rPr>
                <w:t>203</w:t>
              </w:r>
              <w:r w:rsidR="0049615D" w:rsidRPr="006E5D6D">
                <w:rPr>
                  <w:rStyle w:val="Hyperlink"/>
                  <w:i/>
                  <w:iCs/>
                  <w:szCs w:val="24"/>
                </w:rPr>
                <w:t> </w:t>
              </w:r>
              <w:r w:rsidRPr="006E5D6D">
                <w:rPr>
                  <w:rStyle w:val="Hyperlink"/>
                  <w:i/>
                  <w:iCs/>
                  <w:szCs w:val="24"/>
                </w:rPr>
                <w:t>(Rev.</w:t>
              </w:r>
              <w:r w:rsidR="0049615D" w:rsidRPr="006E5D6D">
                <w:rPr>
                  <w:rStyle w:val="Hyperlink"/>
                  <w:i/>
                  <w:iCs/>
                  <w:szCs w:val="24"/>
                </w:rPr>
                <w:t> </w:t>
              </w:r>
              <w:r w:rsidRPr="006E5D6D">
                <w:rPr>
                  <w:rStyle w:val="Hyperlink"/>
                  <w:i/>
                  <w:iCs/>
                  <w:szCs w:val="24"/>
                </w:rPr>
                <w:t>Bucarest, 2022)</w:t>
              </w:r>
            </w:hyperlink>
            <w:r w:rsidRPr="006E5D6D">
              <w:rPr>
                <w:i/>
                <w:iCs/>
                <w:szCs w:val="24"/>
              </w:rPr>
              <w:t xml:space="preserve">, y </w:t>
            </w:r>
            <w:hyperlink r:id="rId12" w:history="1">
              <w:r w:rsidRPr="006E5D6D">
                <w:rPr>
                  <w:rStyle w:val="Hyperlink"/>
                  <w:i/>
                  <w:iCs/>
                  <w:szCs w:val="24"/>
                </w:rPr>
                <w:t>218 (Bucarest, 2022)</w:t>
              </w:r>
            </w:hyperlink>
            <w:r w:rsidRPr="006E5D6D">
              <w:rPr>
                <w:i/>
                <w:iCs/>
                <w:szCs w:val="24"/>
              </w:rPr>
              <w:t xml:space="preserve"> de la Conferencia de Plenipotenciarios.</w:t>
            </w:r>
          </w:p>
        </w:tc>
      </w:tr>
      <w:bookmarkEnd w:id="0"/>
    </w:tbl>
    <w:p w14:paraId="495B3EA3" w14:textId="77777777" w:rsidR="00093EEB" w:rsidRPr="006E5D6D" w:rsidRDefault="00093EEB"/>
    <w:p w14:paraId="4C7EC975" w14:textId="77777777" w:rsidR="001559F5" w:rsidRPr="006E5D6D" w:rsidRDefault="001559F5">
      <w:pPr>
        <w:tabs>
          <w:tab w:val="clear" w:pos="567"/>
          <w:tab w:val="clear" w:pos="1134"/>
          <w:tab w:val="clear" w:pos="1701"/>
          <w:tab w:val="clear" w:pos="2268"/>
          <w:tab w:val="clear" w:pos="2835"/>
        </w:tabs>
        <w:overflowPunct/>
        <w:autoSpaceDE/>
        <w:autoSpaceDN/>
        <w:adjustRightInd/>
        <w:spacing w:before="0"/>
        <w:textAlignment w:val="auto"/>
      </w:pPr>
      <w:r w:rsidRPr="006E5D6D">
        <w:br w:type="page"/>
      </w:r>
    </w:p>
    <w:p w14:paraId="63091AF8" w14:textId="77777777" w:rsidR="002E0C2A" w:rsidRPr="002E0C2A" w:rsidRDefault="002E0C2A" w:rsidP="002E0C2A">
      <w:r w:rsidRPr="002E0C2A">
        <w:lastRenderedPageBreak/>
        <w:t>Desde 2018, 16 administraciones de la región de la Comunidad de África Meridional para el Desarrollo (SADC), a saber, Angola, Botswana, Comoras, República Democrática del Congo, Eswatini, Lesotho, Madagascar, Malawi, Mauricio, Mozambique, Namibia, República Unida de Tanzanía, Seychelles, Sudáfrica, Zambia y Zimbabwe, han planificado desarrollar un sistema regional compartido de satélites para prestar servicios básicos de telecomunicaciones, incluido el acceso a Internet, a las escuelas y aldeas de sus países.</w:t>
      </w:r>
    </w:p>
    <w:p w14:paraId="6F5C763B" w14:textId="77777777" w:rsidR="002E0C2A" w:rsidRPr="002E0C2A" w:rsidRDefault="002E0C2A" w:rsidP="002E0C2A">
      <w:r w:rsidRPr="002E0C2A">
        <w:t>La región de la SADC está formada por</w:t>
      </w:r>
      <w:r w:rsidRPr="002E0C2A">
        <w:rPr>
          <w:vertAlign w:val="superscript"/>
        </w:rPr>
        <w:footnoteReference w:id="1"/>
      </w:r>
      <w:r w:rsidRPr="002E0C2A">
        <w:t>:</w:t>
      </w:r>
    </w:p>
    <w:p w14:paraId="4930A2FB" w14:textId="7C72945F" w:rsidR="002E0C2A" w:rsidRPr="006E5D6D" w:rsidRDefault="002E0C2A" w:rsidP="002E0C2A">
      <w:pPr>
        <w:pStyle w:val="enumlev1"/>
      </w:pPr>
      <w:r w:rsidRPr="006E5D6D">
        <w:t>–</w:t>
      </w:r>
      <w:r w:rsidRPr="006E5D6D">
        <w:tab/>
        <w:t>nueve países calificados como países menos adelantados (PMA) por las Naciones Unidas, a saber, Angola, Comoras, República Democrática del Congo, Lesotho, Madagascar, Malawi, Mozambique, República Unida de Tanzanía y Zambia;</w:t>
      </w:r>
    </w:p>
    <w:p w14:paraId="69E9403D" w14:textId="4AC9E1F3" w:rsidR="002E0C2A" w:rsidRPr="006E5D6D" w:rsidRDefault="002E0C2A" w:rsidP="002E0C2A">
      <w:pPr>
        <w:pStyle w:val="enumlev1"/>
      </w:pPr>
      <w:r w:rsidRPr="006E5D6D">
        <w:t>–</w:t>
      </w:r>
      <w:r w:rsidRPr="006E5D6D">
        <w:tab/>
        <w:t>cuatro pequeños Estados insulares en desarrollo (PEID), a saber, Comoras, Madagascar, Mauricio y Seychelles; y</w:t>
      </w:r>
    </w:p>
    <w:p w14:paraId="345241D2" w14:textId="19530311" w:rsidR="002E0C2A" w:rsidRPr="006E5D6D" w:rsidRDefault="002E0C2A" w:rsidP="002E0C2A">
      <w:pPr>
        <w:pStyle w:val="enumlev1"/>
      </w:pPr>
      <w:r w:rsidRPr="006E5D6D">
        <w:t>–</w:t>
      </w:r>
      <w:r w:rsidRPr="006E5D6D">
        <w:tab/>
        <w:t>seis países en desarrollo sin litoral (PDSL), a saber, Botswana, Eswatini, Lesotho, Malawi, Zambia y Zimbabwe.</w:t>
      </w:r>
    </w:p>
    <w:p w14:paraId="52B3F113" w14:textId="77777777" w:rsidR="002E0C2A" w:rsidRPr="002E0C2A" w:rsidRDefault="002E0C2A" w:rsidP="002E0C2A">
      <w:r w:rsidRPr="002E0C2A">
        <w:t>Esta iniciativa está en consonancia con los objetivos de:</w:t>
      </w:r>
    </w:p>
    <w:p w14:paraId="5C34534C" w14:textId="006CCBFB" w:rsidR="002E0C2A" w:rsidRPr="006E5D6D" w:rsidRDefault="002E0C2A" w:rsidP="002E0C2A">
      <w:pPr>
        <w:pStyle w:val="enumlev1"/>
      </w:pPr>
      <w:r w:rsidRPr="006E5D6D">
        <w:t>–</w:t>
      </w:r>
      <w:r w:rsidRPr="006E5D6D">
        <w:tab/>
        <w:t xml:space="preserve">la </w:t>
      </w:r>
      <w:r w:rsidRPr="006E5D6D">
        <w:rPr>
          <w:b/>
          <w:bCs/>
        </w:rPr>
        <w:t>Resolución 30 (Rev. Bucarest, 2022)</w:t>
      </w:r>
      <w:r w:rsidRPr="006E5D6D">
        <w:t>, en la que se alienta a los PMA, PEID, PDSL y países con economías en transición a dar prioridad a los proyectos de tecnologías de la información y la comunicación (TIC) que promuevan el desarrollo socioeconómico y mejoren la conectividad internacional;</w:t>
      </w:r>
    </w:p>
    <w:p w14:paraId="5E6C6BF1" w14:textId="2AE8CAD2" w:rsidR="002E0C2A" w:rsidRPr="006E5D6D" w:rsidRDefault="002E0C2A" w:rsidP="002E0C2A">
      <w:pPr>
        <w:pStyle w:val="enumlev1"/>
      </w:pPr>
      <w:r w:rsidRPr="006E5D6D">
        <w:t>–</w:t>
      </w:r>
      <w:r w:rsidRPr="006E5D6D">
        <w:tab/>
        <w:t xml:space="preserve">la </w:t>
      </w:r>
      <w:r w:rsidRPr="006E5D6D">
        <w:rPr>
          <w:b/>
          <w:bCs/>
        </w:rPr>
        <w:t>Resolución 200 (Rev. Bucarest, 2022)</w:t>
      </w:r>
      <w:r w:rsidRPr="006E5D6D">
        <w:t>, en la que se invita a los Estados Miembros a contribuir a la aplicación de la Agenda Conectar 2030;</w:t>
      </w:r>
    </w:p>
    <w:p w14:paraId="0075D485" w14:textId="68E9316B" w:rsidR="002E0C2A" w:rsidRPr="006E5D6D" w:rsidRDefault="002E0C2A" w:rsidP="002E0C2A">
      <w:pPr>
        <w:pStyle w:val="enumlev1"/>
        <w:rPr>
          <w:bCs/>
        </w:rPr>
      </w:pPr>
      <w:r w:rsidRPr="006E5D6D">
        <w:t>–</w:t>
      </w:r>
      <w:r w:rsidRPr="006E5D6D">
        <w:tab/>
        <w:t xml:space="preserve">la </w:t>
      </w:r>
      <w:r w:rsidRPr="006E5D6D">
        <w:rPr>
          <w:b/>
          <w:bCs/>
        </w:rPr>
        <w:t>Resolución 203 (Rev. Bucarest, 2022)</w:t>
      </w:r>
      <w:r w:rsidRPr="006E5D6D">
        <w:t>, en la que se resuelve trabajar para ofrecer acceso universal a la banda ancha;</w:t>
      </w:r>
    </w:p>
    <w:p w14:paraId="4366AF3C" w14:textId="1ADE93F0" w:rsidR="002E0C2A" w:rsidRPr="006E5D6D" w:rsidRDefault="002E0C2A" w:rsidP="002E0C2A">
      <w:pPr>
        <w:pStyle w:val="enumlev1"/>
      </w:pPr>
      <w:r w:rsidRPr="006E5D6D">
        <w:t>–</w:t>
      </w:r>
      <w:r w:rsidRPr="006E5D6D">
        <w:tab/>
        <w:t xml:space="preserve">la </w:t>
      </w:r>
      <w:r w:rsidRPr="006E5D6D">
        <w:rPr>
          <w:b/>
          <w:bCs/>
        </w:rPr>
        <w:t>Resolución 218 (Bucarest, 2022),</w:t>
      </w:r>
      <w:r w:rsidRPr="006E5D6D">
        <w:t xml:space="preserve"> en la que se fomenta la participación en la Agenda "Espacio2030" y en las actuaciones en pro de los Objetivos de Desarrollo Sostenible (ODS); y</w:t>
      </w:r>
    </w:p>
    <w:p w14:paraId="555D5E20" w14:textId="34658817" w:rsidR="002E0C2A" w:rsidRPr="006E5D6D" w:rsidRDefault="002E0C2A" w:rsidP="002E0C2A">
      <w:pPr>
        <w:pStyle w:val="enumlev1"/>
      </w:pPr>
      <w:r w:rsidRPr="006E5D6D">
        <w:t>–</w:t>
      </w:r>
      <w:r w:rsidRPr="006E5D6D">
        <w:tab/>
        <w:t xml:space="preserve">los </w:t>
      </w:r>
      <w:r w:rsidRPr="006E5D6D">
        <w:rPr>
          <w:b/>
          <w:bCs/>
        </w:rPr>
        <w:t>ODS de las Naciones Unidas</w:t>
      </w:r>
      <w:r w:rsidRPr="006E5D6D">
        <w:t xml:space="preserve">, de alcance más amplio, y la </w:t>
      </w:r>
      <w:r w:rsidRPr="006E5D6D">
        <w:rPr>
          <w:b/>
          <w:bCs/>
        </w:rPr>
        <w:t>Agenda "Espacio2030"</w:t>
      </w:r>
      <w:r w:rsidRPr="006E5D6D">
        <w:t>.</w:t>
      </w:r>
    </w:p>
    <w:p w14:paraId="79F0C1F2" w14:textId="47CE5F99" w:rsidR="002E0C2A" w:rsidRPr="002E0C2A" w:rsidRDefault="002E0C2A" w:rsidP="002E0C2A">
      <w:r w:rsidRPr="002E0C2A">
        <w:t xml:space="preserve">Con la ayuda de la Oficina de Radiocomunicaciones de la UIT, estas 16 Administraciones han explorado diversas formas de asegurar una posición orbital adecuada para su sistema de satélites compartido. Se ha llegado a la conclusión de que la aplicación de la Resolución </w:t>
      </w:r>
      <w:r w:rsidRPr="002E0C2A">
        <w:rPr>
          <w:b/>
          <w:bCs/>
        </w:rPr>
        <w:t>170 (Rev.</w:t>
      </w:r>
      <w:r w:rsidR="003D4636" w:rsidRPr="006E5D6D">
        <w:rPr>
          <w:b/>
          <w:bCs/>
        </w:rPr>
        <w:t xml:space="preserve"> </w:t>
      </w:r>
      <w:r w:rsidRPr="002E0C2A">
        <w:rPr>
          <w:b/>
          <w:bCs/>
        </w:rPr>
        <w:t>CMR-23)</w:t>
      </w:r>
      <w:r w:rsidRPr="002E0C2A">
        <w:t xml:space="preserve"> ofrece más posibilidades de éxito que la aplicación de los procedimientos normales vigentes que figuran en los Artículos 9 y 11 para los servicios espaciales no planificados, los Apéndices </w:t>
      </w:r>
      <w:r w:rsidRPr="002E0C2A">
        <w:rPr>
          <w:b/>
          <w:bCs/>
        </w:rPr>
        <w:t xml:space="preserve">30 </w:t>
      </w:r>
      <w:r w:rsidRPr="002E0C2A">
        <w:t xml:space="preserve">y </w:t>
      </w:r>
      <w:r w:rsidRPr="002E0C2A">
        <w:rPr>
          <w:b/>
          <w:bCs/>
        </w:rPr>
        <w:t xml:space="preserve">30A </w:t>
      </w:r>
      <w:r w:rsidRPr="002E0C2A">
        <w:t xml:space="preserve">para los usos adicionales y el Apéndice </w:t>
      </w:r>
      <w:r w:rsidRPr="002E0C2A">
        <w:rPr>
          <w:b/>
          <w:bCs/>
        </w:rPr>
        <w:t xml:space="preserve">30B </w:t>
      </w:r>
      <w:r w:rsidRPr="002E0C2A">
        <w:t>para los sistemas adicionales.</w:t>
      </w:r>
      <w:bookmarkStart w:id="2" w:name="_Hlk198877849"/>
      <w:bookmarkEnd w:id="2"/>
    </w:p>
    <w:p w14:paraId="244D5654" w14:textId="77777777" w:rsidR="002E0C2A" w:rsidRPr="002E0C2A" w:rsidRDefault="002E0C2A" w:rsidP="002E0C2A">
      <w:r w:rsidRPr="002E0C2A">
        <w:t xml:space="preserve">Aunque los 16 Estados miembros de la SADC han desplegado grandes esfuerzos, contando incluso con la asistencia de la Oficina, sigue resultando muy complicado encontrar una posición orbital adecuada para aplicar la Resolución </w:t>
      </w:r>
      <w:r w:rsidRPr="002E0C2A">
        <w:rPr>
          <w:b/>
          <w:bCs/>
        </w:rPr>
        <w:t>170 (Rev. CMR-23)</w:t>
      </w:r>
      <w:r w:rsidRPr="002E0C2A">
        <w:t>, dado que sólo puede aplicarse una vez.</w:t>
      </w:r>
    </w:p>
    <w:p w14:paraId="45F5A045" w14:textId="7638B384" w:rsidR="002E0C2A" w:rsidRPr="002E0C2A" w:rsidRDefault="002E0C2A" w:rsidP="002E0C2A">
      <w:r w:rsidRPr="002E0C2A">
        <w:lastRenderedPageBreak/>
        <w:t xml:space="preserve">Habida cuenta del objetivo de la CMR-19 al adoptar la Resolución </w:t>
      </w:r>
      <w:r w:rsidRPr="002E0C2A">
        <w:rPr>
          <w:b/>
          <w:bCs/>
        </w:rPr>
        <w:t xml:space="preserve">170 </w:t>
      </w:r>
      <w:r w:rsidRPr="002E0C2A">
        <w:t>y de la imposibilidad de seleccionar una única posición orbital óptima sin iniciar la coordinación de frecuencias con las Administraciones potencialmente afectadas, los 16 Estados miembros de la SADC presentaron una solicitud (</w:t>
      </w:r>
      <w:hyperlink r:id="rId13" w:history="1">
        <w:r w:rsidR="003D4636" w:rsidRPr="006E5D6D">
          <w:rPr>
            <w:rStyle w:val="Hyperlink"/>
          </w:rPr>
          <w:t>https://www.itu.int/md/R24-RRB24.3-C-0019/es</w:t>
        </w:r>
      </w:hyperlink>
      <w:r w:rsidRPr="002E0C2A">
        <w:t>) a la Junta del Reglamento de Radiocomunicaciones (RRB) en su 97ª reunión para que la Administración de Angola, actuando en nombre de las Administraciones de los 16 Estados miembros de la SADC, pudiera presentar ocho (8) notificaciones de coordinación. La RRB ha accedido a esa petición (</w:t>
      </w:r>
      <w:hyperlink r:id="rId14" w:history="1">
        <w:r w:rsidRPr="002E0C2A">
          <w:rPr>
            <w:rStyle w:val="Hyperlink"/>
          </w:rPr>
          <w:t>https://www.itu.int/md/R24-RRB24.3-C-0023/e</w:t>
        </w:r>
        <w:r w:rsidR="003D4636" w:rsidRPr="006E5D6D">
          <w:rPr>
            <w:rStyle w:val="Hyperlink"/>
          </w:rPr>
          <w:t>s</w:t>
        </w:r>
      </w:hyperlink>
      <w:r w:rsidRPr="002E0C2A">
        <w:t>).</w:t>
      </w:r>
    </w:p>
    <w:p w14:paraId="7B12430A" w14:textId="277EA1CF" w:rsidR="002E0C2A" w:rsidRPr="002E0C2A" w:rsidRDefault="002E0C2A" w:rsidP="002E0C2A">
      <w:r w:rsidRPr="002E0C2A">
        <w:t xml:space="preserve">El Grupo de Expertos sobre el Acuerdo </w:t>
      </w:r>
      <w:r w:rsidRPr="002E0C2A">
        <w:rPr>
          <w:b/>
          <w:bCs/>
        </w:rPr>
        <w:t>482</w:t>
      </w:r>
      <w:r w:rsidRPr="002E0C2A">
        <w:t xml:space="preserve"> (GE-Acuerdo482), en su informe final al Consejo de la UIT (Documento </w:t>
      </w:r>
      <w:hyperlink r:id="rId15" w:history="1">
        <w:r w:rsidRPr="002E0C2A">
          <w:rPr>
            <w:rStyle w:val="Hyperlink"/>
          </w:rPr>
          <w:t>C25/10</w:t>
        </w:r>
      </w:hyperlink>
      <w:r w:rsidRPr="002E0C2A">
        <w:t xml:space="preserve">), indicó que las notificaciones presentadas en virtud de la Resolución </w:t>
      </w:r>
      <w:r w:rsidRPr="002E0C2A">
        <w:rPr>
          <w:b/>
          <w:bCs/>
        </w:rPr>
        <w:t>170</w:t>
      </w:r>
      <w:r w:rsidRPr="002E0C2A">
        <w:t xml:space="preserve"> pueden optar a la gratuidad anual. Por consiguiente, la región de la SADC debe abonar las tasas de recuperación de costes de las siete (7) notificaciones de coordinación restantes.</w:t>
      </w:r>
    </w:p>
    <w:p w14:paraId="06A2DDE2" w14:textId="77777777" w:rsidR="002E0C2A" w:rsidRPr="002E0C2A" w:rsidRDefault="002E0C2A" w:rsidP="002E0C2A">
      <w:r w:rsidRPr="002E0C2A">
        <w:t>Sin embargo, este requisito se deriva de la imposibilidad técnica de seleccionar una única posición orbital adecuada, hecho reconocido por la RRB. Además:</w:t>
      </w:r>
    </w:p>
    <w:p w14:paraId="3126D555" w14:textId="7B78B00C" w:rsidR="002E0C2A" w:rsidRPr="006E5D6D" w:rsidRDefault="003D4636" w:rsidP="002E0C2A">
      <w:pPr>
        <w:pStyle w:val="enumlev1"/>
      </w:pPr>
      <w:r w:rsidRPr="006E5D6D">
        <w:rPr>
          <w:rFonts w:eastAsia="Calibri"/>
        </w:rPr>
        <w:t>•</w:t>
      </w:r>
      <w:r w:rsidRPr="006E5D6D">
        <w:rPr>
          <w:rFonts w:eastAsia="Calibri"/>
        </w:rPr>
        <w:tab/>
      </w:r>
      <w:r w:rsidR="00510668" w:rsidRPr="006E5D6D">
        <w:t>e</w:t>
      </w:r>
      <w:r w:rsidR="002E0C2A" w:rsidRPr="006E5D6D">
        <w:t xml:space="preserve">l total de ocho (8) notificaciones de coordinación en virtud de la Resolución </w:t>
      </w:r>
      <w:r w:rsidR="002E0C2A" w:rsidRPr="006E5D6D">
        <w:rPr>
          <w:b/>
          <w:bCs/>
        </w:rPr>
        <w:t>170 (Rev.</w:t>
      </w:r>
      <w:r w:rsidR="002B531F" w:rsidRPr="006E5D6D">
        <w:rPr>
          <w:b/>
          <w:bCs/>
        </w:rPr>
        <w:t> </w:t>
      </w:r>
      <w:r w:rsidR="002E0C2A" w:rsidRPr="006E5D6D">
        <w:rPr>
          <w:b/>
          <w:bCs/>
        </w:rPr>
        <w:t>CMR-23)</w:t>
      </w:r>
      <w:r w:rsidR="002E0C2A" w:rsidRPr="006E5D6D">
        <w:t xml:space="preserve"> está muy por debajo del límite de 16 administraciones participantes, cada una de las cuales tiene derecho a una notificación gratuita al año; y</w:t>
      </w:r>
    </w:p>
    <w:p w14:paraId="39D2FA7E" w14:textId="7F261EEA" w:rsidR="002E0C2A" w:rsidRPr="006E5D6D" w:rsidRDefault="003D4636" w:rsidP="002E0C2A">
      <w:pPr>
        <w:pStyle w:val="enumlev1"/>
      </w:pPr>
      <w:r w:rsidRPr="006E5D6D">
        <w:rPr>
          <w:rFonts w:eastAsia="Calibri"/>
        </w:rPr>
        <w:t>•</w:t>
      </w:r>
      <w:r w:rsidRPr="006E5D6D">
        <w:rPr>
          <w:rFonts w:eastAsia="Calibri"/>
        </w:rPr>
        <w:tab/>
      </w:r>
      <w:r w:rsidR="00510668" w:rsidRPr="006E5D6D">
        <w:t>l</w:t>
      </w:r>
      <w:r w:rsidR="002E0C2A" w:rsidRPr="006E5D6D">
        <w:t xml:space="preserve">a aplicación de la recuperación de costes en este contexto, especialmente para las iniciativas en favor de los PMA, los PEID y los PDSL, socava el compromiso de la UIT con el acceso equitativo a las órbitas de los satélites y las necesidades especiales de los países en desarrollo, como se establece en la Resolución </w:t>
      </w:r>
      <w:r w:rsidR="002E0C2A" w:rsidRPr="006E5D6D">
        <w:rPr>
          <w:b/>
          <w:bCs/>
        </w:rPr>
        <w:t>218 (Bucarest, 2022)</w:t>
      </w:r>
      <w:r w:rsidR="002E0C2A" w:rsidRPr="006E5D6D">
        <w:t xml:space="preserve"> de la Conferencia de Plenipotenciarios.</w:t>
      </w:r>
    </w:p>
    <w:p w14:paraId="6DE07ABA" w14:textId="77777777" w:rsidR="002E0C2A" w:rsidRPr="006E5D6D" w:rsidRDefault="002E0C2A" w:rsidP="002E0C2A">
      <w:pPr>
        <w:pStyle w:val="Headingb"/>
      </w:pPr>
      <w:r w:rsidRPr="006E5D6D">
        <w:t>Propuesta:</w:t>
      </w:r>
    </w:p>
    <w:p w14:paraId="1905081E" w14:textId="6E00C2E3" w:rsidR="00F92BED" w:rsidRPr="006E5D6D" w:rsidRDefault="002E0C2A" w:rsidP="002E0C2A">
      <w:r w:rsidRPr="006E5D6D">
        <w:t xml:space="preserve">Teniendo en cuenta lo anterior, los cosignatarios solicitan respetuosamente al Consejo </w:t>
      </w:r>
      <w:r w:rsidR="00510668" w:rsidRPr="006E5D6D">
        <w:br/>
      </w:r>
      <w:r w:rsidRPr="006E5D6D">
        <w:t>de la UIT que se exonere del pago de la tasa de recuperación de costes para siete (7) notificaciones de coordinación en virtud de la Resolución 170 (Rev. CMR-23), ya que serán presentadas por la Administración de Angola en nombre de 16 Estados miembros de la</w:t>
      </w:r>
      <w:r w:rsidR="00510668" w:rsidRPr="006E5D6D">
        <w:t> </w:t>
      </w:r>
      <w:r w:rsidRPr="006E5D6D">
        <w:t>SADC.</w:t>
      </w:r>
    </w:p>
    <w:p w14:paraId="71152323" w14:textId="77777777" w:rsidR="00F92BED" w:rsidRPr="006E5D6D" w:rsidRDefault="00F92BED" w:rsidP="0032202E">
      <w:pPr>
        <w:pStyle w:val="Reasons"/>
      </w:pPr>
    </w:p>
    <w:p w14:paraId="52F1F76A" w14:textId="77777777" w:rsidR="00F92BED" w:rsidRPr="00F92BED" w:rsidRDefault="00F92BED" w:rsidP="00F92BED">
      <w:pPr>
        <w:jc w:val="center"/>
      </w:pPr>
      <w:r w:rsidRPr="006E5D6D">
        <w:t>______________</w:t>
      </w:r>
    </w:p>
    <w:sectPr w:rsidR="00F92BED" w:rsidRPr="00F92BED" w:rsidSect="00C538FC">
      <w:headerReference w:type="first" r:id="rId16"/>
      <w:footerReference w:type="first" r:id="rId1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D450F" w14:textId="77777777" w:rsidR="002E0C2A" w:rsidRDefault="002E0C2A">
      <w:r>
        <w:separator/>
      </w:r>
    </w:p>
  </w:endnote>
  <w:endnote w:type="continuationSeparator" w:id="0">
    <w:p w14:paraId="437E012C" w14:textId="77777777" w:rsidR="002E0C2A" w:rsidRDefault="002E0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CD6A272" w14:textId="77777777" w:rsidTr="00E31DCE">
      <w:trPr>
        <w:jc w:val="center"/>
      </w:trPr>
      <w:tc>
        <w:tcPr>
          <w:tcW w:w="1803" w:type="dxa"/>
          <w:vAlign w:val="center"/>
        </w:tcPr>
        <w:p w14:paraId="6E3395FD" w14:textId="77777777" w:rsidR="00F24B71" w:rsidRPr="002946E2" w:rsidRDefault="002946E2" w:rsidP="00F24B71">
          <w:pPr>
            <w:pStyle w:val="Header"/>
            <w:jc w:val="left"/>
            <w:rPr>
              <w:noProof/>
            </w:rPr>
          </w:pPr>
          <w:hyperlink r:id="rId1" w:history="1">
            <w:r w:rsidRPr="002946E2">
              <w:rPr>
                <w:rStyle w:val="Hyperlink"/>
                <w:noProof/>
                <w:color w:val="4F81BD" w:themeColor="accent1"/>
                <w:u w:val="none"/>
              </w:rPr>
              <w:t>council.itu.int/2025</w:t>
            </w:r>
          </w:hyperlink>
          <w:r w:rsidRPr="002946E2">
            <w:rPr>
              <w:noProof/>
            </w:rPr>
            <w:t xml:space="preserve"> </w:t>
          </w:r>
        </w:p>
      </w:tc>
      <w:tc>
        <w:tcPr>
          <w:tcW w:w="8261" w:type="dxa"/>
        </w:tcPr>
        <w:p w14:paraId="4C0DE9FE" w14:textId="46759EDA" w:rsidR="00F24B71" w:rsidRPr="00E06FD5" w:rsidRDefault="00F24B71"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2E0C2A">
            <w:rPr>
              <w:bCs/>
            </w:rPr>
            <w:t>82</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6122BBD7"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D8788" w14:textId="77777777" w:rsidR="002E0C2A" w:rsidRDefault="002E0C2A">
      <w:r>
        <w:t>____________________</w:t>
      </w:r>
    </w:p>
  </w:footnote>
  <w:footnote w:type="continuationSeparator" w:id="0">
    <w:p w14:paraId="61F44F22" w14:textId="77777777" w:rsidR="002E0C2A" w:rsidRDefault="002E0C2A">
      <w:r>
        <w:continuationSeparator/>
      </w:r>
    </w:p>
  </w:footnote>
  <w:footnote w:id="1">
    <w:p w14:paraId="0F8369D9" w14:textId="698831C1" w:rsidR="002E0C2A" w:rsidRPr="002E0C2A" w:rsidRDefault="002E0C2A" w:rsidP="002E0C2A">
      <w:pPr>
        <w:pStyle w:val="FootnoteText"/>
        <w:rPr>
          <w:szCs w:val="24"/>
          <w:lang w:val="es-ES"/>
        </w:rPr>
      </w:pPr>
      <w:r w:rsidRPr="002E0C2A">
        <w:rPr>
          <w:rStyle w:val="FootnoteReference"/>
        </w:rPr>
        <w:footnoteRef/>
      </w:r>
      <w:r>
        <w:rPr>
          <w:lang w:val="es-ES"/>
        </w:rPr>
        <w:tab/>
      </w:r>
      <w:r w:rsidRPr="003D4636">
        <w:rPr>
          <w:i/>
          <w:iCs/>
        </w:rPr>
        <w:t>Algunos países pertenecen a más de una categoría y Namibia no pertenece a ninguna de las tres clases.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666D09" w:rsidRPr="00784011" w14:paraId="0B6A5173" w14:textId="77777777" w:rsidTr="00666D09">
      <w:trPr>
        <w:trHeight w:val="1104"/>
        <w:jc w:val="center"/>
      </w:trPr>
      <w:tc>
        <w:tcPr>
          <w:tcW w:w="5998" w:type="dxa"/>
          <w:vAlign w:val="center"/>
        </w:tcPr>
        <w:p w14:paraId="679B0561" w14:textId="77777777" w:rsidR="00666D09" w:rsidRDefault="00666D09" w:rsidP="001559F5">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074CDD94" wp14:editId="2ADD2CB7">
                <wp:extent cx="3672000" cy="612867"/>
                <wp:effectExtent l="0" t="0" r="0" b="0"/>
                <wp:docPr id="120070386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412A361A" w14:textId="77777777" w:rsidR="00666D09" w:rsidRDefault="00666D09" w:rsidP="001559F5">
          <w:pPr>
            <w:pStyle w:val="Header"/>
            <w:jc w:val="right"/>
            <w:rPr>
              <w:rFonts w:ascii="Arial" w:hAnsi="Arial" w:cs="Arial"/>
              <w:b/>
              <w:bCs/>
              <w:color w:val="009CD6"/>
              <w:szCs w:val="18"/>
            </w:rPr>
          </w:pPr>
        </w:p>
      </w:tc>
    </w:tr>
  </w:tbl>
  <w:p w14:paraId="08C35FA1"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20939EE" wp14:editId="370023F2">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C3ABE"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wK/AEAANkDAAAOAAAAZHJzL2Uyb0RvYy54bWysU8GO0zAQvSPxD5bvNElpu9uo6WrVahHS&#10;AisWPsB1nMTC8Zix27R8PWOnWwrcEBfL45l5fu95vLo79oYdFHoNtuLFJOdMWQm1tm3Fv355eHPL&#10;mQ/C1sKAVRU/Kc/v1q9frQZXqil0YGqFjECsLwdX8S4EV2aZl53qhZ+AU5aSDWAvAoXYZjWKgdB7&#10;k03zfJENgLVDkMp7Ot2OSb5O+E2jZPjUNF4FZipO3EJaMa27uGbrlShbFK7T8kxD/AOLXmhLl16g&#10;tiIItkf9F1SvJYKHJkwk9Bk0jZYqaSA1Rf6HmudOOJW0kDneXWzy/w9Wfjw8IdN1xeecWdHTE30m&#10;04RtjWLzaM/gfElVz+4Jo0DvHkF+88zCpqMqdY8IQ6dETaSKWJ/91hADT61sN3yAmtDFPkBy6thg&#10;HwHJA3ZMD3K6PIg6BibpcDnNb4iXpMzbRb64Te+VifKl16EP7xT0LG4qjsQ8YYvDow+RiyhfShJ3&#10;MLp+0MakANvdxiA7iDga+XKzTXKpxV+XGRuLLcS2ETGeJJFR1+jPDuoTaUQY54v+A206wB+cDTRb&#10;Ffff9wIVZ+a9JZ+WxWwWhzEFs/nNlAK8zuyuM8JKgqp44GzcbsI4wHuHuu3opiKJtnBP3jY6CY++&#10;j6zOZGl+kh/nWY8Deh2nql8/cv0TAAD//wMAUEsDBBQABgAIAAAAIQB4hKAw3wAAAAgBAAAPAAAA&#10;ZHJzL2Rvd25yZXYueG1sTI9BT8JAEIXvJv6HzZh4k11qBK3dEmL0QPCAyIXb0h3bQne2dgco/nq3&#10;Jz1NZt7Lm+9ls9414oRdqD1pGI8UCKTC25pKDZvPt7tHEIENWdN4Qg0XDDDLr68yk1p/pg88rbkU&#10;MYRCajRUzG0qZSgqdCaMfIsUtS/fOcNx7UppO3OO4a6RiVIT6UxN8UNlWnypsDisj04Db5Nyelkt&#10;Odm8Lr/f94tF/WO3Wt/e9PNnEIw9/5lhwI/okEemnT+SDaLRkMQmHM/q/gnEoE8eQOyGqaYg80z+&#10;L5D/AgAA//8DAFBLAQItABQABgAIAAAAIQC2gziS/gAAAOEBAAATAAAAAAAAAAAAAAAAAAAAAABb&#10;Q29udGVudF9UeXBlc10ueG1sUEsBAi0AFAAGAAgAAAAhADj9If/WAAAAlAEAAAsAAAAAAAAAAAAA&#10;AAAALwEAAF9yZWxzLy5yZWxzUEsBAi0AFAAGAAgAAAAhACsZXAr8AQAA2QMAAA4AAAAAAAAAAAAA&#10;AAAALgIAAGRycy9lMm9Eb2MueG1sUEsBAi0AFAAGAAgAAAAhAHiEoDDfAAAACAEAAA8AAAAAAAAA&#10;AAAAAAAAVgQAAGRycy9kb3ducmV2LnhtbFBLBQYAAAAABAAEAPMAAABi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95E1C"/>
    <w:multiLevelType w:val="multilevel"/>
    <w:tmpl w:val="2694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B36867"/>
    <w:multiLevelType w:val="hybridMultilevel"/>
    <w:tmpl w:val="03A6549E"/>
    <w:lvl w:ilvl="0" w:tplc="D4F0AAB2">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8538235">
    <w:abstractNumId w:val="1"/>
  </w:num>
  <w:num w:numId="2" w16cid:durableId="1371147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C2A"/>
    <w:rsid w:val="000007D1"/>
    <w:rsid w:val="0006007D"/>
    <w:rsid w:val="00093EEB"/>
    <w:rsid w:val="000B0D00"/>
    <w:rsid w:val="000B7C15"/>
    <w:rsid w:val="000D1D0F"/>
    <w:rsid w:val="000E3F07"/>
    <w:rsid w:val="000F5290"/>
    <w:rsid w:val="0010165C"/>
    <w:rsid w:val="00146BFB"/>
    <w:rsid w:val="001559F5"/>
    <w:rsid w:val="00157AC4"/>
    <w:rsid w:val="0016169C"/>
    <w:rsid w:val="001B6E2B"/>
    <w:rsid w:val="001F14A2"/>
    <w:rsid w:val="002801AA"/>
    <w:rsid w:val="002946E2"/>
    <w:rsid w:val="002B531F"/>
    <w:rsid w:val="002C3F32"/>
    <w:rsid w:val="002C4676"/>
    <w:rsid w:val="002C70B0"/>
    <w:rsid w:val="002E0C2A"/>
    <w:rsid w:val="002F3CC4"/>
    <w:rsid w:val="003032E2"/>
    <w:rsid w:val="0031300A"/>
    <w:rsid w:val="003273A4"/>
    <w:rsid w:val="0034796E"/>
    <w:rsid w:val="00365074"/>
    <w:rsid w:val="003D4636"/>
    <w:rsid w:val="00473962"/>
    <w:rsid w:val="0049615D"/>
    <w:rsid w:val="004B5D49"/>
    <w:rsid w:val="004D3A3C"/>
    <w:rsid w:val="00506786"/>
    <w:rsid w:val="00510668"/>
    <w:rsid w:val="00513630"/>
    <w:rsid w:val="00560125"/>
    <w:rsid w:val="00585553"/>
    <w:rsid w:val="005B34D9"/>
    <w:rsid w:val="005D0CCF"/>
    <w:rsid w:val="005F3BCB"/>
    <w:rsid w:val="005F410F"/>
    <w:rsid w:val="0060149A"/>
    <w:rsid w:val="00601924"/>
    <w:rsid w:val="006447EA"/>
    <w:rsid w:val="0064481D"/>
    <w:rsid w:val="0064731F"/>
    <w:rsid w:val="00664572"/>
    <w:rsid w:val="00666D09"/>
    <w:rsid w:val="006710F6"/>
    <w:rsid w:val="00677A97"/>
    <w:rsid w:val="006C1B56"/>
    <w:rsid w:val="006D4761"/>
    <w:rsid w:val="006E5D6D"/>
    <w:rsid w:val="00726872"/>
    <w:rsid w:val="00760F1C"/>
    <w:rsid w:val="007657F0"/>
    <w:rsid w:val="0077110E"/>
    <w:rsid w:val="0077252D"/>
    <w:rsid w:val="007955DA"/>
    <w:rsid w:val="007E5DD3"/>
    <w:rsid w:val="007F350B"/>
    <w:rsid w:val="00820BE4"/>
    <w:rsid w:val="008451E8"/>
    <w:rsid w:val="008F6ABC"/>
    <w:rsid w:val="00913B9C"/>
    <w:rsid w:val="00927F93"/>
    <w:rsid w:val="00956E77"/>
    <w:rsid w:val="009A338E"/>
    <w:rsid w:val="009F4811"/>
    <w:rsid w:val="00A94438"/>
    <w:rsid w:val="00AA390C"/>
    <w:rsid w:val="00B0200A"/>
    <w:rsid w:val="00B060DF"/>
    <w:rsid w:val="00B574DB"/>
    <w:rsid w:val="00B826C2"/>
    <w:rsid w:val="00B8298E"/>
    <w:rsid w:val="00BB6FD8"/>
    <w:rsid w:val="00BD0723"/>
    <w:rsid w:val="00BD2518"/>
    <w:rsid w:val="00BF1D1C"/>
    <w:rsid w:val="00BF7131"/>
    <w:rsid w:val="00C20C59"/>
    <w:rsid w:val="00C2727F"/>
    <w:rsid w:val="00C538FC"/>
    <w:rsid w:val="00C55B1F"/>
    <w:rsid w:val="00CF1A67"/>
    <w:rsid w:val="00D2750E"/>
    <w:rsid w:val="00D375E0"/>
    <w:rsid w:val="00D50A36"/>
    <w:rsid w:val="00D62446"/>
    <w:rsid w:val="00DA4EA2"/>
    <w:rsid w:val="00DC3D3E"/>
    <w:rsid w:val="00DE2C90"/>
    <w:rsid w:val="00DE3B24"/>
    <w:rsid w:val="00E06947"/>
    <w:rsid w:val="00E11319"/>
    <w:rsid w:val="00E21444"/>
    <w:rsid w:val="00E34072"/>
    <w:rsid w:val="00E3592D"/>
    <w:rsid w:val="00E50D76"/>
    <w:rsid w:val="00E8018B"/>
    <w:rsid w:val="00E92DE8"/>
    <w:rsid w:val="00EB1212"/>
    <w:rsid w:val="00ED65AB"/>
    <w:rsid w:val="00F12850"/>
    <w:rsid w:val="00F24B71"/>
    <w:rsid w:val="00F33BF4"/>
    <w:rsid w:val="00F7105E"/>
    <w:rsid w:val="00F75F57"/>
    <w:rsid w:val="00F82FEE"/>
    <w:rsid w:val="00F92BED"/>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5E977F"/>
  <w15:docId w15:val="{079D1911-C298-4817-B5B8-1A1751A68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2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styleId="UnresolvedMention">
    <w:name w:val="Unresolved Mention"/>
    <w:basedOn w:val="DefaultParagraphFont"/>
    <w:uiPriority w:val="99"/>
    <w:semiHidden/>
    <w:unhideWhenUsed/>
    <w:rsid w:val="00294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030-S.pdf" TargetMode="External"/><Relationship Id="rId13" Type="http://schemas.openxmlformats.org/officeDocument/2006/relationships/hyperlink" Target="https://www.itu.int/md/R24-RRB24.3-C-0019/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oosa.org/oosa/oosadoc/data/resolutions/2021/general_assembly_76th_session/ares763.html" TargetMode="External"/><Relationship Id="rId12" Type="http://schemas.openxmlformats.org/officeDocument/2006/relationships/hyperlink" Target="https://www.itu.int/en/council/Documents/basic-texts-2023/RES-218-S.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council/Documents/basic-texts-2023/RES-203-S.pdf" TargetMode="External"/><Relationship Id="rId5" Type="http://schemas.openxmlformats.org/officeDocument/2006/relationships/footnotes" Target="footnotes.xml"/><Relationship Id="rId15" Type="http://schemas.openxmlformats.org/officeDocument/2006/relationships/hyperlink" Target="https://www.itu.int/md/S25-CL-C-0010/es" TargetMode="External"/><Relationship Id="rId10" Type="http://schemas.openxmlformats.org/officeDocument/2006/relationships/hyperlink" Target="https://www.itu.int/en/council/Documents/basic-texts-2023/RES-200-S.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en/council/Documents/basic-texts-2023/RES-140-S.pdf" TargetMode="External"/><Relationship Id="rId14" Type="http://schemas.openxmlformats.org/officeDocument/2006/relationships/hyperlink" Target="https://www.itu.int/md/R24-RRB24.3-C-0023/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GS\PS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PS_Council25.dotx</Template>
  <TotalTime>1</TotalTime>
  <Pages>3</Pages>
  <Words>937</Words>
  <Characters>5952</Characters>
  <Application>Microsoft Office Word</Application>
  <DocSecurity>0</DocSecurity>
  <Lines>49</Lines>
  <Paragraphs>13</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6876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Contribución multipaís - Propuesta de exoneración de pago de la tasa de recuperación de costes para siete notificaciones en virtud de la Resolución 170 (Rev. CMR-23), presentada por la Administración de Angola en nombre de 16 Estados Miembros de la SADC</dc:title>
  <dc:subject>ITU Council 2025</dc:subject>
  <dc:creator>TSB (RC)</dc:creator>
  <cp:keywords>C2025, C25, Council-25</cp:keywords>
  <dc:description/>
  <cp:lastModifiedBy>GBS</cp:lastModifiedBy>
  <cp:revision>2</cp:revision>
  <cp:lastPrinted>2006-03-24T09:51:00Z</cp:lastPrinted>
  <dcterms:created xsi:type="dcterms:W3CDTF">2025-06-12T11:24:00Z</dcterms:created>
  <dcterms:modified xsi:type="dcterms:W3CDTF">2025-06-12T11:24:00Z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