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1BC07CD4" w:rsidR="00796BD3" w:rsidRPr="00E8562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1D0B04">
              <w:rPr>
                <w:b/>
              </w:rPr>
              <w:t xml:space="preserve"> </w:t>
            </w:r>
            <w:r w:rsidR="001D0B04" w:rsidRPr="00641135">
              <w:rPr>
                <w:b/>
                <w:szCs w:val="22"/>
              </w:rPr>
              <w:t>ADM 1</w:t>
            </w:r>
          </w:p>
        </w:tc>
        <w:tc>
          <w:tcPr>
            <w:tcW w:w="5245" w:type="dxa"/>
          </w:tcPr>
          <w:p w14:paraId="6297DF48" w14:textId="21B2AA1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1D0B04">
              <w:rPr>
                <w:b/>
              </w:rPr>
              <w:t>82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14C83F75" w:rsidR="00796BD3" w:rsidRPr="00E85629" w:rsidRDefault="001D0B04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D0B04">
              <w:rPr>
                <w:b/>
                <w:szCs w:val="22"/>
              </w:rPr>
              <w:t>2 июня 2025 года</w:t>
            </w:r>
          </w:p>
        </w:tc>
      </w:tr>
      <w:tr w:rsidR="00796BD3" w:rsidRPr="00813E5E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ED5131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2603C84E" w:rsidR="00796BD3" w:rsidRPr="00ED5131" w:rsidRDefault="001D0B04" w:rsidP="00DA770A">
            <w:pPr>
              <w:pStyle w:val="Source"/>
              <w:jc w:val="left"/>
              <w:rPr>
                <w:rFonts w:cstheme="minorHAnsi"/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D0B04">
              <w:rPr>
                <w:rFonts w:cstheme="minorHAnsi"/>
                <w:sz w:val="32"/>
                <w:szCs w:val="32"/>
                <w:lang w:val="ru-RU"/>
              </w:rPr>
              <w:t>Вклад Анголы, Ботсваны, Коморских Островов, Эсватини, Лесото, Мадагаскара, Малави, Маврикия, Мозамбика, Намибии, Демократической Республики Конго, Сейшельских Островов, Южной Африки, Танзании, Замбии и Зимбабве</w:t>
            </w:r>
          </w:p>
        </w:tc>
      </w:tr>
      <w:tr w:rsidR="00796BD3" w:rsidRPr="001D0B04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5F385542" w:rsidR="00796BD3" w:rsidRPr="001D0B04" w:rsidRDefault="001D0B04" w:rsidP="00731B05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99853548"/>
            <w:bookmarkStart w:id="7" w:name="dtitle1" w:colFirst="0" w:colLast="0"/>
            <w:bookmarkEnd w:id="5"/>
            <w:r w:rsidRPr="001D0B04">
              <w:rPr>
                <w:sz w:val="32"/>
                <w:szCs w:val="32"/>
                <w:lang w:val="ru-RU"/>
              </w:rPr>
              <w:t>Предложение освободить семь запросов о координации, подаваемых администрацией Анголы от имени 16</w:t>
            </w:r>
            <w:r w:rsidRPr="001D0B04">
              <w:rPr>
                <w:sz w:val="32"/>
                <w:szCs w:val="32"/>
              </w:rPr>
              <w:t> </w:t>
            </w:r>
            <w:r w:rsidR="00E56B5D">
              <w:rPr>
                <w:sz w:val="32"/>
                <w:szCs w:val="32"/>
                <w:lang w:val="ru-RU"/>
              </w:rPr>
              <w:t>г</w:t>
            </w:r>
            <w:r w:rsidRPr="001D0B04">
              <w:rPr>
                <w:sz w:val="32"/>
                <w:szCs w:val="32"/>
                <w:lang w:val="ru-RU"/>
              </w:rPr>
              <w:t xml:space="preserve">осударств − </w:t>
            </w:r>
            <w:r w:rsidR="00E56B5D">
              <w:rPr>
                <w:sz w:val="32"/>
                <w:szCs w:val="32"/>
                <w:lang w:val="ru-RU"/>
              </w:rPr>
              <w:t>ч</w:t>
            </w:r>
            <w:r w:rsidRPr="001D0B04">
              <w:rPr>
                <w:sz w:val="32"/>
                <w:szCs w:val="32"/>
                <w:lang w:val="ru-RU"/>
              </w:rPr>
              <w:t>ленов САДК в соответствии с</w:t>
            </w:r>
            <w:r w:rsidRPr="001D0B04">
              <w:rPr>
                <w:sz w:val="32"/>
                <w:szCs w:val="32"/>
              </w:rPr>
              <w:t> </w:t>
            </w:r>
            <w:r w:rsidRPr="001D0B04">
              <w:rPr>
                <w:sz w:val="32"/>
                <w:szCs w:val="32"/>
                <w:lang w:val="ru-RU"/>
              </w:rPr>
              <w:t>Резолюцией</w:t>
            </w:r>
            <w:r w:rsidRPr="001D0B04">
              <w:rPr>
                <w:sz w:val="32"/>
                <w:szCs w:val="32"/>
              </w:rPr>
              <w:t> </w:t>
            </w:r>
            <w:r w:rsidRPr="001D0B04">
              <w:rPr>
                <w:sz w:val="32"/>
                <w:szCs w:val="32"/>
                <w:lang w:val="ru-RU"/>
              </w:rPr>
              <w:t>170 (Пересм. ВКР-23), от сбора в счет возмещения затрат</w:t>
            </w:r>
            <w:bookmarkEnd w:id="6"/>
          </w:p>
        </w:tc>
      </w:tr>
      <w:tr w:rsidR="00796BD3" w:rsidRPr="001D0B04" w14:paraId="64320A1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5B8E7CF" w:rsidR="00796BD3" w:rsidRPr="0014229E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es-ES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17C122A9" w:rsidR="00796BD3" w:rsidRPr="001D0B04" w:rsidRDefault="001D0B04" w:rsidP="00DA770A">
            <w:pPr>
              <w:rPr>
                <w:lang w:val="ru-RU"/>
              </w:rPr>
            </w:pPr>
            <w:r w:rsidRPr="001D0B04">
              <w:rPr>
                <w:lang w:val="ru-RU"/>
              </w:rPr>
              <w:t xml:space="preserve">Предложить освободить семь (7) запросов о координации, подаваемых в соответствии с Резолюцией </w:t>
            </w:r>
            <w:r w:rsidRPr="001D0B04">
              <w:rPr>
                <w:b/>
                <w:bCs/>
                <w:lang w:val="ru-RU"/>
              </w:rPr>
              <w:t>170 (Пересм. ВКР-23)</w:t>
            </w:r>
            <w:r w:rsidRPr="001D0B04">
              <w:rPr>
                <w:lang w:val="ru-RU"/>
              </w:rPr>
              <w:t>, от сбора в счет возмещения затрат, поскольку они будут поданы администрацией Анголы от имени 16 государств − членов САДК.</w:t>
            </w:r>
          </w:p>
          <w:p w14:paraId="2376E3C8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180D24E2" w:rsidR="00796BD3" w:rsidRPr="001D0B04" w:rsidRDefault="001D0B04" w:rsidP="00DA770A">
            <w:pPr>
              <w:rPr>
                <w:lang w:val="ru-RU"/>
              </w:rPr>
            </w:pPr>
            <w:r w:rsidRPr="001D0B04">
              <w:rPr>
                <w:rFonts w:asciiTheme="minorHAnsi" w:hAnsiTheme="minorHAnsi" w:cstheme="minorHAnsi"/>
                <w:szCs w:val="22"/>
                <w:lang w:val="ru-RU"/>
              </w:rPr>
              <w:t xml:space="preserve">Совету предлагается </w:t>
            </w:r>
            <w:r w:rsidRPr="001D0B0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рассмотреть</w:t>
            </w:r>
            <w:r w:rsidRPr="001D0B04">
              <w:rPr>
                <w:rFonts w:asciiTheme="minorHAnsi" w:hAnsiTheme="minorHAnsi" w:cstheme="minorHAnsi"/>
                <w:szCs w:val="22"/>
                <w:lang w:val="ru-RU"/>
              </w:rPr>
              <w:t xml:space="preserve"> и </w:t>
            </w:r>
            <w:r w:rsidRPr="001D0B04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утвердить</w:t>
            </w:r>
            <w:r w:rsidRPr="001D0B04">
              <w:rPr>
                <w:rFonts w:asciiTheme="minorHAnsi" w:hAnsiTheme="minorHAnsi" w:cstheme="minorHAnsi"/>
                <w:szCs w:val="22"/>
                <w:lang w:val="ru-RU"/>
              </w:rPr>
              <w:t xml:space="preserve"> предложение, содержащееся в настоящем вкладе.</w:t>
            </w:r>
          </w:p>
          <w:p w14:paraId="763B8351" w14:textId="77777777" w:rsidR="00796BD3" w:rsidRPr="00731B05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31B05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731B05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31B0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47FF44CA" w:rsidR="00796BD3" w:rsidRPr="00731B05" w:rsidRDefault="001D0B04" w:rsidP="001D0B04">
            <w:pPr>
              <w:spacing w:after="120"/>
              <w:rPr>
                <w:i/>
                <w:iCs/>
                <w:lang w:val="ru-RU"/>
              </w:rPr>
            </w:pPr>
            <w:hyperlink r:id="rId7" w:history="1">
              <w:r w:rsidRPr="001D0B04">
                <w:rPr>
                  <w:rStyle w:val="Hyperlink"/>
                  <w:i/>
                  <w:iCs/>
                  <w:szCs w:val="22"/>
                  <w:lang w:val="ru-RU"/>
                </w:rPr>
                <w:t>Резолюция 76/3 ГА ООН</w:t>
              </w:r>
            </w:hyperlink>
            <w:r w:rsidRPr="001D0B04">
              <w:rPr>
                <w:i/>
                <w:iCs/>
                <w:szCs w:val="22"/>
                <w:lang w:val="ru-RU"/>
              </w:rPr>
              <w:t xml:space="preserve">; Резолюции </w:t>
            </w:r>
            <w:hyperlink r:id="rId8" w:history="1">
              <w:r w:rsidRPr="001D0B04">
                <w:rPr>
                  <w:rStyle w:val="Hyperlink"/>
                  <w:i/>
                  <w:iCs/>
                  <w:szCs w:val="22"/>
                  <w:lang w:val="ru-RU"/>
                </w:rPr>
                <w:t>30 (Пересм. Бухарест, 2022 г.)</w:t>
              </w:r>
            </w:hyperlink>
            <w:r w:rsidRPr="001D0B04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1D0B04">
                <w:rPr>
                  <w:rStyle w:val="Hyperlink"/>
                  <w:i/>
                  <w:iCs/>
                  <w:szCs w:val="22"/>
                  <w:lang w:val="ru-RU"/>
                </w:rPr>
                <w:t>140 (Пересм. Бухарест, 2022 г.)</w:t>
              </w:r>
            </w:hyperlink>
            <w:r w:rsidRPr="001D0B04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1D0B04">
                <w:rPr>
                  <w:rStyle w:val="Hyperlink"/>
                  <w:i/>
                  <w:iCs/>
                  <w:szCs w:val="22"/>
                  <w:lang w:val="ru-RU"/>
                </w:rPr>
                <w:t>200 (Пересм. Бухарест, 2022 г.)</w:t>
              </w:r>
            </w:hyperlink>
            <w:r w:rsidRPr="001D0B04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1D0B04">
                <w:rPr>
                  <w:rStyle w:val="Hyperlink"/>
                  <w:i/>
                  <w:iCs/>
                  <w:szCs w:val="22"/>
                  <w:lang w:val="ru-RU"/>
                </w:rPr>
                <w:t>203 (Пересм. Бухарест, 2022 г.)</w:t>
              </w:r>
            </w:hyperlink>
            <w:r w:rsidRPr="001D0B04">
              <w:rPr>
                <w:i/>
                <w:iCs/>
                <w:szCs w:val="22"/>
                <w:lang w:val="ru-RU"/>
              </w:rPr>
              <w:t xml:space="preserve">, и </w:t>
            </w:r>
            <w:hyperlink r:id="rId12" w:history="1">
              <w:r w:rsidRPr="001D0B04">
                <w:rPr>
                  <w:rStyle w:val="Hyperlink"/>
                  <w:i/>
                  <w:iCs/>
                  <w:szCs w:val="22"/>
                  <w:lang w:val="ru-RU"/>
                </w:rPr>
                <w:t>218 (Бухарест, 2022</w:t>
              </w:r>
              <w:r>
                <w:rPr>
                  <w:rStyle w:val="Hyperlink"/>
                  <w:i/>
                  <w:iCs/>
                  <w:szCs w:val="22"/>
                </w:rPr>
                <w:t> </w:t>
              </w:r>
              <w:r w:rsidRPr="001D0B04">
                <w:rPr>
                  <w:rStyle w:val="Hyperlink"/>
                  <w:i/>
                  <w:iCs/>
                  <w:szCs w:val="22"/>
                  <w:lang w:val="ru-RU"/>
                </w:rPr>
                <w:t>г.)</w:t>
              </w:r>
            </w:hyperlink>
            <w:r w:rsidRPr="001D0B04">
              <w:rPr>
                <w:i/>
                <w:iCs/>
                <w:szCs w:val="22"/>
                <w:lang w:val="ru-RU"/>
              </w:rPr>
              <w:t xml:space="preserve"> </w:t>
            </w:r>
            <w:r w:rsidRPr="00E56B5D">
              <w:rPr>
                <w:i/>
                <w:iCs/>
                <w:szCs w:val="22"/>
                <w:lang w:val="ru-RU"/>
              </w:rPr>
              <w:t>Полномочной конференции</w:t>
            </w:r>
          </w:p>
        </w:tc>
      </w:tr>
      <w:bookmarkEnd w:id="2"/>
      <w:bookmarkEnd w:id="7"/>
    </w:tbl>
    <w:p w14:paraId="6EB9976D" w14:textId="77777777" w:rsidR="00796BD3" w:rsidRPr="00731B05" w:rsidRDefault="00796BD3" w:rsidP="00796BD3">
      <w:pPr>
        <w:rPr>
          <w:lang w:val="ru-RU"/>
        </w:rPr>
      </w:pPr>
    </w:p>
    <w:p w14:paraId="60F31B98" w14:textId="77777777" w:rsidR="00165D06" w:rsidRPr="00731B0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31B05">
        <w:rPr>
          <w:lang w:val="ru-RU"/>
        </w:rPr>
        <w:br w:type="page"/>
      </w:r>
    </w:p>
    <w:p w14:paraId="601753BA" w14:textId="17048762" w:rsidR="001D0B04" w:rsidRPr="001D0B04" w:rsidRDefault="001D0B04" w:rsidP="001D0B04">
      <w:pPr>
        <w:rPr>
          <w:lang w:val="ru-RU"/>
        </w:rPr>
      </w:pPr>
      <w:r w:rsidRPr="001D0B04">
        <w:rPr>
          <w:lang w:val="ru-RU"/>
        </w:rPr>
        <w:lastRenderedPageBreak/>
        <w:t>Начиная с 2018 года, 16 администраций из региона Сообщества развития Юга Африки (САДК), включая Анголу, Ботсвану, Коморские Острова, Демократическую Республику Конго, Эсватини, Лесото, Мадагаскар, Малави, Маврикий, Мозамбик, Намибию, Сейшельские Острова, Южн</w:t>
      </w:r>
      <w:r w:rsidR="00E56B5D">
        <w:rPr>
          <w:lang w:val="ru-RU"/>
        </w:rPr>
        <w:t xml:space="preserve">ую </w:t>
      </w:r>
      <w:r w:rsidRPr="001D0B04">
        <w:rPr>
          <w:lang w:val="ru-RU"/>
        </w:rPr>
        <w:t>Африку, Объединенную Республику Танзанию, Замбию и Зимбабве, планируют разработать совместно используемую региональную спутниковую систему для обеспечения необходимых услуг электросвязи, включая доступ в интернет для школ и деревень в этих странах.</w:t>
      </w:r>
    </w:p>
    <w:p w14:paraId="79F4026C" w14:textId="77777777" w:rsidR="001D0B04" w:rsidRPr="001D0B04" w:rsidRDefault="001D0B04" w:rsidP="001D0B04">
      <w:pPr>
        <w:rPr>
          <w:lang w:val="ru-RU"/>
        </w:rPr>
      </w:pPr>
      <w:r w:rsidRPr="001D0B04">
        <w:rPr>
          <w:lang w:val="ru-RU"/>
        </w:rPr>
        <w:t>В регион САДК входят следующие страны</w:t>
      </w:r>
      <w:r w:rsidRPr="001D0B04">
        <w:rPr>
          <w:rStyle w:val="FootnoteReference"/>
        </w:rPr>
        <w:footnoteReference w:id="1"/>
      </w:r>
      <w:r w:rsidRPr="001D0B04">
        <w:rPr>
          <w:lang w:val="ru-RU"/>
        </w:rPr>
        <w:t>:</w:t>
      </w:r>
    </w:p>
    <w:p w14:paraId="210DF31B" w14:textId="0F1E08CC" w:rsidR="001D0B04" w:rsidRPr="001D0B04" w:rsidRDefault="001D0B04" w:rsidP="001D0B04">
      <w:pPr>
        <w:pStyle w:val="enumlev1"/>
        <w:rPr>
          <w:lang w:val="ru-RU"/>
        </w:rPr>
      </w:pPr>
      <w:r w:rsidRPr="001D0B04">
        <w:rPr>
          <w:lang w:val="ru-RU"/>
        </w:rPr>
        <w:t>–</w:t>
      </w:r>
      <w:r w:rsidRPr="001D0B04">
        <w:rPr>
          <w:lang w:val="ru-RU"/>
        </w:rPr>
        <w:tab/>
      </w:r>
      <w:r w:rsidR="00E56B5D">
        <w:rPr>
          <w:lang w:val="ru-RU"/>
        </w:rPr>
        <w:t>девять</w:t>
      </w:r>
      <w:r w:rsidRPr="001D0B04">
        <w:rPr>
          <w:lang w:val="ru-RU"/>
        </w:rPr>
        <w:t xml:space="preserve"> наименее развитых стран (НРС), согласно классификации Организации Объединенных Наций: Ангола, Демократическая Республика Конго, Замбия, Коморские Острова, Лесото, Мадагаскар, Малави, Мозамбик, Объединенная Республика Танзания;</w:t>
      </w:r>
      <w:r w:rsidR="00E56B5D">
        <w:rPr>
          <w:lang w:val="ru-RU"/>
        </w:rPr>
        <w:t xml:space="preserve"> и</w:t>
      </w:r>
    </w:p>
    <w:p w14:paraId="2F340EAD" w14:textId="7ACF252A" w:rsidR="001D0B04" w:rsidRPr="001D0B04" w:rsidRDefault="001D0B04" w:rsidP="001D0B04">
      <w:pPr>
        <w:pStyle w:val="enumlev1"/>
        <w:rPr>
          <w:lang w:val="ru-RU"/>
        </w:rPr>
      </w:pPr>
      <w:r w:rsidRPr="001D0B04">
        <w:rPr>
          <w:lang w:val="ru-RU"/>
        </w:rPr>
        <w:t>–</w:t>
      </w:r>
      <w:r w:rsidRPr="001D0B04">
        <w:rPr>
          <w:lang w:val="ru-RU"/>
        </w:rPr>
        <w:tab/>
      </w:r>
      <w:r w:rsidR="00E56B5D">
        <w:rPr>
          <w:lang w:val="ru-RU"/>
        </w:rPr>
        <w:t>четыре</w:t>
      </w:r>
      <w:r w:rsidRPr="001D0B04">
        <w:rPr>
          <w:lang w:val="ru-RU"/>
        </w:rPr>
        <w:t xml:space="preserve"> малы</w:t>
      </w:r>
      <w:r w:rsidR="00E56B5D">
        <w:rPr>
          <w:lang w:val="ru-RU"/>
        </w:rPr>
        <w:t>е</w:t>
      </w:r>
      <w:r w:rsidRPr="001D0B04">
        <w:rPr>
          <w:lang w:val="ru-RU"/>
        </w:rPr>
        <w:t xml:space="preserve"> островны</w:t>
      </w:r>
      <w:r w:rsidR="00E56B5D">
        <w:rPr>
          <w:lang w:val="ru-RU"/>
        </w:rPr>
        <w:t>е</w:t>
      </w:r>
      <w:r w:rsidRPr="001D0B04">
        <w:rPr>
          <w:lang w:val="ru-RU"/>
        </w:rPr>
        <w:t xml:space="preserve"> развивающи</w:t>
      </w:r>
      <w:r w:rsidR="00E56B5D">
        <w:rPr>
          <w:lang w:val="ru-RU"/>
        </w:rPr>
        <w:t>е</w:t>
      </w:r>
      <w:r w:rsidRPr="001D0B04">
        <w:rPr>
          <w:lang w:val="ru-RU"/>
        </w:rPr>
        <w:t>ся государств</w:t>
      </w:r>
      <w:r>
        <w:rPr>
          <w:lang w:val="en-US"/>
        </w:rPr>
        <w:t>a</w:t>
      </w:r>
      <w:r w:rsidRPr="001D0B04">
        <w:rPr>
          <w:lang w:val="ru-RU"/>
        </w:rPr>
        <w:t xml:space="preserve"> (СИДС): Коморские Острова, Мадагаскар, Маврикий и Сейшельские Острова; а также</w:t>
      </w:r>
    </w:p>
    <w:p w14:paraId="7B23E1B4" w14:textId="3EB1FE12" w:rsidR="001D0B04" w:rsidRPr="001D0B04" w:rsidRDefault="001D0B04" w:rsidP="001D0B04">
      <w:pPr>
        <w:pStyle w:val="enumlev1"/>
        <w:rPr>
          <w:lang w:val="ru-RU"/>
        </w:rPr>
      </w:pPr>
      <w:r w:rsidRPr="001D0B04">
        <w:rPr>
          <w:lang w:val="ru-RU"/>
        </w:rPr>
        <w:t>–</w:t>
      </w:r>
      <w:r w:rsidRPr="001D0B04">
        <w:rPr>
          <w:lang w:val="ru-RU"/>
        </w:rPr>
        <w:tab/>
      </w:r>
      <w:r w:rsidR="00E56B5D">
        <w:rPr>
          <w:lang w:val="ru-RU"/>
        </w:rPr>
        <w:t>шесть</w:t>
      </w:r>
      <w:r w:rsidRPr="001D0B04">
        <w:rPr>
          <w:lang w:val="ru-RU"/>
        </w:rPr>
        <w:t xml:space="preserve"> развивающихся стран, не имеющих выхода к морю (ЛЛДС): Ботсвана, Эсватини, Лесото, Малави, Замбия и Зимбабве.</w:t>
      </w:r>
    </w:p>
    <w:p w14:paraId="2A96B4F2" w14:textId="77777777" w:rsidR="001D0B04" w:rsidRPr="001D0B04" w:rsidRDefault="001D0B04" w:rsidP="001D0B04">
      <w:pPr>
        <w:rPr>
          <w:lang w:val="ru-RU"/>
        </w:rPr>
      </w:pPr>
      <w:r w:rsidRPr="001D0B04">
        <w:rPr>
          <w:lang w:val="ru-RU"/>
        </w:rPr>
        <w:t>Настоящая инициатива согласуется с целями следующих резолюций:</w:t>
      </w:r>
    </w:p>
    <w:p w14:paraId="72A879CF" w14:textId="58001DF6" w:rsidR="001D0B04" w:rsidRPr="00641135" w:rsidRDefault="001D0B04" w:rsidP="001D0B0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1D0B04">
        <w:rPr>
          <w:lang w:val="ru-RU"/>
        </w:rPr>
        <w:t>–</w:t>
      </w:r>
      <w:r w:rsidRPr="001D0B04">
        <w:rPr>
          <w:lang w:val="ru-RU"/>
        </w:rPr>
        <w:tab/>
      </w:r>
      <w:r w:rsidRPr="00D601B2">
        <w:rPr>
          <w:rFonts w:asciiTheme="minorHAnsi" w:hAnsiTheme="minorHAnsi" w:cstheme="minorHAnsi"/>
          <w:b/>
          <w:bCs/>
          <w:szCs w:val="22"/>
          <w:lang w:val="ru-RU"/>
        </w:rPr>
        <w:t>Резолюция 30 (Пересм. Бухарест, 2022 г.)</w:t>
      </w:r>
      <w:r w:rsidRPr="00D601B2">
        <w:rPr>
          <w:rFonts w:asciiTheme="minorHAnsi" w:hAnsiTheme="minorHAnsi" w:cstheme="minorHAnsi"/>
          <w:szCs w:val="22"/>
          <w:lang w:val="ru-RU"/>
        </w:rPr>
        <w:t xml:space="preserve">, в которой содержится призыв к НРС, </w:t>
      </w:r>
      <w:r>
        <w:rPr>
          <w:rFonts w:asciiTheme="minorHAnsi" w:hAnsiTheme="minorHAnsi" w:cstheme="minorHAnsi"/>
          <w:szCs w:val="22"/>
          <w:lang w:val="ru-RU"/>
        </w:rPr>
        <w:t>СИДС</w:t>
      </w:r>
      <w:r w:rsidRPr="00D601B2">
        <w:rPr>
          <w:rFonts w:asciiTheme="minorHAnsi" w:hAnsiTheme="minorHAnsi" w:cstheme="minorHAnsi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Cs w:val="22"/>
          <w:lang w:val="ru-RU"/>
        </w:rPr>
        <w:t xml:space="preserve">ЛЛДС </w:t>
      </w:r>
      <w:r w:rsidRPr="00D601B2">
        <w:rPr>
          <w:rFonts w:asciiTheme="minorHAnsi" w:hAnsiTheme="minorHAnsi" w:cstheme="minorHAnsi"/>
          <w:szCs w:val="22"/>
          <w:lang w:val="ru-RU"/>
        </w:rPr>
        <w:t xml:space="preserve">и странам с переходной экономикой уделять </w:t>
      </w:r>
      <w:r>
        <w:rPr>
          <w:rFonts w:asciiTheme="minorHAnsi" w:hAnsiTheme="minorHAnsi" w:cstheme="minorHAnsi"/>
          <w:szCs w:val="22"/>
          <w:lang w:val="ru-RU"/>
        </w:rPr>
        <w:t xml:space="preserve">первоочередное </w:t>
      </w:r>
      <w:r w:rsidRPr="00D601B2">
        <w:rPr>
          <w:rFonts w:asciiTheme="minorHAnsi" w:hAnsiTheme="minorHAnsi" w:cstheme="minorHAnsi"/>
          <w:szCs w:val="22"/>
          <w:lang w:val="ru-RU"/>
        </w:rPr>
        <w:t xml:space="preserve">внимание проектам в области ИКТ, способствующим социально-экономическому развитию и </w:t>
      </w:r>
      <w:r>
        <w:rPr>
          <w:rFonts w:asciiTheme="minorHAnsi" w:hAnsiTheme="minorHAnsi" w:cstheme="minorHAnsi"/>
          <w:szCs w:val="22"/>
          <w:lang w:val="ru-RU"/>
        </w:rPr>
        <w:t xml:space="preserve">совершенствованию </w:t>
      </w:r>
      <w:r w:rsidRPr="00D601B2">
        <w:rPr>
          <w:rFonts w:asciiTheme="minorHAnsi" w:hAnsiTheme="minorHAnsi" w:cstheme="minorHAnsi"/>
          <w:szCs w:val="22"/>
          <w:lang w:val="ru-RU"/>
        </w:rPr>
        <w:t xml:space="preserve">международных </w:t>
      </w:r>
      <w:r>
        <w:rPr>
          <w:rFonts w:asciiTheme="minorHAnsi" w:hAnsiTheme="minorHAnsi" w:cstheme="minorHAnsi"/>
          <w:szCs w:val="22"/>
          <w:lang w:val="ru-RU"/>
        </w:rPr>
        <w:t>соединений</w:t>
      </w:r>
      <w:r w:rsidRPr="00641135">
        <w:rPr>
          <w:rFonts w:asciiTheme="minorHAnsi" w:hAnsiTheme="minorHAnsi" w:cstheme="minorHAnsi"/>
          <w:szCs w:val="22"/>
          <w:lang w:val="ru-RU"/>
        </w:rPr>
        <w:t>;</w:t>
      </w:r>
    </w:p>
    <w:p w14:paraId="4455E87E" w14:textId="178A5AF5" w:rsidR="001D0B04" w:rsidRPr="00641135" w:rsidRDefault="001D0B04" w:rsidP="001D0B0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1D0B04">
        <w:rPr>
          <w:lang w:val="ru-RU"/>
        </w:rPr>
        <w:t>–</w:t>
      </w:r>
      <w:r w:rsidRPr="001D0B04">
        <w:rPr>
          <w:lang w:val="ru-RU"/>
        </w:rPr>
        <w:tab/>
      </w:r>
      <w:r>
        <w:rPr>
          <w:rStyle w:val="Strong"/>
          <w:rFonts w:asciiTheme="minorHAnsi" w:hAnsiTheme="minorHAnsi" w:cstheme="minorHAnsi"/>
          <w:szCs w:val="22"/>
          <w:lang w:val="ru-RU"/>
        </w:rPr>
        <w:t xml:space="preserve">Резолюция </w:t>
      </w:r>
      <w:r w:rsidRPr="00641135">
        <w:rPr>
          <w:rStyle w:val="Strong"/>
          <w:rFonts w:asciiTheme="minorHAnsi" w:hAnsiTheme="minorHAnsi" w:cstheme="minorHAnsi"/>
          <w:szCs w:val="22"/>
          <w:lang w:val="ru-RU"/>
        </w:rPr>
        <w:t>200</w:t>
      </w:r>
      <w:r w:rsidRPr="00641135">
        <w:rPr>
          <w:rFonts w:asciiTheme="minorHAnsi" w:hAnsiTheme="minorHAnsi" w:cstheme="minorHAnsi"/>
          <w:b/>
          <w:bCs/>
          <w:szCs w:val="22"/>
          <w:lang w:val="ru-RU"/>
        </w:rPr>
        <w:t xml:space="preserve"> </w:t>
      </w:r>
      <w:r w:rsidRPr="00D601B2">
        <w:rPr>
          <w:rFonts w:asciiTheme="minorHAnsi" w:hAnsiTheme="minorHAnsi" w:cstheme="minorHAnsi"/>
          <w:b/>
          <w:bCs/>
          <w:szCs w:val="22"/>
          <w:lang w:val="ru-RU"/>
        </w:rPr>
        <w:t>(Пересм. Бухарест, 2022 г.)</w:t>
      </w:r>
      <w:r w:rsidRPr="00D601B2">
        <w:rPr>
          <w:rFonts w:asciiTheme="minorHAnsi" w:hAnsiTheme="minorHAnsi" w:cstheme="minorHAnsi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Cs w:val="22"/>
          <w:lang w:val="ru-RU"/>
        </w:rPr>
        <w:t xml:space="preserve">в </w:t>
      </w:r>
      <w:r w:rsidRPr="00AD7D56">
        <w:rPr>
          <w:rFonts w:asciiTheme="minorHAnsi" w:hAnsiTheme="minorHAnsi" w:cstheme="minorHAnsi"/>
          <w:szCs w:val="22"/>
          <w:lang w:val="ru-RU"/>
        </w:rPr>
        <w:t xml:space="preserve">которой Государствам-Членам </w:t>
      </w:r>
      <w:r w:rsidRPr="001D0B04">
        <w:rPr>
          <w:lang w:val="ru-RU"/>
        </w:rPr>
        <w:t>предлагается</w:t>
      </w:r>
      <w:r w:rsidRPr="00AD7D56">
        <w:rPr>
          <w:rFonts w:asciiTheme="minorHAnsi" w:hAnsiTheme="minorHAnsi" w:cstheme="minorHAnsi"/>
          <w:szCs w:val="22"/>
          <w:lang w:val="ru-RU"/>
        </w:rPr>
        <w:t xml:space="preserve"> вн</w:t>
      </w:r>
      <w:r>
        <w:rPr>
          <w:rFonts w:asciiTheme="minorHAnsi" w:hAnsiTheme="minorHAnsi" w:cstheme="minorHAnsi"/>
          <w:szCs w:val="22"/>
          <w:lang w:val="ru-RU"/>
        </w:rPr>
        <w:t xml:space="preserve">осить </w:t>
      </w:r>
      <w:r w:rsidRPr="00AD7D56">
        <w:rPr>
          <w:rFonts w:asciiTheme="minorHAnsi" w:hAnsiTheme="minorHAnsi" w:cstheme="minorHAnsi"/>
          <w:szCs w:val="22"/>
          <w:lang w:val="ru-RU"/>
        </w:rPr>
        <w:t>вклад в реализацию Повестк</w:t>
      </w:r>
      <w:r>
        <w:rPr>
          <w:rFonts w:asciiTheme="minorHAnsi" w:hAnsiTheme="minorHAnsi" w:cstheme="minorHAnsi"/>
          <w:szCs w:val="22"/>
          <w:lang w:val="ru-RU"/>
        </w:rPr>
        <w:t>и</w:t>
      </w:r>
      <w:r w:rsidRPr="00AD7D56">
        <w:rPr>
          <w:rFonts w:asciiTheme="minorHAnsi" w:hAnsiTheme="minorHAnsi" w:cstheme="minorHAnsi"/>
          <w:szCs w:val="22"/>
          <w:lang w:val="ru-RU"/>
        </w:rPr>
        <w:t xml:space="preserve"> дня "Соединим к 2030 году"</w:t>
      </w:r>
      <w:r w:rsidRPr="00641135">
        <w:rPr>
          <w:rFonts w:asciiTheme="minorHAnsi" w:hAnsiTheme="minorHAnsi" w:cstheme="minorHAnsi"/>
          <w:szCs w:val="22"/>
          <w:lang w:val="ru-RU"/>
        </w:rPr>
        <w:t>;</w:t>
      </w:r>
    </w:p>
    <w:p w14:paraId="2EC51200" w14:textId="31D034C2" w:rsidR="001D0B04" w:rsidRPr="000249B1" w:rsidRDefault="001D0B04" w:rsidP="001D0B04">
      <w:pPr>
        <w:pStyle w:val="enumlev1"/>
        <w:rPr>
          <w:rFonts w:asciiTheme="minorHAnsi" w:hAnsiTheme="minorHAnsi" w:cstheme="minorHAnsi"/>
          <w:bCs/>
          <w:szCs w:val="22"/>
          <w:lang w:val="ru-RU"/>
        </w:rPr>
      </w:pPr>
      <w:r w:rsidRPr="001D0B04">
        <w:rPr>
          <w:lang w:val="ru-RU"/>
        </w:rPr>
        <w:t>–</w:t>
      </w:r>
      <w:r w:rsidRPr="001D0B04">
        <w:rPr>
          <w:lang w:val="ru-RU"/>
        </w:rPr>
        <w:tab/>
      </w:r>
      <w:r>
        <w:rPr>
          <w:rStyle w:val="Strong"/>
          <w:rFonts w:asciiTheme="minorHAnsi" w:hAnsiTheme="minorHAnsi" w:cstheme="minorHAnsi"/>
          <w:szCs w:val="22"/>
          <w:lang w:val="ru-RU"/>
        </w:rPr>
        <w:t xml:space="preserve">Резолюция </w:t>
      </w:r>
      <w:r w:rsidRPr="00641135">
        <w:rPr>
          <w:rStyle w:val="Strong"/>
          <w:rFonts w:asciiTheme="minorHAnsi" w:hAnsiTheme="minorHAnsi" w:cstheme="minorHAnsi"/>
          <w:szCs w:val="22"/>
          <w:lang w:val="ru-RU"/>
        </w:rPr>
        <w:t>203</w:t>
      </w:r>
      <w:r w:rsidRPr="00641135">
        <w:rPr>
          <w:rFonts w:asciiTheme="minorHAnsi" w:hAnsiTheme="minorHAnsi" w:cstheme="minorHAnsi"/>
          <w:b/>
          <w:bCs/>
          <w:szCs w:val="22"/>
          <w:lang w:val="ru-RU"/>
        </w:rPr>
        <w:t xml:space="preserve"> </w:t>
      </w:r>
      <w:r w:rsidRPr="00D601B2">
        <w:rPr>
          <w:rFonts w:asciiTheme="minorHAnsi" w:hAnsiTheme="minorHAnsi" w:cstheme="minorHAnsi"/>
          <w:b/>
          <w:bCs/>
          <w:szCs w:val="22"/>
          <w:lang w:val="ru-RU"/>
        </w:rPr>
        <w:t>(Пересм. Бухарест, 2022 г.)</w:t>
      </w:r>
      <w:r w:rsidRPr="00D601B2">
        <w:rPr>
          <w:rFonts w:asciiTheme="minorHAnsi" w:hAnsiTheme="minorHAnsi" w:cstheme="minorHAnsi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Cs w:val="22"/>
          <w:lang w:val="ru-RU"/>
        </w:rPr>
        <w:t xml:space="preserve">в </w:t>
      </w:r>
      <w:r w:rsidRPr="000249B1">
        <w:rPr>
          <w:rFonts w:asciiTheme="minorHAnsi" w:hAnsiTheme="minorHAnsi" w:cstheme="minorHAnsi"/>
          <w:szCs w:val="22"/>
          <w:lang w:val="ru-RU"/>
        </w:rPr>
        <w:t xml:space="preserve">которой </w:t>
      </w:r>
      <w:r w:rsidRPr="000249B1">
        <w:rPr>
          <w:rFonts w:asciiTheme="minorHAnsi" w:hAnsiTheme="minorHAnsi" w:cstheme="minorHAnsi"/>
          <w:bCs/>
          <w:szCs w:val="22"/>
          <w:lang w:val="ru-RU"/>
        </w:rPr>
        <w:t xml:space="preserve">содержится решение работать в </w:t>
      </w:r>
      <w:r w:rsidRPr="001D0B04">
        <w:rPr>
          <w:lang w:val="ru-RU"/>
        </w:rPr>
        <w:t>направлении</w:t>
      </w:r>
      <w:r w:rsidRPr="000249B1">
        <w:rPr>
          <w:rFonts w:asciiTheme="minorHAnsi" w:hAnsiTheme="minorHAnsi" w:cstheme="minorHAnsi"/>
          <w:bCs/>
          <w:szCs w:val="22"/>
          <w:lang w:val="ru-RU"/>
        </w:rPr>
        <w:t xml:space="preserve"> обеспечения широкополосного доступа для всех;</w:t>
      </w:r>
    </w:p>
    <w:p w14:paraId="595056E0" w14:textId="1B84C275" w:rsidR="001D0B04" w:rsidRPr="00641135" w:rsidRDefault="001D0B04" w:rsidP="001D0B0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1D0B04">
        <w:rPr>
          <w:lang w:val="ru-RU"/>
        </w:rPr>
        <w:t>–</w:t>
      </w:r>
      <w:r w:rsidRPr="001D0B04">
        <w:rPr>
          <w:lang w:val="ru-RU"/>
        </w:rPr>
        <w:tab/>
      </w:r>
      <w:r>
        <w:rPr>
          <w:rStyle w:val="Strong"/>
          <w:rFonts w:asciiTheme="minorHAnsi" w:hAnsiTheme="minorHAnsi" w:cstheme="minorHAnsi"/>
          <w:szCs w:val="22"/>
          <w:lang w:val="ru-RU"/>
        </w:rPr>
        <w:t xml:space="preserve">Резолюция </w:t>
      </w:r>
      <w:r w:rsidRPr="00641135">
        <w:rPr>
          <w:rStyle w:val="Strong"/>
          <w:rFonts w:asciiTheme="minorHAnsi" w:hAnsiTheme="minorHAnsi" w:cstheme="minorHAnsi"/>
          <w:szCs w:val="22"/>
          <w:lang w:val="ru-RU"/>
        </w:rPr>
        <w:t>218</w:t>
      </w:r>
      <w:r w:rsidRPr="00641135">
        <w:rPr>
          <w:rFonts w:asciiTheme="minorHAnsi" w:hAnsiTheme="minorHAnsi" w:cstheme="minorHAnsi"/>
          <w:b/>
          <w:bCs/>
          <w:szCs w:val="22"/>
          <w:lang w:val="ru-RU"/>
        </w:rPr>
        <w:t xml:space="preserve"> </w:t>
      </w:r>
      <w:r w:rsidRPr="00D601B2">
        <w:rPr>
          <w:rFonts w:asciiTheme="minorHAnsi" w:hAnsiTheme="minorHAnsi" w:cstheme="minorHAnsi"/>
          <w:b/>
          <w:bCs/>
          <w:szCs w:val="22"/>
          <w:lang w:val="ru-RU"/>
        </w:rPr>
        <w:t>( Бухарест, 2022 г.)</w:t>
      </w:r>
      <w:r w:rsidRPr="00D601B2">
        <w:rPr>
          <w:rFonts w:asciiTheme="minorHAnsi" w:hAnsiTheme="minorHAnsi" w:cstheme="minorHAnsi"/>
          <w:szCs w:val="22"/>
          <w:lang w:val="ru-RU"/>
        </w:rPr>
        <w:t xml:space="preserve">, </w:t>
      </w:r>
      <w:r w:rsidRPr="00AD7D56">
        <w:rPr>
          <w:rFonts w:asciiTheme="minorHAnsi" w:hAnsiTheme="minorHAnsi" w:cstheme="minorHAnsi"/>
          <w:szCs w:val="22"/>
          <w:lang w:val="ru-RU"/>
        </w:rPr>
        <w:t xml:space="preserve">в которой </w:t>
      </w:r>
      <w:r>
        <w:rPr>
          <w:rFonts w:asciiTheme="minorHAnsi" w:hAnsiTheme="minorHAnsi" w:cstheme="minorHAnsi"/>
          <w:szCs w:val="22"/>
          <w:lang w:val="ru-RU"/>
        </w:rPr>
        <w:t xml:space="preserve">содержится призыв участвовать в </w:t>
      </w:r>
      <w:r w:rsidRPr="001D0B04">
        <w:rPr>
          <w:lang w:val="ru-RU"/>
        </w:rPr>
        <w:t>реализации</w:t>
      </w:r>
      <w:r>
        <w:rPr>
          <w:rFonts w:asciiTheme="minorHAnsi" w:hAnsiTheme="minorHAnsi" w:cstheme="minorHAnsi"/>
          <w:szCs w:val="22"/>
          <w:lang w:val="ru-RU"/>
        </w:rPr>
        <w:t xml:space="preserve"> </w:t>
      </w:r>
      <w:r w:rsidRPr="00AD7D56">
        <w:rPr>
          <w:rFonts w:asciiTheme="minorHAnsi" w:hAnsiTheme="minorHAnsi" w:cstheme="minorHAnsi"/>
          <w:szCs w:val="22"/>
          <w:lang w:val="ru-RU"/>
        </w:rPr>
        <w:t>Повестки дня "Космос-2030" и усилия</w:t>
      </w:r>
      <w:r>
        <w:rPr>
          <w:rFonts w:asciiTheme="minorHAnsi" w:hAnsiTheme="minorHAnsi" w:cstheme="minorHAnsi"/>
          <w:szCs w:val="22"/>
          <w:lang w:val="ru-RU"/>
        </w:rPr>
        <w:t>х</w:t>
      </w:r>
      <w:r w:rsidRPr="00AD7D56">
        <w:rPr>
          <w:rFonts w:asciiTheme="minorHAnsi" w:hAnsiTheme="minorHAnsi" w:cstheme="minorHAnsi"/>
          <w:szCs w:val="22"/>
          <w:lang w:val="ru-RU"/>
        </w:rPr>
        <w:t xml:space="preserve"> в поддержку </w:t>
      </w:r>
      <w:r>
        <w:rPr>
          <w:rFonts w:asciiTheme="minorHAnsi" w:hAnsiTheme="minorHAnsi" w:cstheme="minorHAnsi"/>
          <w:szCs w:val="22"/>
          <w:lang w:val="ru-RU"/>
        </w:rPr>
        <w:t>достижения Ц</w:t>
      </w:r>
      <w:r w:rsidRPr="00AD7D56">
        <w:rPr>
          <w:rFonts w:asciiTheme="minorHAnsi" w:hAnsiTheme="minorHAnsi" w:cstheme="minorHAnsi"/>
          <w:szCs w:val="22"/>
          <w:lang w:val="ru-RU"/>
        </w:rPr>
        <w:t xml:space="preserve">елей </w:t>
      </w:r>
      <w:r>
        <w:rPr>
          <w:rFonts w:asciiTheme="minorHAnsi" w:hAnsiTheme="minorHAnsi" w:cstheme="minorHAnsi"/>
          <w:szCs w:val="22"/>
          <w:lang w:val="ru-RU"/>
        </w:rPr>
        <w:t xml:space="preserve">в области </w:t>
      </w:r>
      <w:r w:rsidRPr="00AD7D56">
        <w:rPr>
          <w:rFonts w:asciiTheme="minorHAnsi" w:hAnsiTheme="minorHAnsi" w:cstheme="minorHAnsi"/>
          <w:szCs w:val="22"/>
          <w:lang w:val="ru-RU"/>
        </w:rPr>
        <w:t>устойчивого развития (ЦУР)</w:t>
      </w:r>
      <w:r w:rsidRPr="00641135">
        <w:rPr>
          <w:rFonts w:asciiTheme="minorHAnsi" w:hAnsiTheme="minorHAnsi" w:cstheme="minorHAnsi"/>
          <w:szCs w:val="22"/>
          <w:lang w:val="ru-RU"/>
        </w:rPr>
        <w:t xml:space="preserve">; </w:t>
      </w:r>
      <w:r>
        <w:rPr>
          <w:rFonts w:asciiTheme="minorHAnsi" w:hAnsiTheme="minorHAnsi" w:cstheme="minorHAnsi"/>
          <w:szCs w:val="22"/>
          <w:lang w:val="ru-RU"/>
        </w:rPr>
        <w:t>а также</w:t>
      </w:r>
    </w:p>
    <w:p w14:paraId="7A21B726" w14:textId="77777777" w:rsidR="001D0B04" w:rsidRPr="00641135" w:rsidRDefault="001D0B04" w:rsidP="001D0B0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AD7D56">
        <w:rPr>
          <w:rFonts w:asciiTheme="minorHAnsi" w:hAnsiTheme="minorHAnsi" w:cstheme="minorHAnsi"/>
          <w:b/>
          <w:bCs/>
          <w:szCs w:val="22"/>
          <w:lang w:val="ru-RU"/>
        </w:rPr>
        <w:t>ЦУР ООН</w:t>
      </w:r>
      <w:r>
        <w:rPr>
          <w:rFonts w:asciiTheme="minorHAnsi" w:hAnsiTheme="minorHAnsi" w:cstheme="minorHAnsi"/>
          <w:szCs w:val="22"/>
          <w:lang w:val="ru-RU"/>
        </w:rPr>
        <w:t xml:space="preserve"> и </w:t>
      </w:r>
      <w:r w:rsidRPr="00AD7D56">
        <w:rPr>
          <w:rFonts w:asciiTheme="minorHAnsi" w:hAnsiTheme="minorHAnsi" w:cstheme="minorHAnsi"/>
          <w:b/>
          <w:bCs/>
          <w:szCs w:val="22"/>
          <w:lang w:val="ru-RU"/>
        </w:rPr>
        <w:t>Повестка дня "Космос-2030"</w:t>
      </w:r>
      <w:r w:rsidRPr="00AD7D56">
        <w:rPr>
          <w:rFonts w:asciiTheme="minorHAnsi" w:hAnsiTheme="minorHAnsi" w:cstheme="minorHAnsi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 xml:space="preserve">в </w:t>
      </w:r>
      <w:r w:rsidRPr="001D0B04">
        <w:rPr>
          <w:lang w:val="ru-RU"/>
        </w:rPr>
        <w:t>более</w:t>
      </w:r>
      <w:r>
        <w:rPr>
          <w:rFonts w:asciiTheme="minorHAnsi" w:hAnsiTheme="minorHAnsi" w:cstheme="minorHAnsi"/>
          <w:szCs w:val="22"/>
          <w:lang w:val="ru-RU"/>
        </w:rPr>
        <w:t xml:space="preserve"> широком контексте</w:t>
      </w:r>
      <w:r w:rsidRPr="00641135">
        <w:rPr>
          <w:rFonts w:asciiTheme="minorHAnsi" w:hAnsiTheme="minorHAnsi" w:cstheme="minorHAnsi"/>
          <w:szCs w:val="22"/>
          <w:lang w:val="ru-RU"/>
        </w:rPr>
        <w:t>.</w:t>
      </w:r>
    </w:p>
    <w:p w14:paraId="7A7C1C98" w14:textId="77777777" w:rsidR="001D0B04" w:rsidRPr="001D0B04" w:rsidRDefault="001D0B04" w:rsidP="001D0B04">
      <w:pPr>
        <w:rPr>
          <w:lang w:val="ru-RU"/>
        </w:rPr>
      </w:pPr>
      <w:r w:rsidRPr="001D0B04">
        <w:rPr>
          <w:lang w:val="ru-RU"/>
        </w:rPr>
        <w:t xml:space="preserve">При содействии Бюро радиосвязи МСЭ эти 16 администраций изучили различные способы обеспечения подходящей орбитальной позиции для совместно используемой спутниковой системы. Было сделано заключение, что применение Резолюции </w:t>
      </w:r>
      <w:r w:rsidRPr="001D0B04">
        <w:rPr>
          <w:b/>
          <w:bCs/>
          <w:lang w:val="ru-RU"/>
        </w:rPr>
        <w:t>170 (Пересм. ВКР-23)</w:t>
      </w:r>
      <w:r w:rsidRPr="001D0B04">
        <w:rPr>
          <w:lang w:val="ru-RU"/>
        </w:rPr>
        <w:t xml:space="preserve"> дает больше шансов на успех, чем применение текущих стандартных процедур, содержащихся в Статьях 9 и 11, для непланируемых космических служб, в Приложениях </w:t>
      </w:r>
      <w:r w:rsidRPr="001D0B04">
        <w:rPr>
          <w:b/>
          <w:bCs/>
          <w:lang w:val="ru-RU"/>
        </w:rPr>
        <w:t>30</w:t>
      </w:r>
      <w:r w:rsidRPr="001D0B04">
        <w:rPr>
          <w:lang w:val="ru-RU"/>
        </w:rPr>
        <w:t xml:space="preserve"> и </w:t>
      </w:r>
      <w:r w:rsidRPr="001D0B04">
        <w:rPr>
          <w:b/>
          <w:bCs/>
          <w:lang w:val="ru-RU"/>
        </w:rPr>
        <w:t>30</w:t>
      </w:r>
      <w:r w:rsidRPr="00AD7D56">
        <w:rPr>
          <w:b/>
          <w:bCs/>
        </w:rPr>
        <w:t>A</w:t>
      </w:r>
      <w:r w:rsidRPr="001D0B04">
        <w:rPr>
          <w:lang w:val="ru-RU"/>
        </w:rPr>
        <w:t xml:space="preserve"> для дополнительного использования, а также в Приложении </w:t>
      </w:r>
      <w:r w:rsidRPr="001D0B04">
        <w:rPr>
          <w:b/>
          <w:bCs/>
          <w:lang w:val="ru-RU"/>
        </w:rPr>
        <w:t>30</w:t>
      </w:r>
      <w:r w:rsidRPr="00AD7D56">
        <w:rPr>
          <w:b/>
          <w:bCs/>
        </w:rPr>
        <w:t>B</w:t>
      </w:r>
      <w:r w:rsidRPr="001D0B04">
        <w:rPr>
          <w:lang w:val="ru-RU"/>
        </w:rPr>
        <w:t xml:space="preserve"> для дополнительных систем.</w:t>
      </w:r>
    </w:p>
    <w:p w14:paraId="0661F3BA" w14:textId="77777777" w:rsidR="001D0B04" w:rsidRPr="001D0B04" w:rsidRDefault="001D0B04" w:rsidP="001D0B04">
      <w:pPr>
        <w:rPr>
          <w:lang w:val="ru-RU"/>
        </w:rPr>
      </w:pPr>
      <w:r w:rsidRPr="001D0B04">
        <w:rPr>
          <w:lang w:val="ru-RU"/>
        </w:rPr>
        <w:t xml:space="preserve">Несмотря на активные усилия, предпринятые 16 государствами − членами САДК, включая помощь со стороны Бюро, по-прежнему существует значительная неопределенность в том, что касается нахождения подходящей орбитальной позиции для применения Резолюции </w:t>
      </w:r>
      <w:r w:rsidRPr="001D0B04">
        <w:rPr>
          <w:b/>
          <w:bCs/>
          <w:lang w:val="ru-RU"/>
        </w:rPr>
        <w:t>170</w:t>
      </w:r>
      <w:r w:rsidRPr="001D0B04">
        <w:rPr>
          <w:lang w:val="ru-RU"/>
        </w:rPr>
        <w:t xml:space="preserve"> </w:t>
      </w:r>
      <w:r w:rsidRPr="001D0B04">
        <w:rPr>
          <w:b/>
          <w:bCs/>
          <w:lang w:val="ru-RU"/>
        </w:rPr>
        <w:t>(Пересм. ВКР-23)</w:t>
      </w:r>
      <w:r w:rsidRPr="001D0B04">
        <w:rPr>
          <w:lang w:val="ru-RU"/>
        </w:rPr>
        <w:t>, учитывая, что она может быть применена только один раз.</w:t>
      </w:r>
    </w:p>
    <w:p w14:paraId="76CFC776" w14:textId="77777777" w:rsidR="001D0B04" w:rsidRPr="001D0B04" w:rsidRDefault="001D0B04" w:rsidP="001D0B04">
      <w:pPr>
        <w:rPr>
          <w:lang w:val="ru-RU"/>
        </w:rPr>
      </w:pPr>
      <w:r w:rsidRPr="001D0B04">
        <w:rPr>
          <w:lang w:val="ru-RU"/>
        </w:rPr>
        <w:t xml:space="preserve">Отмечая цель принятия Резолюции </w:t>
      </w:r>
      <w:r w:rsidRPr="001D0B04">
        <w:rPr>
          <w:b/>
          <w:bCs/>
          <w:lang w:val="ru-RU"/>
        </w:rPr>
        <w:t>170</w:t>
      </w:r>
      <w:r w:rsidRPr="001D0B04">
        <w:rPr>
          <w:lang w:val="ru-RU"/>
        </w:rPr>
        <w:t xml:space="preserve"> на ВКР-19 и невозможность выбора только одной оптимальной орбитальной позиции без начала координации частот с потенциально затронутыми администрациями, указанные 16 администраций обратились к 97-му собранию РРК с просьбой (</w:t>
      </w:r>
      <w:hyperlink r:id="rId13" w:history="1">
        <w:r w:rsidRPr="00E56B5D">
          <w:rPr>
            <w:rStyle w:val="Hyperlink"/>
            <w:szCs w:val="22"/>
            <w:lang w:val="ru-RU"/>
          </w:rPr>
          <w:t>https</w:t>
        </w:r>
        <w:r w:rsidRPr="00ED5131">
          <w:rPr>
            <w:rStyle w:val="Hyperlink"/>
            <w:szCs w:val="22"/>
            <w:lang w:val="ru-RU"/>
          </w:rPr>
          <w:t>://</w:t>
        </w:r>
        <w:r w:rsidRPr="00E56B5D">
          <w:rPr>
            <w:rStyle w:val="Hyperlink"/>
            <w:szCs w:val="22"/>
            <w:lang w:val="ru-RU"/>
          </w:rPr>
          <w:t>www</w:t>
        </w:r>
        <w:r w:rsidRPr="00ED5131">
          <w:rPr>
            <w:rStyle w:val="Hyperlink"/>
            <w:szCs w:val="22"/>
            <w:lang w:val="ru-RU"/>
          </w:rPr>
          <w:t>.</w:t>
        </w:r>
        <w:r w:rsidRPr="00E56B5D">
          <w:rPr>
            <w:rStyle w:val="Hyperlink"/>
            <w:szCs w:val="22"/>
            <w:lang w:val="ru-RU"/>
          </w:rPr>
          <w:t>itu</w:t>
        </w:r>
        <w:r w:rsidRPr="00ED5131">
          <w:rPr>
            <w:rStyle w:val="Hyperlink"/>
            <w:szCs w:val="22"/>
            <w:lang w:val="ru-RU"/>
          </w:rPr>
          <w:t>.</w:t>
        </w:r>
        <w:r w:rsidRPr="00E56B5D">
          <w:rPr>
            <w:rStyle w:val="Hyperlink"/>
            <w:szCs w:val="22"/>
            <w:lang w:val="ru-RU"/>
          </w:rPr>
          <w:t>int</w:t>
        </w:r>
        <w:r w:rsidRPr="00ED5131">
          <w:rPr>
            <w:rStyle w:val="Hyperlink"/>
            <w:szCs w:val="22"/>
            <w:lang w:val="ru-RU"/>
          </w:rPr>
          <w:t>/</w:t>
        </w:r>
        <w:r w:rsidRPr="00E56B5D">
          <w:rPr>
            <w:rStyle w:val="Hyperlink"/>
            <w:szCs w:val="22"/>
            <w:lang w:val="ru-RU"/>
          </w:rPr>
          <w:t>md</w:t>
        </w:r>
        <w:r w:rsidRPr="00ED5131">
          <w:rPr>
            <w:rStyle w:val="Hyperlink"/>
            <w:szCs w:val="22"/>
            <w:lang w:val="ru-RU"/>
          </w:rPr>
          <w:t>/</w:t>
        </w:r>
        <w:r w:rsidRPr="00E56B5D">
          <w:rPr>
            <w:rStyle w:val="Hyperlink"/>
            <w:szCs w:val="22"/>
            <w:lang w:val="ru-RU"/>
          </w:rPr>
          <w:t>R</w:t>
        </w:r>
        <w:r w:rsidRPr="00ED5131">
          <w:rPr>
            <w:rStyle w:val="Hyperlink"/>
            <w:szCs w:val="22"/>
            <w:lang w:val="ru-RU"/>
          </w:rPr>
          <w:t>24-</w:t>
        </w:r>
        <w:r w:rsidRPr="00E56B5D">
          <w:rPr>
            <w:rStyle w:val="Hyperlink"/>
            <w:szCs w:val="22"/>
            <w:lang w:val="ru-RU"/>
          </w:rPr>
          <w:t>RRB</w:t>
        </w:r>
        <w:r w:rsidRPr="00ED5131">
          <w:rPr>
            <w:rStyle w:val="Hyperlink"/>
            <w:szCs w:val="22"/>
            <w:lang w:val="ru-RU"/>
          </w:rPr>
          <w:t>24.3-</w:t>
        </w:r>
        <w:r w:rsidRPr="00E56B5D">
          <w:rPr>
            <w:rStyle w:val="Hyperlink"/>
            <w:szCs w:val="22"/>
            <w:lang w:val="ru-RU"/>
          </w:rPr>
          <w:t>C</w:t>
        </w:r>
        <w:r w:rsidRPr="00ED5131">
          <w:rPr>
            <w:rStyle w:val="Hyperlink"/>
            <w:szCs w:val="22"/>
            <w:lang w:val="ru-RU"/>
          </w:rPr>
          <w:t>-0019/</w:t>
        </w:r>
        <w:r w:rsidRPr="00E56B5D">
          <w:rPr>
            <w:rStyle w:val="Hyperlink"/>
            <w:szCs w:val="22"/>
            <w:lang w:val="ru-RU"/>
          </w:rPr>
          <w:t>en</w:t>
        </w:r>
      </w:hyperlink>
      <w:r w:rsidRPr="001D0B04">
        <w:rPr>
          <w:lang w:val="ru-RU"/>
        </w:rPr>
        <w:t xml:space="preserve">) разрешить администрации Анголы, действующей от имени администраций 16 государств − членов САДК, подать восемь </w:t>
      </w:r>
      <w:r w:rsidRPr="001D0B04">
        <w:rPr>
          <w:lang w:val="ru-RU"/>
        </w:rPr>
        <w:lastRenderedPageBreak/>
        <w:t>(8) запросов о координации. РРК удовлетворил эту просьбу (</w:t>
      </w:r>
      <w:hyperlink r:id="rId14" w:history="1">
        <w:r w:rsidRPr="00641135">
          <w:rPr>
            <w:rStyle w:val="Hyperlink"/>
            <w:rFonts w:asciiTheme="minorHAnsi" w:hAnsiTheme="minorHAnsi" w:cstheme="minorHAnsi"/>
            <w:szCs w:val="22"/>
          </w:rPr>
          <w:t>https</w:t>
        </w:r>
        <w:r w:rsidRPr="001D0B04">
          <w:rPr>
            <w:rStyle w:val="Hyperlink"/>
            <w:rFonts w:asciiTheme="minorHAnsi" w:hAnsiTheme="minorHAnsi" w:cstheme="minorHAnsi"/>
            <w:szCs w:val="22"/>
            <w:lang w:val="ru-RU"/>
          </w:rPr>
          <w:t>://</w:t>
        </w:r>
        <w:r w:rsidRPr="00641135">
          <w:rPr>
            <w:rStyle w:val="Hyperlink"/>
            <w:rFonts w:asciiTheme="minorHAnsi" w:hAnsiTheme="minorHAnsi" w:cstheme="minorHAnsi"/>
            <w:szCs w:val="22"/>
          </w:rPr>
          <w:t>www</w:t>
        </w:r>
        <w:r w:rsidRPr="001D0B04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641135">
          <w:rPr>
            <w:rStyle w:val="Hyperlink"/>
            <w:rFonts w:asciiTheme="minorHAnsi" w:hAnsiTheme="minorHAnsi" w:cstheme="minorHAnsi"/>
            <w:szCs w:val="22"/>
          </w:rPr>
          <w:t>itu</w:t>
        </w:r>
        <w:r w:rsidRPr="001D0B04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641135">
          <w:rPr>
            <w:rStyle w:val="Hyperlink"/>
            <w:rFonts w:asciiTheme="minorHAnsi" w:hAnsiTheme="minorHAnsi" w:cstheme="minorHAnsi"/>
            <w:szCs w:val="22"/>
          </w:rPr>
          <w:t>int</w:t>
        </w:r>
        <w:r w:rsidRPr="001D0B04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641135">
          <w:rPr>
            <w:rStyle w:val="Hyperlink"/>
            <w:rFonts w:asciiTheme="minorHAnsi" w:hAnsiTheme="minorHAnsi" w:cstheme="minorHAnsi"/>
            <w:szCs w:val="22"/>
          </w:rPr>
          <w:t>md</w:t>
        </w:r>
        <w:r w:rsidRPr="001D0B04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641135">
          <w:rPr>
            <w:rStyle w:val="Hyperlink"/>
            <w:rFonts w:asciiTheme="minorHAnsi" w:hAnsiTheme="minorHAnsi" w:cstheme="minorHAnsi"/>
            <w:szCs w:val="22"/>
          </w:rPr>
          <w:t>R</w:t>
        </w:r>
        <w:r w:rsidRPr="001D0B04">
          <w:rPr>
            <w:rStyle w:val="Hyperlink"/>
            <w:rFonts w:asciiTheme="minorHAnsi" w:hAnsiTheme="minorHAnsi" w:cstheme="minorHAnsi"/>
            <w:szCs w:val="22"/>
            <w:lang w:val="ru-RU"/>
          </w:rPr>
          <w:t>24-</w:t>
        </w:r>
        <w:r w:rsidRPr="00641135">
          <w:rPr>
            <w:rStyle w:val="Hyperlink"/>
            <w:rFonts w:asciiTheme="minorHAnsi" w:hAnsiTheme="minorHAnsi" w:cstheme="minorHAnsi"/>
            <w:szCs w:val="22"/>
          </w:rPr>
          <w:t>RRB</w:t>
        </w:r>
        <w:r w:rsidRPr="001D0B04">
          <w:rPr>
            <w:rStyle w:val="Hyperlink"/>
            <w:rFonts w:asciiTheme="minorHAnsi" w:hAnsiTheme="minorHAnsi" w:cstheme="minorHAnsi"/>
            <w:szCs w:val="22"/>
            <w:lang w:val="ru-RU"/>
          </w:rPr>
          <w:t>24.3-</w:t>
        </w:r>
        <w:r w:rsidRPr="00641135">
          <w:rPr>
            <w:rStyle w:val="Hyperlink"/>
            <w:rFonts w:asciiTheme="minorHAnsi" w:hAnsiTheme="minorHAnsi" w:cstheme="minorHAnsi"/>
            <w:szCs w:val="22"/>
          </w:rPr>
          <w:t>C</w:t>
        </w:r>
        <w:r w:rsidRPr="001D0B04">
          <w:rPr>
            <w:rStyle w:val="Hyperlink"/>
            <w:rFonts w:asciiTheme="minorHAnsi" w:hAnsiTheme="minorHAnsi" w:cstheme="minorHAnsi"/>
            <w:szCs w:val="22"/>
            <w:lang w:val="ru-RU"/>
          </w:rPr>
          <w:t>-0023/</w:t>
        </w:r>
        <w:r w:rsidRPr="00641135">
          <w:rPr>
            <w:rStyle w:val="Hyperlink"/>
            <w:rFonts w:asciiTheme="minorHAnsi" w:hAnsiTheme="minorHAnsi" w:cstheme="minorHAnsi"/>
            <w:szCs w:val="22"/>
          </w:rPr>
          <w:t>en</w:t>
        </w:r>
      </w:hyperlink>
      <w:r w:rsidRPr="001D0B04">
        <w:rPr>
          <w:lang w:val="ru-RU"/>
        </w:rPr>
        <w:t>).</w:t>
      </w:r>
    </w:p>
    <w:p w14:paraId="1C23F01B" w14:textId="77777777" w:rsidR="001D0B04" w:rsidRPr="001D0B04" w:rsidRDefault="001D0B04" w:rsidP="001D0B04">
      <w:pPr>
        <w:rPr>
          <w:szCs w:val="22"/>
          <w:lang w:val="ru-RU"/>
        </w:rPr>
      </w:pPr>
      <w:r w:rsidRPr="001D0B04">
        <w:rPr>
          <w:szCs w:val="22"/>
          <w:lang w:val="ru-RU"/>
        </w:rPr>
        <w:t xml:space="preserve">Группа экспертов по Решению </w:t>
      </w:r>
      <w:r w:rsidRPr="001D0B04">
        <w:rPr>
          <w:b/>
          <w:bCs/>
          <w:szCs w:val="22"/>
          <w:lang w:val="ru-RU"/>
        </w:rPr>
        <w:t>482</w:t>
      </w:r>
      <w:r w:rsidRPr="001D0B04">
        <w:rPr>
          <w:szCs w:val="22"/>
          <w:lang w:val="ru-RU"/>
        </w:rPr>
        <w:t xml:space="preserve"> (ГЭ-РЕШ482) в своем заключительном отчете Совету МСЭ (</w:t>
      </w:r>
      <w:r w:rsidRPr="001D0B04">
        <w:rPr>
          <w:lang w:val="ru-RU"/>
        </w:rPr>
        <w:t>Документ</w:t>
      </w:r>
      <w:r w:rsidRPr="001D0B04">
        <w:rPr>
          <w:szCs w:val="22"/>
          <w:lang w:val="ru-RU"/>
        </w:rPr>
        <w:t xml:space="preserve"> </w:t>
      </w:r>
      <w:hyperlink r:id="rId15" w:history="1">
        <w:r w:rsidRPr="00C977A0">
          <w:rPr>
            <w:rStyle w:val="Hyperlink"/>
            <w:szCs w:val="22"/>
          </w:rPr>
          <w:t>C</w:t>
        </w:r>
        <w:r w:rsidRPr="001D0B04">
          <w:rPr>
            <w:rStyle w:val="Hyperlink"/>
            <w:szCs w:val="22"/>
            <w:lang w:val="ru-RU"/>
          </w:rPr>
          <w:t>25/10</w:t>
        </w:r>
      </w:hyperlink>
      <w:r w:rsidRPr="001D0B04">
        <w:rPr>
          <w:szCs w:val="22"/>
          <w:lang w:val="ru-RU"/>
        </w:rPr>
        <w:t>) отметила, что в отношении заявок, подаваемых в соответствии с Резолюцией</w:t>
      </w:r>
      <w:r>
        <w:rPr>
          <w:szCs w:val="22"/>
        </w:rPr>
        <w:t> </w:t>
      </w:r>
      <w:r w:rsidRPr="001D0B04">
        <w:rPr>
          <w:szCs w:val="22"/>
          <w:lang w:val="ru-RU"/>
        </w:rPr>
        <w:t>170, заявитель имеет право на одну бесплатную регистрацию в год. Поэтому регион САДК должен уплатить сборы в счет возмещения затрат по оставшимся семи (7) заявлениям о координации.</w:t>
      </w:r>
    </w:p>
    <w:p w14:paraId="29BF0790" w14:textId="77777777" w:rsidR="001D0B04" w:rsidRPr="001D0B04" w:rsidRDefault="001D0B04" w:rsidP="001D0B04">
      <w:pPr>
        <w:rPr>
          <w:szCs w:val="22"/>
          <w:lang w:val="ru-RU"/>
        </w:rPr>
      </w:pPr>
      <w:r w:rsidRPr="001D0B04">
        <w:rPr>
          <w:lang w:val="ru-RU"/>
        </w:rPr>
        <w:t>Однако</w:t>
      </w:r>
      <w:r w:rsidRPr="001D0B04">
        <w:rPr>
          <w:szCs w:val="22"/>
          <w:lang w:val="ru-RU"/>
        </w:rPr>
        <w:t xml:space="preserve"> это требование является следствием того, что с технической точки зрения невозможно выбрать единственную подходящую орбитальную позицию, − факт, который признан РРК. Кроме того:</w:t>
      </w:r>
    </w:p>
    <w:p w14:paraId="2091EB4B" w14:textId="661CFEB6" w:rsidR="001D0B04" w:rsidRPr="001D0B04" w:rsidRDefault="001D0B04" w:rsidP="001D0B04">
      <w:pPr>
        <w:pStyle w:val="enumlev1"/>
        <w:rPr>
          <w:lang w:val="ru-RU"/>
        </w:rPr>
      </w:pPr>
      <w:r w:rsidRPr="001D0B04">
        <w:rPr>
          <w:lang w:val="ru-RU"/>
        </w:rPr>
        <w:t>•</w:t>
      </w:r>
      <w:r w:rsidRPr="001D0B04">
        <w:rPr>
          <w:lang w:val="ru-RU"/>
        </w:rPr>
        <w:tab/>
        <w:t xml:space="preserve">В общей сложности восемь (8) заявлений о координации, подаваемых в соответствии с Резолюцией </w:t>
      </w:r>
      <w:r w:rsidRPr="001D0B04">
        <w:rPr>
          <w:rFonts w:asciiTheme="minorHAnsi" w:hAnsiTheme="minorHAnsi" w:cstheme="minorHAnsi"/>
          <w:b/>
          <w:bCs/>
          <w:lang w:val="ru-RU"/>
        </w:rPr>
        <w:t>170</w:t>
      </w:r>
      <w:r w:rsidRPr="001D0B04">
        <w:rPr>
          <w:rFonts w:asciiTheme="minorHAnsi" w:hAnsiTheme="minorHAnsi" w:cstheme="minorHAnsi"/>
          <w:lang w:val="ru-RU"/>
        </w:rPr>
        <w:t xml:space="preserve"> </w:t>
      </w:r>
      <w:r w:rsidRPr="001D0B04">
        <w:rPr>
          <w:b/>
          <w:bCs/>
          <w:lang w:val="ru-RU"/>
        </w:rPr>
        <w:t>(Пересм. ВКР-23)</w:t>
      </w:r>
      <w:r w:rsidRPr="001D0B04">
        <w:rPr>
          <w:lang w:val="ru-RU"/>
        </w:rPr>
        <w:t>, вполне укладываются в лимит, установленный для 16</w:t>
      </w:r>
      <w:r>
        <w:t> </w:t>
      </w:r>
      <w:r w:rsidRPr="001D0B04">
        <w:rPr>
          <w:lang w:val="ru-RU"/>
        </w:rPr>
        <w:t>участвующих администраций, каждая из которых имеет право на одну бесплатную заявку в год; и</w:t>
      </w:r>
    </w:p>
    <w:p w14:paraId="18FC56C5" w14:textId="497E86C9" w:rsidR="001D0B04" w:rsidRPr="001D0B04" w:rsidRDefault="001D0B04" w:rsidP="001D0B04">
      <w:pPr>
        <w:pStyle w:val="enumlev1"/>
        <w:rPr>
          <w:lang w:val="ru-RU"/>
        </w:rPr>
      </w:pPr>
      <w:r w:rsidRPr="001D0B04">
        <w:rPr>
          <w:lang w:val="ru-RU"/>
        </w:rPr>
        <w:t>•</w:t>
      </w:r>
      <w:r w:rsidRPr="001D0B04">
        <w:rPr>
          <w:lang w:val="ru-RU"/>
        </w:rPr>
        <w:tab/>
        <w:t xml:space="preserve">взимание платы в счет возмещения затрат в этом контексте, особенно учитывая интересы НРС, СИДС и ЛЛДС, подрывает приверженность МСЭ обеспечению справедливого доступа к спутниковым орбитам и удовлетворению особых потребностей развивающихся стран, как это предусмотрено в Резолюции </w:t>
      </w:r>
      <w:r w:rsidRPr="001D0B04">
        <w:rPr>
          <w:b/>
          <w:bCs/>
          <w:lang w:val="ru-RU"/>
        </w:rPr>
        <w:t>218 (Бухарест, 2022 г.)</w:t>
      </w:r>
      <w:r w:rsidRPr="001D0B04">
        <w:rPr>
          <w:lang w:val="ru-RU"/>
        </w:rPr>
        <w:t xml:space="preserve"> Полномочной конференции.</w:t>
      </w:r>
    </w:p>
    <w:p w14:paraId="239971B9" w14:textId="77777777" w:rsidR="001D0B04" w:rsidRPr="001D0B04" w:rsidRDefault="001D0B04" w:rsidP="001D0B04">
      <w:pPr>
        <w:pStyle w:val="Headingb"/>
        <w:rPr>
          <w:lang w:val="ru-RU"/>
        </w:rPr>
      </w:pPr>
      <w:r w:rsidRPr="001D0B04">
        <w:rPr>
          <w:lang w:val="ru-RU"/>
        </w:rPr>
        <w:t>Предложение</w:t>
      </w:r>
    </w:p>
    <w:p w14:paraId="50AC9BD9" w14:textId="77777777" w:rsidR="001D0B04" w:rsidRPr="001D0B04" w:rsidRDefault="001D0B04" w:rsidP="001D0B04">
      <w:pPr>
        <w:rPr>
          <w:rFonts w:asciiTheme="minorHAnsi" w:hAnsiTheme="minorHAnsi" w:cstheme="minorHAnsi"/>
          <w:szCs w:val="22"/>
          <w:lang w:val="ru-RU"/>
        </w:rPr>
      </w:pPr>
      <w:r w:rsidRPr="001D0B04">
        <w:rPr>
          <w:rFonts w:asciiTheme="minorHAnsi" w:hAnsiTheme="minorHAnsi" w:cstheme="minorHAnsi"/>
          <w:szCs w:val="22"/>
          <w:lang w:val="ru-RU"/>
        </w:rPr>
        <w:t xml:space="preserve">Ввиду вышеизложенного стороны, подписавшие настоящее предложение, убедительно просят Совет </w:t>
      </w:r>
      <w:r w:rsidRPr="001D0B04">
        <w:rPr>
          <w:lang w:val="ru-RU"/>
        </w:rPr>
        <w:t>МСЭ</w:t>
      </w:r>
      <w:r w:rsidRPr="001D0B04">
        <w:rPr>
          <w:rFonts w:asciiTheme="minorHAnsi" w:hAnsiTheme="minorHAnsi" w:cstheme="minorHAnsi"/>
          <w:szCs w:val="22"/>
          <w:lang w:val="ru-RU"/>
        </w:rPr>
        <w:t xml:space="preserve"> освободить семь (7) заявлений о координации, подаваемых в соответствии с Резолюцией </w:t>
      </w:r>
      <w:r w:rsidRPr="001D0B04">
        <w:rPr>
          <w:rFonts w:asciiTheme="minorHAnsi" w:hAnsiTheme="minorHAnsi" w:cstheme="minorHAnsi"/>
          <w:b/>
          <w:bCs/>
          <w:szCs w:val="22"/>
          <w:lang w:val="ru-RU"/>
        </w:rPr>
        <w:t>170</w:t>
      </w:r>
      <w:r w:rsidRPr="001D0B04">
        <w:rPr>
          <w:rFonts w:asciiTheme="minorHAnsi" w:hAnsiTheme="minorHAnsi" w:cstheme="minorHAnsi"/>
          <w:szCs w:val="22"/>
          <w:lang w:val="ru-RU"/>
        </w:rPr>
        <w:t xml:space="preserve"> </w:t>
      </w:r>
      <w:r w:rsidRPr="001D0B04">
        <w:rPr>
          <w:b/>
          <w:bCs/>
          <w:szCs w:val="22"/>
          <w:lang w:val="ru-RU"/>
        </w:rPr>
        <w:t>(Пересм. ВКР-23)</w:t>
      </w:r>
      <w:r w:rsidRPr="001D0B04">
        <w:rPr>
          <w:szCs w:val="22"/>
          <w:lang w:val="ru-RU"/>
        </w:rPr>
        <w:t>,</w:t>
      </w:r>
      <w:r w:rsidRPr="001D0B04">
        <w:rPr>
          <w:b/>
          <w:bCs/>
          <w:szCs w:val="22"/>
          <w:lang w:val="ru-RU"/>
        </w:rPr>
        <w:t xml:space="preserve"> </w:t>
      </w:r>
      <w:r w:rsidRPr="001D0B04">
        <w:rPr>
          <w:rFonts w:asciiTheme="minorHAnsi" w:hAnsiTheme="minorHAnsi" w:cstheme="minorHAnsi"/>
          <w:szCs w:val="22"/>
          <w:lang w:val="ru-RU"/>
        </w:rPr>
        <w:t>от сбора в счет возмещения затрат, поскольку они будут поданы администрацией Анголы от имени 16 государств − членов САДК</w:t>
      </w:r>
      <w:r w:rsidRPr="001D0B04">
        <w:rPr>
          <w:szCs w:val="22"/>
          <w:lang w:val="ru-RU"/>
        </w:rPr>
        <w:t>.</w:t>
      </w:r>
    </w:p>
    <w:p w14:paraId="69767EBE" w14:textId="75A7EF25" w:rsidR="00796BD3" w:rsidRPr="00796BD3" w:rsidRDefault="00C462C5" w:rsidP="001D0B04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9B2A" w14:textId="77777777" w:rsidR="00022329" w:rsidRDefault="00022329">
      <w:r>
        <w:separator/>
      </w:r>
    </w:p>
  </w:endnote>
  <w:endnote w:type="continuationSeparator" w:id="0">
    <w:p w14:paraId="671FFF6A" w14:textId="77777777" w:rsidR="00022329" w:rsidRDefault="0002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60597EA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7CDDA892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1D0B04">
            <w:rPr>
              <w:bCs/>
            </w:rPr>
            <w:t>82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5B517689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8E48" w14:textId="77777777" w:rsidR="00022329" w:rsidRDefault="00022329">
      <w:r>
        <w:t>____________________</w:t>
      </w:r>
    </w:p>
  </w:footnote>
  <w:footnote w:type="continuationSeparator" w:id="0">
    <w:p w14:paraId="69ADCCC5" w14:textId="77777777" w:rsidR="00022329" w:rsidRDefault="00022329">
      <w:r>
        <w:continuationSeparator/>
      </w:r>
    </w:p>
  </w:footnote>
  <w:footnote w:id="1">
    <w:p w14:paraId="08E3C547" w14:textId="77118806" w:rsidR="001D0B04" w:rsidRPr="00E56B5D" w:rsidRDefault="001D0B04" w:rsidP="001D0B04">
      <w:pPr>
        <w:pStyle w:val="FootnoteText"/>
        <w:rPr>
          <w:szCs w:val="24"/>
          <w:lang w:val="ru-RU"/>
        </w:rPr>
      </w:pPr>
      <w:r w:rsidRPr="001D0B04">
        <w:rPr>
          <w:rStyle w:val="FootnoteReference"/>
        </w:rPr>
        <w:footnoteRef/>
      </w:r>
      <w:r w:rsidRPr="001D0B04">
        <w:rPr>
          <w:lang w:val="ru-RU"/>
        </w:rPr>
        <w:tab/>
        <w:t>Некоторые страны относятся более чем к одной категории, а Намибия не относится ни к одной из трех категорий</w:t>
      </w:r>
      <w:r w:rsidRPr="001D0B04">
        <w:rPr>
          <w:i/>
          <w:iCs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95E1C"/>
    <w:multiLevelType w:val="multilevel"/>
    <w:tmpl w:val="2694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36867"/>
    <w:multiLevelType w:val="hybridMultilevel"/>
    <w:tmpl w:val="03A6549E"/>
    <w:lvl w:ilvl="0" w:tplc="D4F0AA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40522396">
    <w:abstractNumId w:val="2"/>
  </w:num>
  <w:num w:numId="3" w16cid:durableId="66990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2329"/>
    <w:rsid w:val="000569B4"/>
    <w:rsid w:val="0006007D"/>
    <w:rsid w:val="0007184B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D0B04"/>
    <w:rsid w:val="001E6719"/>
    <w:rsid w:val="001E7F50"/>
    <w:rsid w:val="002058EB"/>
    <w:rsid w:val="00225368"/>
    <w:rsid w:val="00227FF0"/>
    <w:rsid w:val="00291EB6"/>
    <w:rsid w:val="002C3F32"/>
    <w:rsid w:val="002D2F57"/>
    <w:rsid w:val="002D48C5"/>
    <w:rsid w:val="002D7E7A"/>
    <w:rsid w:val="0033025A"/>
    <w:rsid w:val="00345D2A"/>
    <w:rsid w:val="00365074"/>
    <w:rsid w:val="003C739A"/>
    <w:rsid w:val="003F099E"/>
    <w:rsid w:val="003F235E"/>
    <w:rsid w:val="00401FD7"/>
    <w:rsid w:val="004023E0"/>
    <w:rsid w:val="00403DD8"/>
    <w:rsid w:val="00407940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60449"/>
    <w:rsid w:val="00672F8A"/>
    <w:rsid w:val="006A450A"/>
    <w:rsid w:val="006E2D42"/>
    <w:rsid w:val="00703676"/>
    <w:rsid w:val="00707304"/>
    <w:rsid w:val="00731B05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4484"/>
    <w:rsid w:val="008B62B4"/>
    <w:rsid w:val="008D2D7B"/>
    <w:rsid w:val="008E0737"/>
    <w:rsid w:val="008E1EFB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B6CD6"/>
    <w:rsid w:val="00BC0D39"/>
    <w:rsid w:val="00BC7BC0"/>
    <w:rsid w:val="00BD57B7"/>
    <w:rsid w:val="00BE63E2"/>
    <w:rsid w:val="00C012E5"/>
    <w:rsid w:val="00C42122"/>
    <w:rsid w:val="00C462C5"/>
    <w:rsid w:val="00C54C1D"/>
    <w:rsid w:val="00CD2009"/>
    <w:rsid w:val="00CF629C"/>
    <w:rsid w:val="00D631AA"/>
    <w:rsid w:val="00D85779"/>
    <w:rsid w:val="00D92EEA"/>
    <w:rsid w:val="00DA5D4E"/>
    <w:rsid w:val="00DA770A"/>
    <w:rsid w:val="00E05752"/>
    <w:rsid w:val="00E176BA"/>
    <w:rsid w:val="00E423EC"/>
    <w:rsid w:val="00E55121"/>
    <w:rsid w:val="00E56B5D"/>
    <w:rsid w:val="00EB4FCB"/>
    <w:rsid w:val="00EC6BC5"/>
    <w:rsid w:val="00ED5131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E3373710-F0C9-464E-B9D0-C039B7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1D0B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0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30-r.pdf" TargetMode="External"/><Relationship Id="rId13" Type="http://schemas.openxmlformats.org/officeDocument/2006/relationships/hyperlink" Target="https://www.itu.int/md/R24-RRB24.3-C-0019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noosa.org/oosa/oosadoc/data/resolutions/2021/general_assembly_76th_session/ares763.html" TargetMode="External"/><Relationship Id="rId12" Type="http://schemas.openxmlformats.org/officeDocument/2006/relationships/hyperlink" Target="https://www.itu.int/en/council/Documents/basic-texts-2023/RES-218-r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203-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5-CL-C-0010/en" TargetMode="External"/><Relationship Id="rId10" Type="http://schemas.openxmlformats.org/officeDocument/2006/relationships/hyperlink" Target="https://www.itu.int/en/council/Documents/basic-texts-2023/RES-200-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40-r.pdf" TargetMode="External"/><Relationship Id="rId14" Type="http://schemas.openxmlformats.org/officeDocument/2006/relationships/hyperlink" Target="https://www.itu.int/md/R24-RRB24.3-C-0023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Multicountry contribution - Proposal for exemption of cost recovery fee for seven submissions under Resolution 170 (Rev.WRC-23) by the Administration of Angola acting on behalf of 16 SADC Member States</dc:title>
  <dc:subject>ITU Council 2025</dc:subject>
  <dc:creator>Brouard, Ricarda</dc:creator>
  <cp:keywords>C2025, C25, Council-25</cp:keywords>
  <dc:description/>
  <cp:lastModifiedBy>GBS</cp:lastModifiedBy>
  <cp:revision>2</cp:revision>
  <cp:lastPrinted>2006-03-28T16:12:00Z</cp:lastPrinted>
  <dcterms:created xsi:type="dcterms:W3CDTF">2025-06-12T11:26:00Z</dcterms:created>
  <dcterms:modified xsi:type="dcterms:W3CDTF">2025-06-12T11:26:00Z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