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D34FE" w14:paraId="4A723465" w14:textId="77777777" w:rsidTr="00D72F49">
        <w:trPr>
          <w:cantSplit/>
          <w:trHeight w:val="23"/>
        </w:trPr>
        <w:tc>
          <w:tcPr>
            <w:tcW w:w="3969" w:type="dxa"/>
            <w:vMerge w:val="restart"/>
            <w:tcMar>
              <w:left w:w="0" w:type="dxa"/>
            </w:tcMar>
          </w:tcPr>
          <w:p w14:paraId="0BE6AF64" w14:textId="74D3B8DE" w:rsidR="00D72F49" w:rsidRPr="004D34FE" w:rsidRDefault="00D72F49" w:rsidP="00D72F49">
            <w:pPr>
              <w:tabs>
                <w:tab w:val="left" w:pos="851"/>
              </w:tabs>
              <w:spacing w:before="0" w:line="240" w:lineRule="atLeast"/>
              <w:rPr>
                <w:b/>
              </w:rPr>
            </w:pPr>
            <w:r w:rsidRPr="004D34FE">
              <w:rPr>
                <w:b/>
              </w:rPr>
              <w:t>Point de l'ordre du jour:</w:t>
            </w:r>
            <w:r w:rsidR="00B21496" w:rsidRPr="004D34FE">
              <w:rPr>
                <w:b/>
              </w:rPr>
              <w:t xml:space="preserve"> ADM 1</w:t>
            </w:r>
          </w:p>
        </w:tc>
        <w:tc>
          <w:tcPr>
            <w:tcW w:w="5245" w:type="dxa"/>
          </w:tcPr>
          <w:p w14:paraId="2BE34F9E" w14:textId="1419E73F" w:rsidR="00D72F49" w:rsidRPr="004D34FE" w:rsidRDefault="00D72F49" w:rsidP="00D72F49">
            <w:pPr>
              <w:tabs>
                <w:tab w:val="left" w:pos="851"/>
              </w:tabs>
              <w:spacing w:before="0" w:line="240" w:lineRule="atLeast"/>
              <w:jc w:val="right"/>
              <w:rPr>
                <w:b/>
              </w:rPr>
            </w:pPr>
            <w:r w:rsidRPr="004D34FE">
              <w:rPr>
                <w:b/>
              </w:rPr>
              <w:t>Document C2</w:t>
            </w:r>
            <w:r w:rsidR="00FC6D7D" w:rsidRPr="004D34FE">
              <w:rPr>
                <w:b/>
              </w:rPr>
              <w:t>5</w:t>
            </w:r>
            <w:r w:rsidRPr="004D34FE">
              <w:rPr>
                <w:b/>
              </w:rPr>
              <w:t>/</w:t>
            </w:r>
            <w:r w:rsidR="00B21496" w:rsidRPr="004D34FE">
              <w:rPr>
                <w:b/>
              </w:rPr>
              <w:t>82</w:t>
            </w:r>
            <w:r w:rsidRPr="004D34FE">
              <w:rPr>
                <w:b/>
              </w:rPr>
              <w:t>-F</w:t>
            </w:r>
          </w:p>
        </w:tc>
      </w:tr>
      <w:tr w:rsidR="00D72F49" w:rsidRPr="004D34FE" w14:paraId="62EE96F9" w14:textId="77777777" w:rsidTr="00D72F49">
        <w:trPr>
          <w:cantSplit/>
        </w:trPr>
        <w:tc>
          <w:tcPr>
            <w:tcW w:w="3969" w:type="dxa"/>
            <w:vMerge/>
          </w:tcPr>
          <w:p w14:paraId="1A50D1EC" w14:textId="77777777" w:rsidR="00D72F49" w:rsidRPr="004D34FE" w:rsidRDefault="00D72F49" w:rsidP="00D72F49">
            <w:pPr>
              <w:tabs>
                <w:tab w:val="left" w:pos="851"/>
              </w:tabs>
              <w:spacing w:line="240" w:lineRule="atLeast"/>
              <w:rPr>
                <w:b/>
              </w:rPr>
            </w:pPr>
          </w:p>
        </w:tc>
        <w:tc>
          <w:tcPr>
            <w:tcW w:w="5245" w:type="dxa"/>
          </w:tcPr>
          <w:p w14:paraId="29920C4C" w14:textId="22881B69" w:rsidR="00D72F49" w:rsidRPr="004D34FE" w:rsidRDefault="00B21496" w:rsidP="00D72F49">
            <w:pPr>
              <w:tabs>
                <w:tab w:val="left" w:pos="851"/>
              </w:tabs>
              <w:spacing w:before="0"/>
              <w:jc w:val="right"/>
              <w:rPr>
                <w:b/>
              </w:rPr>
            </w:pPr>
            <w:r w:rsidRPr="004D34FE">
              <w:rPr>
                <w:b/>
              </w:rPr>
              <w:t>2 juin 2025</w:t>
            </w:r>
          </w:p>
        </w:tc>
      </w:tr>
      <w:tr w:rsidR="00D72F49" w:rsidRPr="004D34FE" w14:paraId="1DAABC28" w14:textId="77777777" w:rsidTr="00D72F49">
        <w:trPr>
          <w:cantSplit/>
          <w:trHeight w:val="23"/>
        </w:trPr>
        <w:tc>
          <w:tcPr>
            <w:tcW w:w="3969" w:type="dxa"/>
            <w:vMerge/>
          </w:tcPr>
          <w:p w14:paraId="7622C6B7" w14:textId="77777777" w:rsidR="00D72F49" w:rsidRPr="004D34FE" w:rsidRDefault="00D72F49" w:rsidP="00D72F49">
            <w:pPr>
              <w:tabs>
                <w:tab w:val="left" w:pos="851"/>
              </w:tabs>
              <w:spacing w:line="240" w:lineRule="atLeast"/>
              <w:rPr>
                <w:b/>
              </w:rPr>
            </w:pPr>
          </w:p>
        </w:tc>
        <w:tc>
          <w:tcPr>
            <w:tcW w:w="5245" w:type="dxa"/>
          </w:tcPr>
          <w:p w14:paraId="2F2E48C7" w14:textId="77777777" w:rsidR="00D72F49" w:rsidRPr="004D34FE" w:rsidRDefault="00D72F49" w:rsidP="00D72F49">
            <w:pPr>
              <w:tabs>
                <w:tab w:val="left" w:pos="851"/>
              </w:tabs>
              <w:spacing w:before="0" w:line="240" w:lineRule="atLeast"/>
              <w:jc w:val="right"/>
              <w:rPr>
                <w:b/>
              </w:rPr>
            </w:pPr>
            <w:r w:rsidRPr="004D34FE">
              <w:rPr>
                <w:b/>
              </w:rPr>
              <w:t>Original: anglais</w:t>
            </w:r>
          </w:p>
        </w:tc>
      </w:tr>
      <w:tr w:rsidR="00D72F49" w:rsidRPr="004D34FE" w14:paraId="30DFAF61" w14:textId="77777777" w:rsidTr="00D72F49">
        <w:trPr>
          <w:cantSplit/>
          <w:trHeight w:val="23"/>
        </w:trPr>
        <w:tc>
          <w:tcPr>
            <w:tcW w:w="3969" w:type="dxa"/>
          </w:tcPr>
          <w:p w14:paraId="3A011769" w14:textId="77777777" w:rsidR="00D72F49" w:rsidRPr="004D34FE" w:rsidRDefault="00D72F49" w:rsidP="00D72F49">
            <w:pPr>
              <w:tabs>
                <w:tab w:val="left" w:pos="851"/>
              </w:tabs>
              <w:spacing w:line="240" w:lineRule="atLeast"/>
              <w:rPr>
                <w:b/>
              </w:rPr>
            </w:pPr>
          </w:p>
        </w:tc>
        <w:tc>
          <w:tcPr>
            <w:tcW w:w="5245" w:type="dxa"/>
          </w:tcPr>
          <w:p w14:paraId="56EBD88E" w14:textId="77777777" w:rsidR="00D72F49" w:rsidRPr="004D34FE" w:rsidRDefault="00D72F49" w:rsidP="00D72F49">
            <w:pPr>
              <w:tabs>
                <w:tab w:val="left" w:pos="851"/>
              </w:tabs>
              <w:spacing w:before="0" w:line="240" w:lineRule="atLeast"/>
              <w:jc w:val="right"/>
              <w:rPr>
                <w:b/>
              </w:rPr>
            </w:pPr>
          </w:p>
        </w:tc>
      </w:tr>
      <w:tr w:rsidR="00D72F49" w:rsidRPr="004D34FE" w14:paraId="1993AE6C" w14:textId="77777777" w:rsidTr="00D72F49">
        <w:trPr>
          <w:cantSplit/>
        </w:trPr>
        <w:tc>
          <w:tcPr>
            <w:tcW w:w="9214" w:type="dxa"/>
            <w:gridSpan w:val="2"/>
            <w:tcMar>
              <w:left w:w="0" w:type="dxa"/>
            </w:tcMar>
          </w:tcPr>
          <w:p w14:paraId="1057F661" w14:textId="6A7B0D9E" w:rsidR="00D72F49" w:rsidRPr="004D34FE" w:rsidRDefault="00B21496" w:rsidP="00D72F49">
            <w:pPr>
              <w:pStyle w:val="Source"/>
              <w:jc w:val="left"/>
              <w:rPr>
                <w:sz w:val="34"/>
                <w:szCs w:val="34"/>
              </w:rPr>
            </w:pPr>
            <w:r w:rsidRPr="004D34FE">
              <w:rPr>
                <w:rFonts w:cstheme="minorHAnsi"/>
                <w:color w:val="000000"/>
                <w:sz w:val="34"/>
                <w:szCs w:val="34"/>
              </w:rPr>
              <w:t>Contribution</w:t>
            </w:r>
            <w:r w:rsidR="00901249" w:rsidRPr="004D34FE">
              <w:rPr>
                <w:rFonts w:cstheme="minorHAnsi"/>
                <w:color w:val="000000"/>
                <w:sz w:val="34"/>
                <w:szCs w:val="34"/>
              </w:rPr>
              <w:t xml:space="preserve"> de l'Angola, du Botswana, des Comores, de l'Eswatini, du Lesotho, de Madagascar, du Malawi, de Maurice, du Mozambique, de la Namibie, de la Rép</w:t>
            </w:r>
            <w:r w:rsidR="00570B55" w:rsidRPr="004D34FE">
              <w:rPr>
                <w:rFonts w:cstheme="minorHAnsi"/>
                <w:color w:val="000000"/>
                <w:sz w:val="34"/>
                <w:szCs w:val="34"/>
              </w:rPr>
              <w:t>.</w:t>
            </w:r>
            <w:r w:rsidR="00901249" w:rsidRPr="004D34FE">
              <w:rPr>
                <w:rFonts w:cstheme="minorHAnsi"/>
                <w:color w:val="000000"/>
                <w:sz w:val="34"/>
                <w:szCs w:val="34"/>
              </w:rPr>
              <w:t xml:space="preserve"> dém</w:t>
            </w:r>
            <w:r w:rsidR="00570B55" w:rsidRPr="004D34FE">
              <w:rPr>
                <w:rFonts w:cstheme="minorHAnsi"/>
                <w:color w:val="000000"/>
                <w:sz w:val="34"/>
                <w:szCs w:val="34"/>
              </w:rPr>
              <w:t>.</w:t>
            </w:r>
            <w:r w:rsidR="00901249" w:rsidRPr="004D34FE">
              <w:rPr>
                <w:rFonts w:cstheme="minorHAnsi"/>
                <w:color w:val="000000"/>
                <w:sz w:val="34"/>
                <w:szCs w:val="34"/>
              </w:rPr>
              <w:t xml:space="preserve"> du Congo, des Seychelles, de la</w:t>
            </w:r>
            <w:r w:rsidR="00570B55" w:rsidRPr="004D34FE">
              <w:rPr>
                <w:rFonts w:cstheme="minorHAnsi"/>
                <w:color w:val="000000"/>
                <w:sz w:val="34"/>
                <w:szCs w:val="34"/>
              </w:rPr>
              <w:t xml:space="preserve"> Sudafricaine (Rép.)</w:t>
            </w:r>
            <w:r w:rsidR="00901249" w:rsidRPr="004D34FE">
              <w:rPr>
                <w:rFonts w:cstheme="minorHAnsi"/>
                <w:color w:val="000000"/>
                <w:sz w:val="34"/>
                <w:szCs w:val="34"/>
              </w:rPr>
              <w:t>, de la Tanzanie, de la Zambie et du Zimbabwe</w:t>
            </w:r>
          </w:p>
        </w:tc>
      </w:tr>
      <w:tr w:rsidR="00D72F49" w:rsidRPr="004D34FE" w14:paraId="2FD1EACE" w14:textId="77777777" w:rsidTr="00D72F49">
        <w:trPr>
          <w:cantSplit/>
        </w:trPr>
        <w:tc>
          <w:tcPr>
            <w:tcW w:w="9214" w:type="dxa"/>
            <w:gridSpan w:val="2"/>
            <w:tcMar>
              <w:left w:w="0" w:type="dxa"/>
            </w:tcMar>
          </w:tcPr>
          <w:p w14:paraId="51972E24" w14:textId="0BFBC3CD" w:rsidR="00D72F49" w:rsidRPr="004D34FE" w:rsidRDefault="00B21496" w:rsidP="00D72F49">
            <w:pPr>
              <w:pStyle w:val="Subtitle"/>
              <w:framePr w:hSpace="0" w:wrap="auto" w:hAnchor="text" w:xAlign="left" w:yAlign="inline"/>
              <w:rPr>
                <w:sz w:val="32"/>
                <w:szCs w:val="32"/>
                <w:lang w:val="fr-FR"/>
              </w:rPr>
            </w:pPr>
            <w:r w:rsidRPr="004D34FE">
              <w:rPr>
                <w:rFonts w:cstheme="minorHAnsi"/>
                <w:sz w:val="32"/>
                <w:szCs w:val="32"/>
                <w:lang w:val="fr-FR"/>
              </w:rPr>
              <w:t>PROPOSITION D'EXONÉRATION DU PAIEMENT DES DROITS LIÉS AU RECOUVREMENT DES COÛTS POUR SEPT FICHES DE NOTIFICATION AU TITRE DE LA RÉSOLUTION 170 (RÉV.CMR-23) QUI SERONT SOUMISES PAR L'ADMINISTRATION DE L'ANGOLA, AGISSANT AU NOM DE 16 ÉTATS MEMBRES DE LA SADC</w:t>
            </w:r>
          </w:p>
        </w:tc>
      </w:tr>
      <w:tr w:rsidR="00D72F49" w:rsidRPr="004D34FE" w14:paraId="668F6610" w14:textId="77777777" w:rsidTr="00D72F49">
        <w:trPr>
          <w:cantSplit/>
        </w:trPr>
        <w:tc>
          <w:tcPr>
            <w:tcW w:w="9214" w:type="dxa"/>
            <w:gridSpan w:val="2"/>
            <w:tcBorders>
              <w:top w:val="single" w:sz="4" w:space="0" w:color="auto"/>
              <w:bottom w:val="single" w:sz="4" w:space="0" w:color="auto"/>
            </w:tcBorders>
            <w:tcMar>
              <w:left w:w="0" w:type="dxa"/>
            </w:tcMar>
          </w:tcPr>
          <w:p w14:paraId="23299E81" w14:textId="77777777" w:rsidR="00D72F49" w:rsidRPr="004D34FE" w:rsidRDefault="00F37FE5" w:rsidP="00D72F49">
            <w:pPr>
              <w:spacing w:before="160"/>
              <w:rPr>
                <w:b/>
                <w:bCs/>
                <w:sz w:val="26"/>
                <w:szCs w:val="26"/>
              </w:rPr>
            </w:pPr>
            <w:r w:rsidRPr="004D34FE">
              <w:rPr>
                <w:b/>
                <w:bCs/>
                <w:sz w:val="26"/>
                <w:szCs w:val="26"/>
              </w:rPr>
              <w:t>Objet</w:t>
            </w:r>
          </w:p>
          <w:p w14:paraId="0EB28126" w14:textId="1E56989A" w:rsidR="00D72F49" w:rsidRPr="004D34FE" w:rsidRDefault="00B21496" w:rsidP="00D72F49">
            <w:r w:rsidRPr="004D34FE">
              <w:t xml:space="preserve">Il est proposé d'exonérer sept (7) fiches de notification de coordination – qui seront soumises au titre de la Résolution </w:t>
            </w:r>
            <w:r w:rsidRPr="004D34FE">
              <w:rPr>
                <w:b/>
                <w:bCs/>
              </w:rPr>
              <w:t>170 (Rév.CMR-23)</w:t>
            </w:r>
            <w:r w:rsidRPr="004D34FE">
              <w:t xml:space="preserve"> – du paiement des droits liés au recouvrement des coûts, étant donné qu'elles seront soumises par l'Angola, agissant au nom de 16 États Membres de la Communauté de développement de l'Afrique australe (SADC).</w:t>
            </w:r>
          </w:p>
          <w:p w14:paraId="711150D0" w14:textId="77777777" w:rsidR="00D72F49" w:rsidRPr="004D34FE" w:rsidRDefault="00D72F49" w:rsidP="00D72F49">
            <w:pPr>
              <w:spacing w:before="160"/>
              <w:rPr>
                <w:b/>
                <w:bCs/>
                <w:sz w:val="26"/>
                <w:szCs w:val="26"/>
              </w:rPr>
            </w:pPr>
            <w:r w:rsidRPr="004D34FE">
              <w:rPr>
                <w:b/>
                <w:bCs/>
                <w:sz w:val="26"/>
                <w:szCs w:val="26"/>
              </w:rPr>
              <w:t>Suite à donner par le Conseil</w:t>
            </w:r>
          </w:p>
          <w:p w14:paraId="40563CBD" w14:textId="2D1DC0F8" w:rsidR="00D72F49" w:rsidRPr="004D34FE" w:rsidRDefault="00B21496" w:rsidP="00D72F49">
            <w:r w:rsidRPr="004D34FE">
              <w:t xml:space="preserve">Le Conseil est prié </w:t>
            </w:r>
            <w:r w:rsidRPr="004D34FE">
              <w:rPr>
                <w:b/>
                <w:bCs/>
              </w:rPr>
              <w:t>d'examiner</w:t>
            </w:r>
            <w:r w:rsidRPr="004D34FE">
              <w:t xml:space="preserve"> et </w:t>
            </w:r>
            <w:r w:rsidRPr="004D34FE">
              <w:rPr>
                <w:b/>
                <w:bCs/>
              </w:rPr>
              <w:t>d'approuver</w:t>
            </w:r>
            <w:r w:rsidRPr="004D34FE">
              <w:t xml:space="preserve"> la proposition soumise dans la présente contribution.</w:t>
            </w:r>
          </w:p>
          <w:p w14:paraId="517E9F3E" w14:textId="77777777" w:rsidR="00D72F49" w:rsidRPr="004D34FE" w:rsidRDefault="00D72F49" w:rsidP="00D72F49">
            <w:pPr>
              <w:spacing w:before="160"/>
              <w:rPr>
                <w:caps/>
                <w:sz w:val="22"/>
              </w:rPr>
            </w:pPr>
            <w:r w:rsidRPr="004D34FE">
              <w:rPr>
                <w:sz w:val="22"/>
              </w:rPr>
              <w:t>__________________</w:t>
            </w:r>
          </w:p>
          <w:p w14:paraId="01AFE066" w14:textId="77777777" w:rsidR="00D72F49" w:rsidRPr="004D34FE" w:rsidRDefault="00D72F49" w:rsidP="00D72F49">
            <w:pPr>
              <w:spacing w:before="160"/>
              <w:rPr>
                <w:b/>
                <w:bCs/>
                <w:sz w:val="26"/>
                <w:szCs w:val="26"/>
              </w:rPr>
            </w:pPr>
            <w:r w:rsidRPr="004D34FE">
              <w:rPr>
                <w:b/>
                <w:bCs/>
                <w:sz w:val="26"/>
                <w:szCs w:val="26"/>
              </w:rPr>
              <w:t>Références</w:t>
            </w:r>
          </w:p>
          <w:p w14:paraId="5340587C" w14:textId="73B88F98" w:rsidR="00D72F49" w:rsidRPr="004D34FE" w:rsidRDefault="00B21496" w:rsidP="00D72F49">
            <w:pPr>
              <w:spacing w:after="160"/>
              <w:rPr>
                <w:i/>
                <w:iCs/>
                <w:sz w:val="22"/>
                <w:szCs w:val="22"/>
              </w:rPr>
            </w:pPr>
            <w:hyperlink r:id="rId7" w:history="1">
              <w:r w:rsidRPr="004D34FE">
                <w:rPr>
                  <w:rStyle w:val="Hyperlink"/>
                  <w:rFonts w:eastAsia="Times New Roman" w:cs="Times New Roman"/>
                  <w:i/>
                  <w:iCs/>
                  <w:szCs w:val="24"/>
                </w:rPr>
                <w:t>Résolution 76/3</w:t>
              </w:r>
            </w:hyperlink>
            <w:r w:rsidRPr="004D34FE">
              <w:rPr>
                <w:i/>
                <w:iCs/>
                <w:szCs w:val="24"/>
              </w:rPr>
              <w:t xml:space="preserve"> de l'Assemblée générale des Nations Unies; Résolutions </w:t>
            </w:r>
            <w:hyperlink r:id="rId8" w:history="1">
              <w:r w:rsidRPr="004D34FE">
                <w:rPr>
                  <w:rStyle w:val="Hyperlink"/>
                  <w:rFonts w:eastAsia="Times New Roman" w:cs="Times New Roman"/>
                  <w:i/>
                  <w:iCs/>
                  <w:szCs w:val="24"/>
                </w:rPr>
                <w:t>30</w:t>
              </w:r>
            </w:hyperlink>
            <w:r w:rsidRPr="004D34FE">
              <w:rPr>
                <w:i/>
                <w:iCs/>
                <w:szCs w:val="24"/>
              </w:rPr>
              <w:t xml:space="preserve"> (Rév.</w:t>
            </w:r>
            <w:r w:rsidR="006B4B33">
              <w:rPr>
                <w:i/>
                <w:iCs/>
                <w:szCs w:val="24"/>
              </w:rPr>
              <w:t> </w:t>
            </w:r>
            <w:r w:rsidRPr="004D34FE">
              <w:rPr>
                <w:i/>
                <w:iCs/>
                <w:szCs w:val="24"/>
              </w:rPr>
              <w:t>Bucarest,</w:t>
            </w:r>
            <w:r w:rsidR="006B4B33">
              <w:rPr>
                <w:i/>
                <w:iCs/>
                <w:szCs w:val="24"/>
              </w:rPr>
              <w:t> </w:t>
            </w:r>
            <w:r w:rsidRPr="004D34FE">
              <w:rPr>
                <w:i/>
                <w:iCs/>
                <w:szCs w:val="24"/>
              </w:rPr>
              <w:t xml:space="preserve">2022), </w:t>
            </w:r>
            <w:hyperlink r:id="rId9" w:history="1">
              <w:r w:rsidRPr="004D34FE">
                <w:rPr>
                  <w:rStyle w:val="Hyperlink"/>
                  <w:rFonts w:eastAsia="Times New Roman" w:cs="Times New Roman"/>
                  <w:i/>
                  <w:iCs/>
                  <w:szCs w:val="24"/>
                </w:rPr>
                <w:t>140</w:t>
              </w:r>
            </w:hyperlink>
            <w:r w:rsidRPr="004D34FE">
              <w:rPr>
                <w:i/>
                <w:iCs/>
                <w:szCs w:val="24"/>
              </w:rPr>
              <w:t xml:space="preserve"> (Rév. Bucarest, 2022), </w:t>
            </w:r>
            <w:hyperlink r:id="rId10" w:history="1">
              <w:r w:rsidRPr="004D34FE">
                <w:rPr>
                  <w:rStyle w:val="Hyperlink"/>
                  <w:rFonts w:eastAsia="Times New Roman" w:cs="Times New Roman"/>
                  <w:i/>
                  <w:iCs/>
                  <w:szCs w:val="24"/>
                </w:rPr>
                <w:t>200</w:t>
              </w:r>
            </w:hyperlink>
            <w:r w:rsidRPr="004D34FE">
              <w:rPr>
                <w:i/>
                <w:iCs/>
                <w:szCs w:val="24"/>
              </w:rPr>
              <w:t xml:space="preserve"> (Rév. Bucarest, 2022), </w:t>
            </w:r>
            <w:hyperlink r:id="rId11" w:history="1">
              <w:r w:rsidRPr="004D34FE">
                <w:rPr>
                  <w:rStyle w:val="Hyperlink"/>
                  <w:rFonts w:eastAsia="Times New Roman" w:cs="Times New Roman"/>
                  <w:i/>
                  <w:iCs/>
                  <w:szCs w:val="24"/>
                </w:rPr>
                <w:t>203</w:t>
              </w:r>
            </w:hyperlink>
            <w:r w:rsidR="006B4B33">
              <w:rPr>
                <w:i/>
                <w:iCs/>
                <w:szCs w:val="24"/>
              </w:rPr>
              <w:t> </w:t>
            </w:r>
            <w:r w:rsidRPr="004D34FE">
              <w:rPr>
                <w:i/>
                <w:iCs/>
                <w:szCs w:val="24"/>
              </w:rPr>
              <w:t>(Rév.</w:t>
            </w:r>
            <w:r w:rsidR="006B4B33">
              <w:rPr>
                <w:i/>
                <w:iCs/>
                <w:szCs w:val="24"/>
              </w:rPr>
              <w:t> </w:t>
            </w:r>
            <w:r w:rsidRPr="004D34FE">
              <w:rPr>
                <w:i/>
                <w:iCs/>
                <w:szCs w:val="24"/>
              </w:rPr>
              <w:t xml:space="preserve">Bucarest, 2022) et </w:t>
            </w:r>
            <w:hyperlink r:id="rId12" w:history="1">
              <w:r w:rsidRPr="004D34FE">
                <w:rPr>
                  <w:rStyle w:val="Hyperlink"/>
                  <w:rFonts w:eastAsia="Times New Roman" w:cs="Times New Roman"/>
                  <w:i/>
                  <w:iCs/>
                  <w:szCs w:val="24"/>
                </w:rPr>
                <w:t>218</w:t>
              </w:r>
            </w:hyperlink>
            <w:r w:rsidRPr="004D34FE">
              <w:rPr>
                <w:i/>
                <w:iCs/>
                <w:szCs w:val="24"/>
              </w:rPr>
              <w:t> (Bucarest, 2022) de la Conférence de plénipotentiaires.</w:t>
            </w:r>
          </w:p>
        </w:tc>
      </w:tr>
    </w:tbl>
    <w:p w14:paraId="342AD79B" w14:textId="77777777" w:rsidR="00A51849" w:rsidRPr="004D34FE" w:rsidRDefault="00A51849">
      <w:pPr>
        <w:tabs>
          <w:tab w:val="clear" w:pos="567"/>
          <w:tab w:val="clear" w:pos="1134"/>
          <w:tab w:val="clear" w:pos="1701"/>
          <w:tab w:val="clear" w:pos="2268"/>
          <w:tab w:val="clear" w:pos="2835"/>
        </w:tabs>
        <w:overflowPunct/>
        <w:autoSpaceDE/>
        <w:autoSpaceDN/>
        <w:adjustRightInd/>
        <w:spacing w:before="0"/>
        <w:textAlignment w:val="auto"/>
      </w:pPr>
      <w:r w:rsidRPr="004D34FE">
        <w:br w:type="page"/>
      </w:r>
    </w:p>
    <w:p w14:paraId="0A1107CD" w14:textId="508C7E3C" w:rsidR="00B21496" w:rsidRPr="004D34FE" w:rsidRDefault="00B21496" w:rsidP="00B21496">
      <w:r w:rsidRPr="004D34FE">
        <w:lastRenderedPageBreak/>
        <w:t xml:space="preserve">Depuis 2018, 16 </w:t>
      </w:r>
      <w:r w:rsidR="00C56DE7" w:rsidRPr="004D34FE">
        <w:t>A</w:t>
      </w:r>
      <w:r w:rsidRPr="004D34FE">
        <w:t xml:space="preserve">dministrations de la région de la Communauté de développement de l'Afrique australe (SADC), comprenant l'Angola, le Botswana, les Comores, </w:t>
      </w:r>
      <w:r w:rsidR="006B4B33" w:rsidRPr="004D34FE">
        <w:t xml:space="preserve">la République démocratique du Congo, </w:t>
      </w:r>
      <w:r w:rsidRPr="004D34FE">
        <w:t>l'Eswatini, le Lesotho, Madagascar, le Malawi, Maurice, le Mozambique, la Namibie,</w:t>
      </w:r>
      <w:r w:rsidR="000D0D05" w:rsidRPr="004D34FE">
        <w:t xml:space="preserve"> les Seychelles,</w:t>
      </w:r>
      <w:r w:rsidRPr="004D34FE">
        <w:t xml:space="preserve"> la République sudafricaine, la République-Unie de Tanzanie, la Zambie et le Zimbabwe, ont prévu de mettre en place un système régional à satellites partagé destiné à fournir les services de télécommunication nécessaires, y compris l'accès à l'Internet dans les écoles et les villages de leur pays.</w:t>
      </w:r>
    </w:p>
    <w:p w14:paraId="4A64F1DA" w14:textId="43A7097F" w:rsidR="00B21496" w:rsidRPr="004D34FE" w:rsidRDefault="00B21496" w:rsidP="00B21496">
      <w:r w:rsidRPr="004D34FE">
        <w:t>La région de la SADC comprend</w:t>
      </w:r>
      <w:r w:rsidRPr="004D34FE">
        <w:rPr>
          <w:rStyle w:val="FootnoteReference"/>
        </w:rPr>
        <w:footnoteReference w:id="1"/>
      </w:r>
      <w:r w:rsidRPr="004D34FE">
        <w:t>:</w:t>
      </w:r>
    </w:p>
    <w:p w14:paraId="1D9F22BF" w14:textId="69CE186D" w:rsidR="00B21496" w:rsidRPr="004D34FE" w:rsidRDefault="00B21496" w:rsidP="00B21496">
      <w:pPr>
        <w:pStyle w:val="enumlev1"/>
      </w:pPr>
      <w:r w:rsidRPr="004D34FE">
        <w:t>–</w:t>
      </w:r>
      <w:r w:rsidRPr="004D34FE">
        <w:tab/>
        <w:t xml:space="preserve">neuf pays de la catégorie des pays les moins avancés (PMA) telle que définie par l'Organisation des Nations Unies (ONU), à savoir l'Angola, les Comores, </w:t>
      </w:r>
      <w:r w:rsidR="006B4B33" w:rsidRPr="004D34FE">
        <w:t xml:space="preserve">la République démocratique du Congo, </w:t>
      </w:r>
      <w:r w:rsidRPr="004D34FE">
        <w:t>le Lesotho, Madagascar, le Malawi, le Mozambique, la République-Unie de Tanzanie et la Zambie;</w:t>
      </w:r>
    </w:p>
    <w:p w14:paraId="7D04B819" w14:textId="5A2C8BAB" w:rsidR="00B21496" w:rsidRPr="004D34FE" w:rsidRDefault="00B21496" w:rsidP="00B21496">
      <w:pPr>
        <w:pStyle w:val="enumlev1"/>
      </w:pPr>
      <w:r w:rsidRPr="004D34FE">
        <w:t>–</w:t>
      </w:r>
      <w:r w:rsidRPr="004D34FE">
        <w:tab/>
        <w:t>quatre petits États insulaires en développement (PEID), à savoir les Comores, Madagascar, Maurice et les Seychelles; et</w:t>
      </w:r>
    </w:p>
    <w:p w14:paraId="3917988F" w14:textId="2B06A165" w:rsidR="00B21496" w:rsidRPr="004D34FE" w:rsidRDefault="00B21496" w:rsidP="00B21496">
      <w:pPr>
        <w:pStyle w:val="enumlev1"/>
      </w:pPr>
      <w:r w:rsidRPr="004D34FE">
        <w:t>–</w:t>
      </w:r>
      <w:r w:rsidRPr="004D34FE">
        <w:tab/>
        <w:t>six pays en développement sans littoral (PDSL), à savoir le Botswana, l'Eswatini, le Lesotho, le Malawi, la Zambie et le Zimbabwe.</w:t>
      </w:r>
    </w:p>
    <w:p w14:paraId="59447AFE" w14:textId="386A7C74" w:rsidR="00B21496" w:rsidRPr="004D34FE" w:rsidRDefault="00B21496" w:rsidP="00B21496">
      <w:r w:rsidRPr="004D34FE">
        <w:t>Cette initiative s'inscrit dans le droit fil des objectifs définis par:</w:t>
      </w:r>
    </w:p>
    <w:p w14:paraId="332F4255" w14:textId="70DCA812" w:rsidR="00B21496" w:rsidRPr="004D34FE" w:rsidRDefault="00B21496" w:rsidP="00B21496">
      <w:pPr>
        <w:pStyle w:val="enumlev1"/>
      </w:pPr>
      <w:r w:rsidRPr="004D34FE">
        <w:t>–</w:t>
      </w:r>
      <w:r w:rsidRPr="004D34FE">
        <w:tab/>
        <w:t xml:space="preserve">la </w:t>
      </w:r>
      <w:r w:rsidRPr="004D34FE">
        <w:rPr>
          <w:b/>
          <w:bCs/>
        </w:rPr>
        <w:t>Résolution 30 (Rév. Bucarest, 2022)</w:t>
      </w:r>
      <w:r w:rsidRPr="004D34FE">
        <w:t xml:space="preserve"> de la Conférence de plénipotentiaires (PP), par laquelle les PMA, les PEID, les PDSL et les pays dont l'économie est en transition sont encouragés à accorder la priorité aux projets TIC propres à promouvoir le développement socioéconomique et à améliorer la connectivité internationale;</w:t>
      </w:r>
    </w:p>
    <w:p w14:paraId="37108B79" w14:textId="20772972" w:rsidR="00B21496" w:rsidRPr="004D34FE" w:rsidRDefault="00B21496" w:rsidP="00B21496">
      <w:pPr>
        <w:pStyle w:val="enumlev1"/>
      </w:pPr>
      <w:r w:rsidRPr="004D34FE">
        <w:t>–</w:t>
      </w:r>
      <w:r w:rsidRPr="004D34FE">
        <w:tab/>
        <w:t xml:space="preserve">la </w:t>
      </w:r>
      <w:r w:rsidRPr="004D34FE">
        <w:rPr>
          <w:b/>
          <w:bCs/>
        </w:rPr>
        <w:t>Résolution 200 (Rév. Bucarest, 2022)</w:t>
      </w:r>
      <w:r w:rsidRPr="004D34FE">
        <w:t xml:space="preserve"> de la PP, par laquelle les États Membres sont invités à contribuer à la mise en œuvre du Programme Connect 2030;</w:t>
      </w:r>
    </w:p>
    <w:p w14:paraId="10C37D92" w14:textId="72870754" w:rsidR="00B21496" w:rsidRPr="004D34FE" w:rsidRDefault="00B21496" w:rsidP="00B21496">
      <w:pPr>
        <w:pStyle w:val="enumlev1"/>
      </w:pPr>
      <w:r w:rsidRPr="004D34FE">
        <w:t>–</w:t>
      </w:r>
      <w:r w:rsidRPr="004D34FE">
        <w:tab/>
        <w:t xml:space="preserve">la </w:t>
      </w:r>
      <w:r w:rsidRPr="004D34FE">
        <w:rPr>
          <w:b/>
          <w:bCs/>
        </w:rPr>
        <w:t>Résolution 203 (Rév. Bucarest, 2022)</w:t>
      </w:r>
      <w:r w:rsidRPr="004D34FE">
        <w:t xml:space="preserve"> de la PP, dans laquelle il est décidé d'œuvrer en faveur d'un accès universel au large bande;</w:t>
      </w:r>
    </w:p>
    <w:p w14:paraId="36B510FF" w14:textId="12D39998" w:rsidR="00B21496" w:rsidRPr="004D34FE" w:rsidRDefault="00B21496" w:rsidP="00B21496">
      <w:pPr>
        <w:pStyle w:val="enumlev1"/>
      </w:pPr>
      <w:r w:rsidRPr="004D34FE">
        <w:t>–</w:t>
      </w:r>
      <w:r w:rsidRPr="004D34FE">
        <w:tab/>
        <w:t xml:space="preserve">la </w:t>
      </w:r>
      <w:r w:rsidRPr="004D34FE">
        <w:rPr>
          <w:b/>
          <w:bCs/>
        </w:rPr>
        <w:t>Résolution 218 (Bucarest, 2022)</w:t>
      </w:r>
      <w:r w:rsidRPr="004D34FE">
        <w:t xml:space="preserve"> de la PP, qui encourage la participation au Programme Espace2030 et aux efforts déployés à l'appui des Objectifs de développement durable (ODD); et</w:t>
      </w:r>
    </w:p>
    <w:p w14:paraId="5B59E100" w14:textId="0246FA7A" w:rsidR="00B21496" w:rsidRPr="004D34FE" w:rsidRDefault="00B21496" w:rsidP="00B21496">
      <w:pPr>
        <w:pStyle w:val="enumlev1"/>
      </w:pPr>
      <w:r w:rsidRPr="004D34FE">
        <w:t>–</w:t>
      </w:r>
      <w:r w:rsidRPr="004D34FE">
        <w:tab/>
        <w:t xml:space="preserve">les </w:t>
      </w:r>
      <w:r w:rsidRPr="004D34FE">
        <w:rPr>
          <w:b/>
          <w:bCs/>
        </w:rPr>
        <w:t>ODD fixés par les Nations Unies</w:t>
      </w:r>
      <w:r w:rsidRPr="004D34FE">
        <w:t xml:space="preserve"> et le </w:t>
      </w:r>
      <w:r w:rsidRPr="004D34FE">
        <w:rPr>
          <w:b/>
          <w:bCs/>
        </w:rPr>
        <w:t>Programme Espace2030</w:t>
      </w:r>
      <w:r w:rsidRPr="004D34FE">
        <w:t xml:space="preserve"> dans leur ensemble.</w:t>
      </w:r>
    </w:p>
    <w:p w14:paraId="22199917" w14:textId="77777777" w:rsidR="00B21496" w:rsidRPr="004D34FE" w:rsidRDefault="00B21496" w:rsidP="00B21496">
      <w:r w:rsidRPr="004D34FE">
        <w:t xml:space="preserve">Avec l'aide du Bureau des radiocommunications de l'UIT, ces 16 Administrations ont exploré différents moyens d'obtenir une position orbitale appropriée pour leur système à satellites partagé. Il a été conclu que l'application de la Résolution </w:t>
      </w:r>
      <w:r w:rsidRPr="004D34FE">
        <w:rPr>
          <w:b/>
          <w:bCs/>
        </w:rPr>
        <w:t>170 (Rév.CMR-23)</w:t>
      </w:r>
      <w:r w:rsidRPr="004D34FE">
        <w:t xml:space="preserve"> était plus à même de faire aboutir leur projet que l'application des procédures normales actuelles prévues par les Articles 9 et 11 relatifs aux services spatiaux non planifiés, les Appendices </w:t>
      </w:r>
      <w:r w:rsidRPr="004D34FE">
        <w:rPr>
          <w:b/>
          <w:bCs/>
        </w:rPr>
        <w:t>30</w:t>
      </w:r>
      <w:r w:rsidRPr="004D34FE">
        <w:t xml:space="preserve"> et </w:t>
      </w:r>
      <w:r w:rsidRPr="004D34FE">
        <w:rPr>
          <w:b/>
          <w:bCs/>
        </w:rPr>
        <w:t>30A</w:t>
      </w:r>
      <w:r w:rsidRPr="004D34FE">
        <w:t xml:space="preserve"> pour les utilisations additionnelles et l'Appendice </w:t>
      </w:r>
      <w:r w:rsidRPr="004D34FE">
        <w:rPr>
          <w:b/>
          <w:bCs/>
        </w:rPr>
        <w:t>30B</w:t>
      </w:r>
      <w:r w:rsidRPr="004D34FE">
        <w:t xml:space="preserve"> pour les systèmes additionnels.</w:t>
      </w:r>
    </w:p>
    <w:p w14:paraId="4B12C3E6" w14:textId="77777777" w:rsidR="00B21496" w:rsidRPr="004D34FE" w:rsidRDefault="00B21496" w:rsidP="00B21496">
      <w:r w:rsidRPr="004D34FE">
        <w:t xml:space="preserve">Bien que des efforts considérables aient été déployés par les 16 États Membres de la SADC, y compris avec l'assistance du Bureau, il demeure très difficile de trouver une position orbitale appropriée pour appliquer la Résolution </w:t>
      </w:r>
      <w:r w:rsidRPr="004D34FE">
        <w:rPr>
          <w:b/>
          <w:bCs/>
        </w:rPr>
        <w:t>170 (Rév.CMR-23)</w:t>
      </w:r>
      <w:r w:rsidRPr="004D34FE">
        <w:t>, d'autant que la procédure correspondante ne peut être appliquée qu'une fois.</w:t>
      </w:r>
    </w:p>
    <w:p w14:paraId="29F21F67" w14:textId="5F724F09" w:rsidR="00B21496" w:rsidRPr="004D34FE" w:rsidRDefault="00B21496" w:rsidP="00B21496">
      <w:r w:rsidRPr="004D34FE">
        <w:lastRenderedPageBreak/>
        <w:t xml:space="preserve">Compte tenu de la finalité de l'adoption de la Résolution </w:t>
      </w:r>
      <w:r w:rsidRPr="004D34FE">
        <w:rPr>
          <w:b/>
          <w:bCs/>
        </w:rPr>
        <w:t>170</w:t>
      </w:r>
      <w:r w:rsidRPr="004D34FE">
        <w:t xml:space="preserve"> par la CMR-19 et de l'impossibilité de choisir une seule position orbitale optimale sans devoir amorcer la coordination des fréquences avec les administrations susceptibles d'être affectées, les 16</w:t>
      </w:r>
      <w:r w:rsidR="00C56DE7" w:rsidRPr="004D34FE">
        <w:t> </w:t>
      </w:r>
      <w:r w:rsidRPr="004D34FE">
        <w:t xml:space="preserve">États Membres de la SADC ont soumis une demande (voir à l'adresse </w:t>
      </w:r>
      <w:hyperlink r:id="rId13" w:history="1">
        <w:r w:rsidR="006B4B33" w:rsidRPr="008B05DF">
          <w:rPr>
            <w:rStyle w:val="Hyperlink"/>
            <w:rFonts w:eastAsia="Times New Roman" w:cs="Times New Roman"/>
            <w:szCs w:val="20"/>
          </w:rPr>
          <w:t>https://www.itu.int/md/R24-RRB24.3-C-0019/en</w:t>
        </w:r>
      </w:hyperlink>
      <w:r w:rsidRPr="004D34FE">
        <w:t>) à la 97ème réunion du Comité du Règlement des radiocommunications (RRB), afin d'autoriser l'Administration de l'Angola, agissant au nom des Administrations de ces États Membres de la SADC, à soumettre huit</w:t>
      </w:r>
      <w:r w:rsidR="00C97699">
        <w:t> </w:t>
      </w:r>
      <w:r w:rsidRPr="004D34FE">
        <w:t>(8)</w:t>
      </w:r>
      <w:r w:rsidR="00C97699">
        <w:t> </w:t>
      </w:r>
      <w:r w:rsidRPr="004D34FE">
        <w:t xml:space="preserve">fiches de notification relatives à la coordination. Le RRB a accédé à cette demande (voir à l'adresse </w:t>
      </w:r>
      <w:hyperlink r:id="rId14" w:history="1">
        <w:r w:rsidR="00C97699" w:rsidRPr="008B05DF">
          <w:rPr>
            <w:rStyle w:val="Hyperlink"/>
            <w:rFonts w:eastAsia="Times New Roman" w:cs="Times New Roman"/>
            <w:szCs w:val="20"/>
          </w:rPr>
          <w:t>https://www.itu.int/md/R24-RRB24.3-C-0023/en</w:t>
        </w:r>
      </w:hyperlink>
      <w:r w:rsidRPr="004D34FE">
        <w:t>).</w:t>
      </w:r>
    </w:p>
    <w:p w14:paraId="48AB8BE2" w14:textId="189DFADE" w:rsidR="00B21496" w:rsidRPr="004D34FE" w:rsidRDefault="00C56DE7" w:rsidP="00B21496">
      <w:r w:rsidRPr="004D34FE">
        <w:t>D</w:t>
      </w:r>
      <w:r w:rsidR="00B21496" w:rsidRPr="004D34FE">
        <w:t>ans son rapport final soumis au Conseil de l'UIT (</w:t>
      </w:r>
      <w:hyperlink r:id="rId15" w:history="1">
        <w:r w:rsidR="00B21496" w:rsidRPr="004D34FE">
          <w:rPr>
            <w:rStyle w:val="Hyperlink"/>
            <w:rFonts w:eastAsia="Times New Roman" w:cs="Times New Roman"/>
            <w:szCs w:val="20"/>
          </w:rPr>
          <w:t>Document C25/10</w:t>
        </w:r>
      </w:hyperlink>
      <w:r w:rsidR="00B21496" w:rsidRPr="004D34FE">
        <w:t xml:space="preserve">), le Groupe d'experts sur la Décision </w:t>
      </w:r>
      <w:r w:rsidR="00B21496" w:rsidRPr="004D34FE">
        <w:rPr>
          <w:b/>
          <w:bCs/>
        </w:rPr>
        <w:t>482</w:t>
      </w:r>
      <w:r w:rsidR="00B21496" w:rsidRPr="004D34FE">
        <w:t xml:space="preserve"> (EG-DEC482) a indiqué que les soumissions au titre de la Résolution </w:t>
      </w:r>
      <w:r w:rsidR="00B21496" w:rsidRPr="004D34FE">
        <w:rPr>
          <w:b/>
          <w:bCs/>
        </w:rPr>
        <w:t>170</w:t>
      </w:r>
      <w:r w:rsidR="00B21496" w:rsidRPr="004D34FE">
        <w:t xml:space="preserve"> peuvent bénéficier d'une franchise par an. Par conséquent, la région SADC doit s'acquitter des droits au titre du recouvrement des coûts pour les sept (7) soumissions relatives à la coordination restante.</w:t>
      </w:r>
    </w:p>
    <w:p w14:paraId="7822324B" w14:textId="77777777" w:rsidR="00B21496" w:rsidRPr="004D34FE" w:rsidRDefault="00B21496" w:rsidP="00B21496">
      <w:r w:rsidRPr="004D34FE">
        <w:t>Toutefois, cette exigence résulte de l'impossibilité technique de choisir une seule position orbitale appropriée, un fait que le RRB a reconnu. En outre:</w:t>
      </w:r>
    </w:p>
    <w:p w14:paraId="52F0553D" w14:textId="350C0466" w:rsidR="00B21496" w:rsidRPr="004D34FE" w:rsidRDefault="00B21496" w:rsidP="00901249">
      <w:pPr>
        <w:pStyle w:val="enumlev1"/>
      </w:pPr>
      <w:r w:rsidRPr="004D34FE">
        <w:t>•</w:t>
      </w:r>
      <w:r w:rsidRPr="004D34FE">
        <w:tab/>
        <w:t xml:space="preserve">le total des huit (8) fiches de notification de coordination au titre de la Résolution </w:t>
      </w:r>
      <w:r w:rsidRPr="004D34FE">
        <w:rPr>
          <w:b/>
          <w:bCs/>
        </w:rPr>
        <w:t>170 (Rév.CMR-23)</w:t>
      </w:r>
      <w:r w:rsidRPr="004D34FE">
        <w:t xml:space="preserve"> est largement en-deçà des limites applicables aux 16 Administrations participantes, chacune d'entre elles ayant droit à une soumission gratuite par an;</w:t>
      </w:r>
      <w:r w:rsidR="00901249" w:rsidRPr="004D34FE">
        <w:t xml:space="preserve"> et</w:t>
      </w:r>
    </w:p>
    <w:p w14:paraId="6902F7E0" w14:textId="64194EF1" w:rsidR="00B21496" w:rsidRPr="004D34FE" w:rsidRDefault="00B21496" w:rsidP="00901249">
      <w:pPr>
        <w:pStyle w:val="enumlev1"/>
      </w:pPr>
      <w:r w:rsidRPr="004D34FE">
        <w:t>•</w:t>
      </w:r>
      <w:r w:rsidRPr="004D34FE">
        <w:tab/>
        <w:t>l'application du recouvrement des coûts dans ce contexte, en particulier pour les initiatives en faveur des PMA, des PEID et des PDSL, revient à saper les efforts déployés par l'UIT pour permettre un accès équitable aux orbites de satellites et répondre aux besoins particuliers des pays en développement, comme énoncé dans la Résolution</w:t>
      </w:r>
      <w:r w:rsidR="00901249" w:rsidRPr="004D34FE">
        <w:t xml:space="preserve"> </w:t>
      </w:r>
      <w:r w:rsidRPr="004D34FE">
        <w:rPr>
          <w:b/>
          <w:bCs/>
        </w:rPr>
        <w:t>218</w:t>
      </w:r>
      <w:r w:rsidR="00901249" w:rsidRPr="004D34FE">
        <w:rPr>
          <w:b/>
          <w:bCs/>
        </w:rPr>
        <w:t xml:space="preserve"> </w:t>
      </w:r>
      <w:r w:rsidRPr="004D34FE">
        <w:rPr>
          <w:b/>
          <w:bCs/>
        </w:rPr>
        <w:t>(Bucarest,</w:t>
      </w:r>
      <w:r w:rsidR="00901249" w:rsidRPr="004D34FE">
        <w:rPr>
          <w:b/>
          <w:bCs/>
        </w:rPr>
        <w:t xml:space="preserve"> </w:t>
      </w:r>
      <w:r w:rsidRPr="004D34FE">
        <w:rPr>
          <w:b/>
          <w:bCs/>
        </w:rPr>
        <w:t>2022)</w:t>
      </w:r>
      <w:r w:rsidRPr="004D34FE">
        <w:t xml:space="preserve"> de la Conférence de plénipotentiaires.</w:t>
      </w:r>
    </w:p>
    <w:p w14:paraId="31EC29BD" w14:textId="4AA27E74" w:rsidR="00B21496" w:rsidRPr="004D34FE" w:rsidRDefault="00B21496" w:rsidP="00901249">
      <w:pPr>
        <w:pStyle w:val="Headingb"/>
      </w:pPr>
      <w:r w:rsidRPr="004D34FE">
        <w:t>Proposition</w:t>
      </w:r>
    </w:p>
    <w:p w14:paraId="4C09F793" w14:textId="03C474C8" w:rsidR="00B21496" w:rsidRPr="004D34FE" w:rsidRDefault="00B21496" w:rsidP="00B21496">
      <w:r w:rsidRPr="004D34FE">
        <w:t>Compte tenu de ce qui précède, les cosignataires prient le Conseil de l'UIT d'exonérer sept</w:t>
      </w:r>
      <w:r w:rsidR="00844CDC">
        <w:t> </w:t>
      </w:r>
      <w:r w:rsidRPr="004D34FE">
        <w:t xml:space="preserve">(7) soumissions au titre de la Résolution </w:t>
      </w:r>
      <w:r w:rsidRPr="00844CDC">
        <w:rPr>
          <w:b/>
          <w:bCs/>
        </w:rPr>
        <w:t>170 (Rév.CMR-23)</w:t>
      </w:r>
      <w:r w:rsidRPr="004D34FE">
        <w:t xml:space="preserve"> du paiement des droits liés au recouvrement des coûts, étant donné qu'elles seront soumises par l'Angola au nom de 16</w:t>
      </w:r>
      <w:r w:rsidR="00901249" w:rsidRPr="004D34FE">
        <w:t> </w:t>
      </w:r>
      <w:r w:rsidRPr="004D34FE">
        <w:t>États Membres de la SADC.</w:t>
      </w:r>
    </w:p>
    <w:p w14:paraId="7A35CA86" w14:textId="77777777" w:rsidR="00901249" w:rsidRPr="004D34FE" w:rsidRDefault="00901249">
      <w:pPr>
        <w:jc w:val="center"/>
      </w:pPr>
      <w:r w:rsidRPr="004D34FE">
        <w:t>______________</w:t>
      </w:r>
    </w:p>
    <w:sectPr w:rsidR="00901249" w:rsidRPr="004D34FE" w:rsidSect="00D72F49">
      <w:headerReference w:type="even" r:id="rId16"/>
      <w:footerReference w:type="even" r:id="rId17"/>
      <w:footerReference w:type="default" r:id="rId18"/>
      <w:headerReference w:type="first" r:id="rId19"/>
      <w:footerReference w:type="first" r:id="rId2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FF7A0" w14:textId="77777777" w:rsidR="00EA060B" w:rsidRDefault="00EA060B">
      <w:r>
        <w:separator/>
      </w:r>
    </w:p>
  </w:endnote>
  <w:endnote w:type="continuationSeparator" w:id="0">
    <w:p w14:paraId="7F152B34" w14:textId="77777777" w:rsidR="00EA060B" w:rsidRDefault="00EA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8796" w14:textId="7775AFAB" w:rsidR="00732045" w:rsidRPr="00FC5B97" w:rsidRDefault="00EA060B">
    <w:pPr>
      <w:pStyle w:val="Footer"/>
      <w:rPr>
        <w:lang w:val="en-US"/>
      </w:rPr>
    </w:pPr>
    <w:r>
      <w:fldChar w:fldCharType="begin"/>
    </w:r>
    <w:r w:rsidRPr="00FC5B97">
      <w:rPr>
        <w:lang w:val="en-US"/>
      </w:rPr>
      <w:instrText xml:space="preserve"> FILENAME \p \* MERGEFORMAT </w:instrText>
    </w:r>
    <w:r>
      <w:fldChar w:fldCharType="separate"/>
    </w:r>
    <w:r w:rsidR="008E5E58">
      <w:rPr>
        <w:lang w:val="en-US"/>
      </w:rPr>
      <w:t>P:\FRA\gDoc\SG\C25\2501352F.docx</w:t>
    </w:r>
    <w:r>
      <w:fldChar w:fldCharType="end"/>
    </w:r>
    <w:r w:rsidR="00732045" w:rsidRPr="00FC5B97">
      <w:rPr>
        <w:lang w:val="en-US"/>
      </w:rPr>
      <w:tab/>
    </w:r>
    <w:r w:rsidR="002F1B76">
      <w:fldChar w:fldCharType="begin"/>
    </w:r>
    <w:r w:rsidR="00732045">
      <w:instrText xml:space="preserve"> savedate \@ dd.MM.yy </w:instrText>
    </w:r>
    <w:r w:rsidR="002F1B76">
      <w:fldChar w:fldCharType="separate"/>
    </w:r>
    <w:r w:rsidR="00005015">
      <w:t>06.06.25</w:t>
    </w:r>
    <w:r w:rsidR="002F1B76">
      <w:fldChar w:fldCharType="end"/>
    </w:r>
    <w:r w:rsidR="00732045" w:rsidRPr="00FC5B97">
      <w:rPr>
        <w:lang w:val="en-US"/>
      </w:rPr>
      <w:tab/>
    </w:r>
    <w:r w:rsidR="002F1B76">
      <w:fldChar w:fldCharType="begin"/>
    </w:r>
    <w:r w:rsidR="00732045">
      <w:instrText xml:space="preserve"> printdate \@ dd.MM.yy </w:instrText>
    </w:r>
    <w:r w:rsidR="002F1B76">
      <w:fldChar w:fldCharType="separate"/>
    </w:r>
    <w:r w:rsidR="008E5E5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AA6C526" w14:textId="77777777" w:rsidTr="00E31DCE">
      <w:trPr>
        <w:jc w:val="center"/>
      </w:trPr>
      <w:tc>
        <w:tcPr>
          <w:tcW w:w="1803" w:type="dxa"/>
          <w:vAlign w:val="center"/>
        </w:tcPr>
        <w:p w14:paraId="2CE8243B" w14:textId="78F24FA6" w:rsidR="00A51849" w:rsidRDefault="00C56DE7" w:rsidP="00A51849">
          <w:pPr>
            <w:pStyle w:val="Header"/>
            <w:jc w:val="left"/>
            <w:rPr>
              <w:noProof/>
            </w:rPr>
          </w:pPr>
          <w:r>
            <w:rPr>
              <w:noProof/>
            </w:rPr>
            <w:t>2501352</w:t>
          </w:r>
        </w:p>
      </w:tc>
      <w:tc>
        <w:tcPr>
          <w:tcW w:w="8261" w:type="dxa"/>
        </w:tcPr>
        <w:p w14:paraId="60C2C259" w14:textId="12A60D98"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56DE7">
            <w:rPr>
              <w:bCs/>
            </w:rPr>
            <w:t>82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AE5FD19"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CDEE4F7" w14:textId="77777777" w:rsidTr="00E31DCE">
      <w:trPr>
        <w:jc w:val="center"/>
      </w:trPr>
      <w:tc>
        <w:tcPr>
          <w:tcW w:w="1803" w:type="dxa"/>
          <w:vAlign w:val="center"/>
        </w:tcPr>
        <w:p w14:paraId="2060115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0851763" w14:textId="4C0E924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1C0ACD">
            <w:rPr>
              <w:bCs/>
            </w:rPr>
            <w:t>82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E02B3D0"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80CE" w14:textId="77777777" w:rsidR="00EA060B" w:rsidRDefault="00EA060B">
      <w:r>
        <w:t>____________________</w:t>
      </w:r>
    </w:p>
  </w:footnote>
  <w:footnote w:type="continuationSeparator" w:id="0">
    <w:p w14:paraId="394759D4" w14:textId="77777777" w:rsidR="00EA060B" w:rsidRDefault="00EA060B">
      <w:r>
        <w:continuationSeparator/>
      </w:r>
    </w:p>
  </w:footnote>
  <w:footnote w:id="1">
    <w:p w14:paraId="7A242CAB" w14:textId="7122ACD7" w:rsidR="00B21496" w:rsidRDefault="00B21496">
      <w:pPr>
        <w:pStyle w:val="FootnoteText"/>
      </w:pPr>
      <w:r>
        <w:rPr>
          <w:rStyle w:val="FootnoteReference"/>
        </w:rPr>
        <w:footnoteRef/>
      </w:r>
      <w:r>
        <w:tab/>
      </w:r>
      <w:r w:rsidRPr="00005015">
        <w:rPr>
          <w:i/>
          <w:iCs/>
          <w:sz w:val="20"/>
        </w:rPr>
        <w:t>Certains pays relèvent de plus d'une catégorie et la Namibie n'entre dans aucune des trois</w:t>
      </w:r>
      <w:r w:rsidR="006B4B33" w:rsidRPr="00005015">
        <w:rPr>
          <w:i/>
          <w:iCs/>
          <w:sz w:val="20"/>
        </w:rPr>
        <w:t> </w:t>
      </w:r>
      <w:r w:rsidRPr="00005015">
        <w:rPr>
          <w:i/>
          <w:iCs/>
          <w:sz w:val="20"/>
        </w:rPr>
        <w:t>catégories.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9CB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593E83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455E60E" w14:textId="77777777" w:rsidTr="00D37B53">
      <w:trPr>
        <w:trHeight w:val="1104"/>
        <w:jc w:val="center"/>
      </w:trPr>
      <w:tc>
        <w:tcPr>
          <w:tcW w:w="5317" w:type="dxa"/>
          <w:vAlign w:val="center"/>
        </w:tcPr>
        <w:p w14:paraId="55F5B77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7D3C2988" wp14:editId="081241F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E8BCD75" w14:textId="77777777" w:rsidR="00524E8D" w:rsidRDefault="00524E8D" w:rsidP="00A51849">
          <w:pPr>
            <w:pStyle w:val="Header"/>
            <w:jc w:val="right"/>
            <w:rPr>
              <w:rFonts w:ascii="Arial" w:hAnsi="Arial" w:cs="Arial"/>
              <w:b/>
              <w:bCs/>
              <w:color w:val="009CD6"/>
              <w:szCs w:val="18"/>
            </w:rPr>
          </w:pPr>
        </w:p>
      </w:tc>
    </w:tr>
  </w:tbl>
  <w:p w14:paraId="4E679E25"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F796870" wp14:editId="2FA8640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C6F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0B"/>
    <w:rsid w:val="00005015"/>
    <w:rsid w:val="00076A2C"/>
    <w:rsid w:val="000D0D05"/>
    <w:rsid w:val="000D0D0A"/>
    <w:rsid w:val="00103163"/>
    <w:rsid w:val="00106B19"/>
    <w:rsid w:val="001133EF"/>
    <w:rsid w:val="00115D93"/>
    <w:rsid w:val="001247A8"/>
    <w:rsid w:val="001370B2"/>
    <w:rsid w:val="001378C0"/>
    <w:rsid w:val="00170DC8"/>
    <w:rsid w:val="0018694A"/>
    <w:rsid w:val="001A3287"/>
    <w:rsid w:val="001A6508"/>
    <w:rsid w:val="001C0ACD"/>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65074"/>
    <w:rsid w:val="003C3FAE"/>
    <w:rsid w:val="004038CB"/>
    <w:rsid w:val="0040546F"/>
    <w:rsid w:val="004177BD"/>
    <w:rsid w:val="0042404A"/>
    <w:rsid w:val="0044618F"/>
    <w:rsid w:val="0046769A"/>
    <w:rsid w:val="00475FB3"/>
    <w:rsid w:val="00485536"/>
    <w:rsid w:val="004C37A9"/>
    <w:rsid w:val="004D1D50"/>
    <w:rsid w:val="004D34FE"/>
    <w:rsid w:val="004F259E"/>
    <w:rsid w:val="00511F1D"/>
    <w:rsid w:val="00520F36"/>
    <w:rsid w:val="00524E8D"/>
    <w:rsid w:val="00534E13"/>
    <w:rsid w:val="00540615"/>
    <w:rsid w:val="00540A6D"/>
    <w:rsid w:val="00566679"/>
    <w:rsid w:val="00570B55"/>
    <w:rsid w:val="00571EEA"/>
    <w:rsid w:val="00575417"/>
    <w:rsid w:val="005768E1"/>
    <w:rsid w:val="005B1938"/>
    <w:rsid w:val="005C3890"/>
    <w:rsid w:val="005F7BFE"/>
    <w:rsid w:val="00600017"/>
    <w:rsid w:val="006235CA"/>
    <w:rsid w:val="0062366E"/>
    <w:rsid w:val="006643AB"/>
    <w:rsid w:val="006A11AE"/>
    <w:rsid w:val="006B4B33"/>
    <w:rsid w:val="006F0A53"/>
    <w:rsid w:val="007210CD"/>
    <w:rsid w:val="00732045"/>
    <w:rsid w:val="0073275D"/>
    <w:rsid w:val="007369DB"/>
    <w:rsid w:val="00767251"/>
    <w:rsid w:val="0077110E"/>
    <w:rsid w:val="007956C2"/>
    <w:rsid w:val="007A187E"/>
    <w:rsid w:val="007C47A9"/>
    <w:rsid w:val="007C72C2"/>
    <w:rsid w:val="007D4436"/>
    <w:rsid w:val="007F257A"/>
    <w:rsid w:val="007F3665"/>
    <w:rsid w:val="00800037"/>
    <w:rsid w:val="0082299A"/>
    <w:rsid w:val="0083391C"/>
    <w:rsid w:val="00844CDC"/>
    <w:rsid w:val="00861D73"/>
    <w:rsid w:val="00882919"/>
    <w:rsid w:val="00897553"/>
    <w:rsid w:val="008A4E87"/>
    <w:rsid w:val="008D76E6"/>
    <w:rsid w:val="008E5E58"/>
    <w:rsid w:val="00901249"/>
    <w:rsid w:val="0092392D"/>
    <w:rsid w:val="0093234A"/>
    <w:rsid w:val="00956A78"/>
    <w:rsid w:val="0097363B"/>
    <w:rsid w:val="00973F53"/>
    <w:rsid w:val="009A6BAA"/>
    <w:rsid w:val="009C307F"/>
    <w:rsid w:val="009C353C"/>
    <w:rsid w:val="009D4742"/>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04065"/>
    <w:rsid w:val="00B21496"/>
    <w:rsid w:val="00B27B00"/>
    <w:rsid w:val="00B309F9"/>
    <w:rsid w:val="00B32B60"/>
    <w:rsid w:val="00B51005"/>
    <w:rsid w:val="00B61619"/>
    <w:rsid w:val="00BB4545"/>
    <w:rsid w:val="00BD5873"/>
    <w:rsid w:val="00BF4B60"/>
    <w:rsid w:val="00C049D7"/>
    <w:rsid w:val="00C04BE3"/>
    <w:rsid w:val="00C25D29"/>
    <w:rsid w:val="00C27A7C"/>
    <w:rsid w:val="00C42437"/>
    <w:rsid w:val="00C56DE7"/>
    <w:rsid w:val="00C97699"/>
    <w:rsid w:val="00CA08ED"/>
    <w:rsid w:val="00CC6EAA"/>
    <w:rsid w:val="00CF183B"/>
    <w:rsid w:val="00D375CD"/>
    <w:rsid w:val="00D37B53"/>
    <w:rsid w:val="00D553A2"/>
    <w:rsid w:val="00D72F49"/>
    <w:rsid w:val="00D76001"/>
    <w:rsid w:val="00D774D3"/>
    <w:rsid w:val="00D904E8"/>
    <w:rsid w:val="00DA08C3"/>
    <w:rsid w:val="00DB5A3E"/>
    <w:rsid w:val="00DC22AA"/>
    <w:rsid w:val="00DD1A99"/>
    <w:rsid w:val="00DF74DD"/>
    <w:rsid w:val="00E25AD0"/>
    <w:rsid w:val="00E4428F"/>
    <w:rsid w:val="00E47427"/>
    <w:rsid w:val="00E93668"/>
    <w:rsid w:val="00E95647"/>
    <w:rsid w:val="00EA060B"/>
    <w:rsid w:val="00EB6350"/>
    <w:rsid w:val="00EE6E34"/>
    <w:rsid w:val="00F15B57"/>
    <w:rsid w:val="00F35EF4"/>
    <w:rsid w:val="00F37FE5"/>
    <w:rsid w:val="00F427DB"/>
    <w:rsid w:val="00FA5EB1"/>
    <w:rsid w:val="00FA7439"/>
    <w:rsid w:val="00FC4EC0"/>
    <w:rsid w:val="00FC5B97"/>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68698"/>
  <w15:docId w15:val="{572EE1C3-223C-4B52-B866-BE92680D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1C0ACD"/>
    <w:rPr>
      <w:sz w:val="16"/>
      <w:szCs w:val="16"/>
    </w:rPr>
  </w:style>
  <w:style w:type="paragraph" w:styleId="CommentText">
    <w:name w:val="annotation text"/>
    <w:basedOn w:val="Normal"/>
    <w:link w:val="CommentTextChar"/>
    <w:unhideWhenUsed/>
    <w:rsid w:val="001C0ACD"/>
    <w:rPr>
      <w:sz w:val="20"/>
    </w:rPr>
  </w:style>
  <w:style w:type="character" w:customStyle="1" w:styleId="CommentTextChar">
    <w:name w:val="Comment Text Char"/>
    <w:basedOn w:val="DefaultParagraphFont"/>
    <w:link w:val="CommentText"/>
    <w:rsid w:val="001C0ACD"/>
    <w:rPr>
      <w:rFonts w:ascii="Calibri" w:hAnsi="Calibri"/>
      <w:lang w:val="fr-FR" w:eastAsia="en-US"/>
    </w:rPr>
  </w:style>
  <w:style w:type="paragraph" w:styleId="CommentSubject">
    <w:name w:val="annotation subject"/>
    <w:basedOn w:val="CommentText"/>
    <w:next w:val="CommentText"/>
    <w:link w:val="CommentSubjectChar"/>
    <w:semiHidden/>
    <w:unhideWhenUsed/>
    <w:rsid w:val="001C0ACD"/>
    <w:rPr>
      <w:b/>
      <w:bCs/>
    </w:rPr>
  </w:style>
  <w:style w:type="character" w:customStyle="1" w:styleId="CommentSubjectChar">
    <w:name w:val="Comment Subject Char"/>
    <w:basedOn w:val="CommentTextChar"/>
    <w:link w:val="CommentSubject"/>
    <w:semiHidden/>
    <w:rsid w:val="001C0ACD"/>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30-F.pdf" TargetMode="External"/><Relationship Id="rId13" Type="http://schemas.openxmlformats.org/officeDocument/2006/relationships/hyperlink" Target="https://www.itu.int/md/R24-RRB24.3-C-0019/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noosa.org/oosa/oosadoc/data/resolutions/2021/general_assembly_76th_session/ares763.html" TargetMode="External"/><Relationship Id="rId12" Type="http://schemas.openxmlformats.org/officeDocument/2006/relationships/hyperlink" Target="https://www.itu.int/en/council/Documents/basic-texts-2023/RES-218-F.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203-F.pdf" TargetMode="External"/><Relationship Id="rId5" Type="http://schemas.openxmlformats.org/officeDocument/2006/relationships/footnotes" Target="footnotes.xml"/><Relationship Id="rId15" Type="http://schemas.openxmlformats.org/officeDocument/2006/relationships/hyperlink" Target="https://www.itu.int/md/S25-CL-C-0010/fr" TargetMode="External"/><Relationship Id="rId10" Type="http://schemas.openxmlformats.org/officeDocument/2006/relationships/hyperlink" Target="https://www.itu.int/en/council/Documents/basic-texts-2023/RES-200-F.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en/council/Documents/basic-texts-2023/RES-140-F.pdf" TargetMode="External"/><Relationship Id="rId14" Type="http://schemas.openxmlformats.org/officeDocument/2006/relationships/hyperlink" Target="https://www.itu.int/md/R24-RRB24.3-C-0023/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0DF4-94B2-41CC-A346-6D985221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3</Pages>
  <Words>1001</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GBS</cp:lastModifiedBy>
  <cp:revision>2</cp:revision>
  <cp:lastPrinted>2000-07-18T08:55:00Z</cp:lastPrinted>
  <dcterms:created xsi:type="dcterms:W3CDTF">2025-06-12T11:22:00Z</dcterms:created>
  <dcterms:modified xsi:type="dcterms:W3CDTF">2025-06-12T11:22:00Z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