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35A144A2"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DB0F2B">
              <w:rPr>
                <w:b/>
              </w:rPr>
              <w:t>ADM 1</w:t>
            </w:r>
          </w:p>
        </w:tc>
        <w:tc>
          <w:tcPr>
            <w:tcW w:w="5245" w:type="dxa"/>
          </w:tcPr>
          <w:p w14:paraId="6779937E" w14:textId="2CFF1F5B"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0D1869">
              <w:rPr>
                <w:b/>
              </w:rPr>
              <w:t>82</w:t>
            </w:r>
            <w:r w:rsidRPr="00C0458D">
              <w:rPr>
                <w:b/>
              </w:rPr>
              <w:t>-E</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5173BF86" w:rsidR="00AD3606" w:rsidRPr="00C0458D" w:rsidRDefault="00DA3734" w:rsidP="00AD3606">
            <w:pPr>
              <w:tabs>
                <w:tab w:val="left" w:pos="851"/>
              </w:tabs>
              <w:spacing w:before="0"/>
              <w:jc w:val="right"/>
              <w:rPr>
                <w:b/>
              </w:rPr>
            </w:pPr>
            <w:r>
              <w:rPr>
                <w:b/>
              </w:rPr>
              <w:t>2 June 2025</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00AD3606">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5B4FB31E" w:rsidR="00AD3606" w:rsidRPr="000F7289" w:rsidRDefault="00DA3734" w:rsidP="00945CC6">
            <w:pPr>
              <w:pStyle w:val="Source"/>
              <w:framePr w:hSpace="0" w:wrap="auto" w:vAnchor="margin" w:hAnchor="text" w:xAlign="left" w:yAlign="inline"/>
            </w:pPr>
            <w:bookmarkStart w:id="8" w:name="dsource" w:colFirst="0" w:colLast="0"/>
            <w:bookmarkEnd w:id="7"/>
            <w:r w:rsidRPr="00DA3734">
              <w:t xml:space="preserve">Contribution </w:t>
            </w:r>
            <w:r w:rsidRPr="000D1869">
              <w:t xml:space="preserve">by Angola, Botswana, Comoros, Eswatini, Lesotho, Madagascar, Malawi, Mauritius, Mozambique, Namibia, </w:t>
            </w:r>
            <w:r w:rsidR="000D1869" w:rsidRPr="000D1869">
              <w:t xml:space="preserve">Dem. Rep. of the Congo, </w:t>
            </w:r>
            <w:r w:rsidRPr="000D1869">
              <w:t>Seychelles, South Africa, Tanzania, Zambia</w:t>
            </w:r>
            <w:r w:rsidR="00AE0319">
              <w:t>,</w:t>
            </w:r>
            <w:r w:rsidRPr="000D1869">
              <w:t xml:space="preserve"> and Zimbabwe</w:t>
            </w:r>
          </w:p>
        </w:tc>
      </w:tr>
      <w:tr w:rsidR="00AD3606" w:rsidRPr="00C0458D" w14:paraId="3A759762" w14:textId="77777777" w:rsidTr="00AD3606">
        <w:trPr>
          <w:cantSplit/>
        </w:trPr>
        <w:tc>
          <w:tcPr>
            <w:tcW w:w="9214" w:type="dxa"/>
            <w:gridSpan w:val="2"/>
            <w:tcMar>
              <w:left w:w="0" w:type="dxa"/>
            </w:tcMar>
          </w:tcPr>
          <w:p w14:paraId="2A2DCF47" w14:textId="15C50FE7" w:rsidR="00AD3606" w:rsidRPr="000F7289" w:rsidRDefault="00DA3734" w:rsidP="000F7289">
            <w:pPr>
              <w:pStyle w:val="Subtitle"/>
              <w:framePr w:hSpace="0" w:wrap="auto" w:xAlign="left" w:yAlign="inline"/>
            </w:pPr>
            <w:bookmarkStart w:id="9" w:name="_Hlk199853548"/>
            <w:bookmarkStart w:id="10" w:name="dtitle1" w:colFirst="0" w:colLast="0"/>
            <w:bookmarkEnd w:id="8"/>
            <w:r w:rsidRPr="0095176E">
              <w:t xml:space="preserve">PROPOSAL FOR EXEMPTION OF COST RECOVERY </w:t>
            </w:r>
            <w:r>
              <w:t xml:space="preserve">FEE </w:t>
            </w:r>
            <w:r w:rsidRPr="0095176E">
              <w:t>FOR</w:t>
            </w:r>
            <w:r>
              <w:t xml:space="preserve"> SEVEN</w:t>
            </w:r>
            <w:r w:rsidR="000D1869">
              <w:t xml:space="preserve"> </w:t>
            </w:r>
            <w:r w:rsidRPr="0095176E">
              <w:t>SUBMISSIONS UNDER RESOLUTION 170 (REV.WRC-23)</w:t>
            </w:r>
            <w:r>
              <w:t xml:space="preserve"> BY THE ADMINISTRATION OF ANGOLA ACTING ON BEHALF OF 16 SADC </w:t>
            </w:r>
            <w:r w:rsidR="000D1869">
              <w:t>MEMBER STATES</w:t>
            </w:r>
            <w:bookmarkEnd w:id="9"/>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602F71CA" w:rsidR="00AD3606" w:rsidRDefault="00F16BAB" w:rsidP="00F16BAB">
            <w:pPr>
              <w:spacing w:before="160"/>
              <w:rPr>
                <w:b/>
                <w:bCs/>
                <w:sz w:val="26"/>
                <w:szCs w:val="26"/>
              </w:rPr>
            </w:pPr>
            <w:r w:rsidRPr="00C0458D">
              <w:rPr>
                <w:b/>
                <w:bCs/>
                <w:sz w:val="26"/>
                <w:szCs w:val="26"/>
              </w:rPr>
              <w:t>Purpose</w:t>
            </w:r>
          </w:p>
          <w:p w14:paraId="67D070EA" w14:textId="0257C52E" w:rsidR="00AD3606" w:rsidRPr="00C0458D" w:rsidRDefault="00DA3734" w:rsidP="000D1869">
            <w:pPr>
              <w:jc w:val="both"/>
            </w:pPr>
            <w:r w:rsidRPr="0095176E">
              <w:t xml:space="preserve">To propose </w:t>
            </w:r>
            <w:r>
              <w:t>the exemption of seven (7)</w:t>
            </w:r>
            <w:r w:rsidRPr="0095176E">
              <w:t xml:space="preserve"> </w:t>
            </w:r>
            <w:r>
              <w:t xml:space="preserve">coordination filing </w:t>
            </w:r>
            <w:r w:rsidRPr="0095176E">
              <w:t>submissions</w:t>
            </w:r>
            <w:r>
              <w:t xml:space="preserve"> -</w:t>
            </w:r>
            <w:r w:rsidRPr="0095176E">
              <w:t xml:space="preserve"> </w:t>
            </w:r>
            <w:r>
              <w:t>to be submitted</w:t>
            </w:r>
            <w:r w:rsidRPr="0095176E">
              <w:t xml:space="preserve"> under Resolution </w:t>
            </w:r>
            <w:r w:rsidRPr="00432E1C">
              <w:rPr>
                <w:b/>
                <w:bCs/>
              </w:rPr>
              <w:t>170 (Rev.WRC-23)</w:t>
            </w:r>
            <w:r w:rsidR="000D1869" w:rsidRPr="000D1869">
              <w:t xml:space="preserve"> </w:t>
            </w:r>
            <w:r w:rsidRPr="0078192F">
              <w:t>-</w:t>
            </w:r>
            <w:r w:rsidRPr="0095176E">
              <w:t xml:space="preserve"> from cost recovery</w:t>
            </w:r>
            <w:r>
              <w:t xml:space="preserve"> fee, as they </w:t>
            </w:r>
            <w:r w:rsidRPr="0078192F">
              <w:t xml:space="preserve">will be filed by the Administration of Angola on behalf of 16 SADC </w:t>
            </w:r>
            <w:r>
              <w:t>Member State</w:t>
            </w:r>
            <w:r w:rsidRPr="0078192F">
              <w:t>s.</w:t>
            </w:r>
          </w:p>
          <w:p w14:paraId="4288AA6F" w14:textId="7C342822"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w:t>
            </w:r>
            <w:r w:rsidR="000D1869">
              <w:rPr>
                <w:b/>
                <w:bCs/>
                <w:sz w:val="26"/>
                <w:szCs w:val="26"/>
              </w:rPr>
              <w:t>c</w:t>
            </w:r>
            <w:r w:rsidR="00F16BAB" w:rsidRPr="00C0458D">
              <w:rPr>
                <w:b/>
                <w:bCs/>
                <w:sz w:val="26"/>
                <w:szCs w:val="26"/>
              </w:rPr>
              <w:t>il</w:t>
            </w:r>
          </w:p>
          <w:p w14:paraId="731F0870" w14:textId="475CD637" w:rsidR="00453079" w:rsidRPr="00453079" w:rsidRDefault="00DA3734" w:rsidP="00DA3734">
            <w:pPr>
              <w:spacing w:before="160"/>
              <w:jc w:val="both"/>
              <w:rPr>
                <w:szCs w:val="24"/>
              </w:rPr>
            </w:pPr>
            <w:r w:rsidRPr="003D6F57">
              <w:rPr>
                <w:rFonts w:asciiTheme="minorHAnsi" w:hAnsiTheme="minorHAnsi" w:cstheme="minorHAnsi"/>
              </w:rPr>
              <w:t xml:space="preserve">The </w:t>
            </w:r>
            <w:r>
              <w:rPr>
                <w:rFonts w:asciiTheme="minorHAnsi" w:hAnsiTheme="minorHAnsi" w:cstheme="minorHAnsi"/>
              </w:rPr>
              <w:t>C</w:t>
            </w:r>
            <w:r w:rsidRPr="003D6F57">
              <w:rPr>
                <w:rFonts w:asciiTheme="minorHAnsi" w:hAnsiTheme="minorHAnsi" w:cstheme="minorHAnsi"/>
              </w:rPr>
              <w:t xml:space="preserve">ouncil is </w:t>
            </w:r>
            <w:r>
              <w:rPr>
                <w:rFonts w:asciiTheme="minorHAnsi" w:hAnsiTheme="minorHAnsi" w:cstheme="minorHAnsi"/>
              </w:rPr>
              <w:t>requested</w:t>
            </w:r>
            <w:r w:rsidRPr="003D6F57">
              <w:rPr>
                <w:rFonts w:asciiTheme="minorHAnsi" w:hAnsiTheme="minorHAnsi" w:cstheme="minorHAnsi"/>
              </w:rPr>
              <w:t xml:space="preserve"> </w:t>
            </w:r>
            <w:r w:rsidRPr="003D6F57">
              <w:rPr>
                <w:rFonts w:asciiTheme="minorHAnsi" w:hAnsiTheme="minorHAnsi" w:cstheme="minorHAnsi"/>
                <w:b/>
                <w:bCs/>
              </w:rPr>
              <w:t xml:space="preserve">to consider </w:t>
            </w:r>
            <w:r w:rsidRPr="003D6F57">
              <w:rPr>
                <w:rFonts w:asciiTheme="minorHAnsi" w:hAnsiTheme="minorHAnsi" w:cstheme="minorHAnsi"/>
              </w:rPr>
              <w:t>and</w:t>
            </w:r>
            <w:r w:rsidRPr="003D6F57">
              <w:rPr>
                <w:rFonts w:asciiTheme="minorHAnsi" w:hAnsiTheme="minorHAnsi" w:cstheme="minorHAnsi"/>
                <w:b/>
                <w:bCs/>
              </w:rPr>
              <w:t xml:space="preserve"> approve </w:t>
            </w:r>
            <w:r w:rsidRPr="003D6F57">
              <w:rPr>
                <w:rFonts w:asciiTheme="minorHAnsi" w:hAnsiTheme="minorHAnsi" w:cstheme="minorHAnsi"/>
              </w:rPr>
              <w:t xml:space="preserve">the </w:t>
            </w:r>
            <w:r>
              <w:rPr>
                <w:rFonts w:asciiTheme="minorHAnsi" w:hAnsiTheme="minorHAnsi" w:cstheme="minorHAnsi"/>
              </w:rPr>
              <w:t>proposal presented in</w:t>
            </w:r>
            <w:r w:rsidRPr="003D6F57">
              <w:rPr>
                <w:rFonts w:asciiTheme="minorHAnsi" w:hAnsiTheme="minorHAnsi" w:cstheme="minorHAnsi"/>
              </w:rPr>
              <w:t xml:space="preserve"> this</w:t>
            </w:r>
            <w:r>
              <w:rPr>
                <w:rFonts w:asciiTheme="minorHAnsi" w:hAnsiTheme="minorHAnsi" w:cstheme="minorHAnsi"/>
              </w:rPr>
              <w:t xml:space="preserve"> </w:t>
            </w:r>
            <w:r w:rsidRPr="003D6F57">
              <w:rPr>
                <w:rFonts w:asciiTheme="minorHAnsi" w:hAnsiTheme="minorHAnsi" w:cstheme="minorHAnsi"/>
              </w:rPr>
              <w:t>contribution.</w:t>
            </w:r>
          </w:p>
          <w:p w14:paraId="08939791" w14:textId="77777777" w:rsidR="00C0458D" w:rsidRDefault="00C0458D">
            <w:r>
              <w:t>_______________</w:t>
            </w:r>
          </w:p>
          <w:p w14:paraId="212A584A" w14:textId="61454405" w:rsidR="00AD3606" w:rsidRPr="00C0458D" w:rsidRDefault="00AD3606" w:rsidP="00F16BAB">
            <w:pPr>
              <w:spacing w:before="160"/>
              <w:rPr>
                <w:b/>
                <w:bCs/>
                <w:sz w:val="26"/>
                <w:szCs w:val="26"/>
              </w:rPr>
            </w:pPr>
            <w:r w:rsidRPr="00C0458D">
              <w:rPr>
                <w:b/>
                <w:bCs/>
                <w:sz w:val="26"/>
                <w:szCs w:val="26"/>
              </w:rPr>
              <w:t>References</w:t>
            </w:r>
          </w:p>
          <w:p w14:paraId="7089D4B7" w14:textId="620D1AA6" w:rsidR="00AD3606" w:rsidRPr="00722551" w:rsidRDefault="000D1869" w:rsidP="000D1869">
            <w:pPr>
              <w:spacing w:before="160"/>
              <w:jc w:val="both"/>
              <w:rPr>
                <w:i/>
                <w:iCs/>
                <w:sz w:val="22"/>
                <w:szCs w:val="22"/>
              </w:rPr>
            </w:pPr>
            <w:hyperlink r:id="rId8" w:history="1">
              <w:r w:rsidRPr="000D1869">
                <w:rPr>
                  <w:rStyle w:val="Hyperlink"/>
                  <w:i/>
                  <w:iCs/>
                  <w:sz w:val="22"/>
                  <w:szCs w:val="22"/>
                </w:rPr>
                <w:t>UNGA Resolution 76/3</w:t>
              </w:r>
            </w:hyperlink>
            <w:r>
              <w:rPr>
                <w:i/>
                <w:iCs/>
                <w:sz w:val="22"/>
                <w:szCs w:val="22"/>
              </w:rPr>
              <w:t xml:space="preserve">; Resolutions </w:t>
            </w:r>
            <w:hyperlink r:id="rId9" w:history="1">
              <w:r w:rsidRPr="00030739">
                <w:rPr>
                  <w:rStyle w:val="Hyperlink"/>
                  <w:i/>
                  <w:iCs/>
                  <w:sz w:val="22"/>
                  <w:szCs w:val="22"/>
                </w:rPr>
                <w:t>30 (Rev. Bucharest, 2022)</w:t>
              </w:r>
            </w:hyperlink>
            <w:r>
              <w:rPr>
                <w:i/>
                <w:iCs/>
                <w:sz w:val="22"/>
                <w:szCs w:val="22"/>
              </w:rPr>
              <w:t xml:space="preserve">, </w:t>
            </w:r>
            <w:hyperlink r:id="rId10" w:history="1">
              <w:r w:rsidRPr="00030739">
                <w:rPr>
                  <w:rStyle w:val="Hyperlink"/>
                  <w:i/>
                  <w:iCs/>
                  <w:sz w:val="22"/>
                  <w:szCs w:val="22"/>
                </w:rPr>
                <w:t>140 (Rev. Bucharest, 2022)</w:t>
              </w:r>
            </w:hyperlink>
            <w:r>
              <w:rPr>
                <w:i/>
                <w:iCs/>
                <w:sz w:val="22"/>
                <w:szCs w:val="22"/>
              </w:rPr>
              <w:t xml:space="preserve">, </w:t>
            </w:r>
            <w:hyperlink r:id="rId11" w:history="1">
              <w:r w:rsidRPr="00B60B12">
                <w:rPr>
                  <w:rStyle w:val="Hyperlink"/>
                  <w:i/>
                  <w:iCs/>
                  <w:sz w:val="22"/>
                  <w:szCs w:val="22"/>
                </w:rPr>
                <w:t>200 (Rev. Bucharest, 2022)</w:t>
              </w:r>
            </w:hyperlink>
            <w:r>
              <w:rPr>
                <w:i/>
                <w:iCs/>
                <w:sz w:val="22"/>
                <w:szCs w:val="22"/>
              </w:rPr>
              <w:t xml:space="preserve">, </w:t>
            </w:r>
            <w:hyperlink r:id="rId12" w:history="1">
              <w:r w:rsidRPr="00B60B12">
                <w:rPr>
                  <w:rStyle w:val="Hyperlink"/>
                  <w:i/>
                  <w:iCs/>
                  <w:sz w:val="22"/>
                  <w:szCs w:val="22"/>
                </w:rPr>
                <w:t>203 (Rev. Bucharest, 2022)</w:t>
              </w:r>
            </w:hyperlink>
            <w:r>
              <w:rPr>
                <w:i/>
                <w:iCs/>
                <w:sz w:val="22"/>
                <w:szCs w:val="22"/>
              </w:rPr>
              <w:t xml:space="preserve">, and </w:t>
            </w:r>
            <w:hyperlink r:id="rId13" w:history="1">
              <w:r w:rsidRPr="00B60B12">
                <w:rPr>
                  <w:rStyle w:val="Hyperlink"/>
                  <w:i/>
                  <w:iCs/>
                  <w:sz w:val="22"/>
                  <w:szCs w:val="22"/>
                </w:rPr>
                <w:t>218 (Bucharest, 2022)</w:t>
              </w:r>
            </w:hyperlink>
            <w:r>
              <w:rPr>
                <w:i/>
                <w:iCs/>
                <w:sz w:val="22"/>
                <w:szCs w:val="22"/>
              </w:rPr>
              <w:t xml:space="preserve"> of the Plenipotentiary Conference.</w:t>
            </w:r>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0B959AAB" w14:textId="75E08E00" w:rsidR="000D1869" w:rsidRDefault="000D1869">
      <w:pPr>
        <w:tabs>
          <w:tab w:val="clear" w:pos="567"/>
          <w:tab w:val="clear" w:pos="1134"/>
          <w:tab w:val="clear" w:pos="1701"/>
          <w:tab w:val="clear" w:pos="2268"/>
          <w:tab w:val="clear" w:pos="2835"/>
        </w:tabs>
        <w:overflowPunct/>
        <w:autoSpaceDE/>
        <w:autoSpaceDN/>
        <w:adjustRightInd/>
        <w:spacing w:before="0"/>
        <w:textAlignment w:val="auto"/>
      </w:pPr>
      <w:r>
        <w:br w:type="page"/>
      </w:r>
    </w:p>
    <w:p w14:paraId="1889FBC4" w14:textId="04276C0A" w:rsidR="00DA3734" w:rsidRDefault="00DA3734" w:rsidP="00DA37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B43610">
        <w:rPr>
          <w:rFonts w:asciiTheme="minorHAnsi" w:hAnsiTheme="minorHAnsi" w:cstheme="minorHAnsi"/>
          <w:szCs w:val="24"/>
        </w:rPr>
        <w:lastRenderedPageBreak/>
        <w:t xml:space="preserve">Since 2018, 16 Administrations from the Southern African Development Community (SADC) Region </w:t>
      </w:r>
      <w:r w:rsidR="00DB0F2B">
        <w:rPr>
          <w:rFonts w:asciiTheme="minorHAnsi" w:hAnsiTheme="minorHAnsi" w:cstheme="minorHAnsi"/>
          <w:szCs w:val="24"/>
        </w:rPr>
        <w:t>namely</w:t>
      </w:r>
      <w:r w:rsidRPr="00B43610">
        <w:rPr>
          <w:rFonts w:asciiTheme="minorHAnsi" w:hAnsiTheme="minorHAnsi" w:cstheme="minorHAnsi"/>
          <w:szCs w:val="24"/>
        </w:rPr>
        <w:t xml:space="preserve"> Angola, Botswana, Comoros, Democratic Republic of </w:t>
      </w:r>
      <w:r w:rsidR="00B60B12">
        <w:rPr>
          <w:rFonts w:asciiTheme="minorHAnsi" w:hAnsiTheme="minorHAnsi" w:cstheme="minorHAnsi"/>
          <w:szCs w:val="24"/>
        </w:rPr>
        <w:t xml:space="preserve">the </w:t>
      </w:r>
      <w:r w:rsidRPr="00B43610">
        <w:rPr>
          <w:rFonts w:asciiTheme="minorHAnsi" w:hAnsiTheme="minorHAnsi" w:cstheme="minorHAnsi"/>
          <w:szCs w:val="24"/>
        </w:rPr>
        <w:t>Congo, Eswatini, Lesotho, Madagascar, Malawi, Mauritius, Mozambique, Namibia, Seychelles, South Africa, United Republic of Tanzania, Zambia and Zimbabwe have planned to develop a regional shared satellite system to provide essential telecommunication services, including Internet access to schools and villages in their countries.</w:t>
      </w:r>
    </w:p>
    <w:p w14:paraId="008C56BD" w14:textId="77777777" w:rsidR="00DA3734" w:rsidRDefault="00DA3734" w:rsidP="00DA37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B43610">
        <w:rPr>
          <w:rFonts w:asciiTheme="minorHAnsi" w:hAnsiTheme="minorHAnsi" w:cstheme="minorHAnsi"/>
          <w:szCs w:val="24"/>
        </w:rPr>
        <w:t>The SADC Region consists of</w:t>
      </w:r>
      <w:r w:rsidRPr="00B43610">
        <w:rPr>
          <w:rFonts w:cstheme="minorHAnsi"/>
          <w:position w:val="6"/>
          <w:sz w:val="16"/>
          <w:szCs w:val="24"/>
        </w:rPr>
        <w:footnoteReference w:id="1"/>
      </w:r>
      <w:r w:rsidRPr="00B43610">
        <w:rPr>
          <w:rFonts w:asciiTheme="minorHAnsi" w:hAnsiTheme="minorHAnsi" w:cstheme="minorHAnsi"/>
          <w:szCs w:val="24"/>
        </w:rPr>
        <w:t>:</w:t>
      </w:r>
    </w:p>
    <w:p w14:paraId="22E83D8B" w14:textId="32AD2FFF" w:rsidR="00DA3734" w:rsidRPr="00B43610" w:rsidRDefault="00DA3734" w:rsidP="00DA3734">
      <w:pPr>
        <w:numPr>
          <w:ilvl w:val="0"/>
          <w:numId w:val="2"/>
        </w:numPr>
        <w:tabs>
          <w:tab w:val="clear" w:pos="567"/>
          <w:tab w:val="clear" w:pos="1134"/>
          <w:tab w:val="clear" w:pos="1701"/>
          <w:tab w:val="clear" w:pos="2268"/>
          <w:tab w:val="clear" w:pos="2835"/>
        </w:tabs>
        <w:overflowPunct/>
        <w:autoSpaceDE/>
        <w:autoSpaceDN/>
        <w:adjustRightInd/>
        <w:spacing w:after="120"/>
        <w:contextualSpacing/>
        <w:jc w:val="both"/>
        <w:textAlignment w:val="auto"/>
        <w:rPr>
          <w:rFonts w:asciiTheme="minorHAnsi" w:hAnsiTheme="minorHAnsi" w:cstheme="minorHAnsi"/>
          <w:szCs w:val="24"/>
        </w:rPr>
      </w:pPr>
      <w:r w:rsidRPr="00B43610">
        <w:rPr>
          <w:rFonts w:asciiTheme="minorHAnsi" w:hAnsiTheme="minorHAnsi" w:cstheme="minorHAnsi"/>
          <w:szCs w:val="24"/>
        </w:rPr>
        <w:t xml:space="preserve">9 Least Developed Countries (LDCs) by the United Nations, namely: Angola, Comoros, Democratic Republic of </w:t>
      </w:r>
      <w:r w:rsidR="00B60B12">
        <w:rPr>
          <w:rFonts w:asciiTheme="minorHAnsi" w:hAnsiTheme="minorHAnsi" w:cstheme="minorHAnsi"/>
          <w:szCs w:val="24"/>
        </w:rPr>
        <w:t xml:space="preserve">the </w:t>
      </w:r>
      <w:r w:rsidRPr="00B43610">
        <w:rPr>
          <w:rFonts w:asciiTheme="minorHAnsi" w:hAnsiTheme="minorHAnsi" w:cstheme="minorHAnsi"/>
          <w:szCs w:val="24"/>
        </w:rPr>
        <w:t xml:space="preserve">Congo, Lesotho, Madagascar, Malawi, Mozambique, United Republic of Tanzania and </w:t>
      </w:r>
      <w:proofErr w:type="gramStart"/>
      <w:r w:rsidRPr="00B43610">
        <w:rPr>
          <w:rFonts w:asciiTheme="minorHAnsi" w:hAnsiTheme="minorHAnsi" w:cstheme="minorHAnsi"/>
          <w:szCs w:val="24"/>
        </w:rPr>
        <w:t>Zambia;</w:t>
      </w:r>
      <w:proofErr w:type="gramEnd"/>
    </w:p>
    <w:p w14:paraId="428DCFC5" w14:textId="77777777" w:rsidR="00DA3734" w:rsidRPr="00B43610" w:rsidRDefault="00DA3734" w:rsidP="00DA3734">
      <w:pPr>
        <w:numPr>
          <w:ilvl w:val="0"/>
          <w:numId w:val="2"/>
        </w:numPr>
        <w:tabs>
          <w:tab w:val="clear" w:pos="567"/>
          <w:tab w:val="clear" w:pos="1134"/>
          <w:tab w:val="clear" w:pos="1701"/>
          <w:tab w:val="clear" w:pos="2268"/>
          <w:tab w:val="clear" w:pos="2835"/>
        </w:tabs>
        <w:overflowPunct/>
        <w:autoSpaceDE/>
        <w:autoSpaceDN/>
        <w:adjustRightInd/>
        <w:spacing w:after="120"/>
        <w:contextualSpacing/>
        <w:jc w:val="both"/>
        <w:textAlignment w:val="auto"/>
        <w:rPr>
          <w:rFonts w:asciiTheme="minorHAnsi" w:hAnsiTheme="minorHAnsi" w:cstheme="minorHAnsi"/>
          <w:szCs w:val="24"/>
        </w:rPr>
      </w:pPr>
      <w:r w:rsidRPr="00B43610">
        <w:rPr>
          <w:rFonts w:asciiTheme="minorHAnsi" w:hAnsiTheme="minorHAnsi" w:cstheme="minorHAnsi"/>
          <w:szCs w:val="24"/>
        </w:rPr>
        <w:t>4 Small Island Developing States (SIDS), namely: Comoros, Madagascar, Mauritius and Seychelles; and</w:t>
      </w:r>
    </w:p>
    <w:p w14:paraId="5568887A" w14:textId="77777777" w:rsidR="00DA3734" w:rsidRPr="00B43610" w:rsidRDefault="00DA3734" w:rsidP="00DA3734">
      <w:pPr>
        <w:numPr>
          <w:ilvl w:val="0"/>
          <w:numId w:val="2"/>
        </w:numPr>
        <w:tabs>
          <w:tab w:val="clear" w:pos="567"/>
          <w:tab w:val="clear" w:pos="1134"/>
          <w:tab w:val="clear" w:pos="1701"/>
          <w:tab w:val="clear" w:pos="2268"/>
          <w:tab w:val="clear" w:pos="2835"/>
        </w:tabs>
        <w:overflowPunct/>
        <w:autoSpaceDE/>
        <w:autoSpaceDN/>
        <w:adjustRightInd/>
        <w:spacing w:after="120"/>
        <w:ind w:left="714" w:hanging="357"/>
        <w:jc w:val="both"/>
        <w:textAlignment w:val="auto"/>
        <w:rPr>
          <w:rFonts w:asciiTheme="minorHAnsi" w:hAnsiTheme="minorHAnsi" w:cstheme="minorHAnsi"/>
          <w:szCs w:val="24"/>
        </w:rPr>
      </w:pPr>
      <w:r w:rsidRPr="00B43610">
        <w:rPr>
          <w:rFonts w:asciiTheme="minorHAnsi" w:hAnsiTheme="minorHAnsi" w:cstheme="minorHAnsi"/>
          <w:szCs w:val="24"/>
        </w:rPr>
        <w:t>6 Landlocked Developing Countries (LLDCs), namely: Botswana, Eswatini, Lesotho, Malawi, Zambia and Zimbabwe.</w:t>
      </w:r>
    </w:p>
    <w:p w14:paraId="264892A1" w14:textId="77777777" w:rsidR="00DA3734" w:rsidRDefault="00DA3734" w:rsidP="00DA37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5D2EE2">
        <w:rPr>
          <w:rFonts w:asciiTheme="minorHAnsi" w:hAnsiTheme="minorHAnsi" w:cstheme="minorHAnsi"/>
          <w:szCs w:val="24"/>
        </w:rPr>
        <w:t>Th</w:t>
      </w:r>
      <w:r>
        <w:rPr>
          <w:rFonts w:asciiTheme="minorHAnsi" w:hAnsiTheme="minorHAnsi" w:cstheme="minorHAnsi"/>
          <w:szCs w:val="24"/>
        </w:rPr>
        <w:t>is initiative aligns with the objectives of:</w:t>
      </w:r>
    </w:p>
    <w:p w14:paraId="492DE9F4" w14:textId="77777777" w:rsidR="00DA3734" w:rsidRPr="00A56D26" w:rsidRDefault="00DA3734" w:rsidP="00DA3734">
      <w:pPr>
        <w:pStyle w:val="NormalWeb"/>
        <w:numPr>
          <w:ilvl w:val="0"/>
          <w:numId w:val="2"/>
        </w:numPr>
        <w:jc w:val="both"/>
        <w:rPr>
          <w:rFonts w:asciiTheme="minorHAnsi" w:hAnsiTheme="minorHAnsi" w:cstheme="minorHAnsi"/>
        </w:rPr>
      </w:pPr>
      <w:r w:rsidRPr="00070AD9">
        <w:rPr>
          <w:rStyle w:val="Strong"/>
          <w:rFonts w:asciiTheme="minorHAnsi" w:hAnsiTheme="minorHAnsi" w:cstheme="minorHAnsi"/>
        </w:rPr>
        <w:t>Resolution</w:t>
      </w:r>
      <w:r w:rsidRPr="00A56D26">
        <w:rPr>
          <w:rStyle w:val="Strong"/>
          <w:rFonts w:asciiTheme="minorHAnsi" w:hAnsiTheme="minorHAnsi" w:cstheme="minorHAnsi"/>
        </w:rPr>
        <w:t xml:space="preserve"> </w:t>
      </w:r>
      <w:r w:rsidRPr="00176C89">
        <w:rPr>
          <w:rStyle w:val="Strong"/>
          <w:rFonts w:asciiTheme="minorHAnsi" w:hAnsiTheme="minorHAnsi" w:cstheme="minorHAnsi"/>
        </w:rPr>
        <w:t>30</w:t>
      </w:r>
      <w:r w:rsidRPr="00070AD9">
        <w:rPr>
          <w:rFonts w:asciiTheme="minorHAnsi" w:hAnsiTheme="minorHAnsi" w:cstheme="minorHAnsi"/>
          <w:b/>
          <w:bCs/>
        </w:rPr>
        <w:t xml:space="preserve"> (Rev</w:t>
      </w:r>
      <w:r w:rsidRPr="00070AD9">
        <w:rPr>
          <w:rFonts w:asciiTheme="minorHAnsi" w:hAnsiTheme="minorHAnsi" w:cstheme="minorHAnsi"/>
          <w:b/>
        </w:rPr>
        <w:t>. Bucharest, 2022)</w:t>
      </w:r>
      <w:r w:rsidRPr="00A56D26">
        <w:rPr>
          <w:rFonts w:asciiTheme="minorHAnsi" w:hAnsiTheme="minorHAnsi" w:cstheme="minorHAnsi"/>
        </w:rPr>
        <w:t xml:space="preserve">, which encourages LDCs, SIDS, LLDCs, and countries with economies in transition to prioritize ICT projects that promote socio-economic development and improved international </w:t>
      </w:r>
      <w:proofErr w:type="gramStart"/>
      <w:r w:rsidRPr="00A56D26">
        <w:rPr>
          <w:rFonts w:asciiTheme="minorHAnsi" w:hAnsiTheme="minorHAnsi" w:cstheme="minorHAnsi"/>
        </w:rPr>
        <w:t>connectivity;</w:t>
      </w:r>
      <w:proofErr w:type="gramEnd"/>
    </w:p>
    <w:p w14:paraId="017509B7" w14:textId="77777777" w:rsidR="00DA3734" w:rsidRPr="00A56D26" w:rsidRDefault="00DA3734" w:rsidP="00DA3734">
      <w:pPr>
        <w:pStyle w:val="NormalWeb"/>
        <w:numPr>
          <w:ilvl w:val="0"/>
          <w:numId w:val="2"/>
        </w:numPr>
        <w:jc w:val="both"/>
        <w:rPr>
          <w:rFonts w:asciiTheme="minorHAnsi" w:hAnsiTheme="minorHAnsi" w:cstheme="minorHAnsi"/>
        </w:rPr>
      </w:pPr>
      <w:r w:rsidRPr="00070AD9">
        <w:rPr>
          <w:rStyle w:val="Strong"/>
          <w:rFonts w:asciiTheme="minorHAnsi" w:hAnsiTheme="minorHAnsi" w:cstheme="minorHAnsi"/>
        </w:rPr>
        <w:t xml:space="preserve">Resolution </w:t>
      </w:r>
      <w:r w:rsidRPr="00176C89">
        <w:rPr>
          <w:rStyle w:val="Strong"/>
          <w:rFonts w:asciiTheme="minorHAnsi" w:hAnsiTheme="minorHAnsi" w:cstheme="minorHAnsi"/>
        </w:rPr>
        <w:t>200</w:t>
      </w:r>
      <w:r w:rsidRPr="00070AD9">
        <w:rPr>
          <w:rFonts w:asciiTheme="minorHAnsi" w:hAnsiTheme="minorHAnsi" w:cstheme="minorHAnsi"/>
          <w:b/>
          <w:bCs/>
        </w:rPr>
        <w:t xml:space="preserve"> (Rev. Bucharest, 2022)</w:t>
      </w:r>
      <w:r w:rsidRPr="00A56D26">
        <w:rPr>
          <w:rFonts w:asciiTheme="minorHAnsi" w:hAnsiTheme="minorHAnsi" w:cstheme="minorHAnsi"/>
        </w:rPr>
        <w:t xml:space="preserve">, which invites Member States to contribute to the implementation of the Connect 2030 </w:t>
      </w:r>
      <w:proofErr w:type="gramStart"/>
      <w:r w:rsidRPr="00A56D26">
        <w:rPr>
          <w:rFonts w:asciiTheme="minorHAnsi" w:hAnsiTheme="minorHAnsi" w:cstheme="minorHAnsi"/>
        </w:rPr>
        <w:t>Agenda;</w:t>
      </w:r>
      <w:proofErr w:type="gramEnd"/>
    </w:p>
    <w:p w14:paraId="02025D51" w14:textId="77777777" w:rsidR="00DA3734" w:rsidRPr="00176C89" w:rsidRDefault="00DA3734" w:rsidP="00DA3734">
      <w:pPr>
        <w:pStyle w:val="NormalWeb"/>
        <w:numPr>
          <w:ilvl w:val="0"/>
          <w:numId w:val="2"/>
        </w:numPr>
        <w:jc w:val="both"/>
        <w:rPr>
          <w:rFonts w:asciiTheme="minorHAnsi" w:hAnsiTheme="minorHAnsi" w:cstheme="minorHAnsi"/>
          <w:bCs/>
        </w:rPr>
      </w:pPr>
      <w:r w:rsidRPr="00070AD9">
        <w:rPr>
          <w:rStyle w:val="Strong"/>
          <w:rFonts w:asciiTheme="minorHAnsi" w:hAnsiTheme="minorHAnsi" w:cstheme="minorHAnsi"/>
        </w:rPr>
        <w:t xml:space="preserve">Resolution </w:t>
      </w:r>
      <w:r w:rsidRPr="00176C89">
        <w:rPr>
          <w:rStyle w:val="Strong"/>
          <w:rFonts w:asciiTheme="minorHAnsi" w:hAnsiTheme="minorHAnsi" w:cstheme="minorHAnsi"/>
        </w:rPr>
        <w:t>203</w:t>
      </w:r>
      <w:r w:rsidRPr="00070AD9">
        <w:rPr>
          <w:rFonts w:asciiTheme="minorHAnsi" w:hAnsiTheme="minorHAnsi" w:cstheme="minorHAnsi"/>
          <w:b/>
          <w:bCs/>
        </w:rPr>
        <w:t xml:space="preserve"> (Rev</w:t>
      </w:r>
      <w:r w:rsidRPr="00070AD9">
        <w:rPr>
          <w:rFonts w:asciiTheme="minorHAnsi" w:hAnsiTheme="minorHAnsi" w:cstheme="minorHAnsi"/>
          <w:b/>
        </w:rPr>
        <w:t>. Bucharest, 2022</w:t>
      </w:r>
      <w:r w:rsidRPr="00176C89">
        <w:rPr>
          <w:rFonts w:asciiTheme="minorHAnsi" w:hAnsiTheme="minorHAnsi" w:cstheme="minorHAnsi"/>
          <w:bCs/>
        </w:rPr>
        <w:t xml:space="preserve">), which resolves to work toward universal broadband </w:t>
      </w:r>
      <w:proofErr w:type="gramStart"/>
      <w:r w:rsidRPr="00176C89">
        <w:rPr>
          <w:rFonts w:asciiTheme="minorHAnsi" w:hAnsiTheme="minorHAnsi" w:cstheme="minorHAnsi"/>
          <w:bCs/>
        </w:rPr>
        <w:t>access;</w:t>
      </w:r>
      <w:proofErr w:type="gramEnd"/>
    </w:p>
    <w:p w14:paraId="2FC2A9DF" w14:textId="77777777" w:rsidR="00DA3734" w:rsidRPr="00A56D26" w:rsidRDefault="00DA3734" w:rsidP="00DA3734">
      <w:pPr>
        <w:pStyle w:val="NormalWeb"/>
        <w:numPr>
          <w:ilvl w:val="0"/>
          <w:numId w:val="2"/>
        </w:numPr>
        <w:jc w:val="both"/>
        <w:rPr>
          <w:rFonts w:asciiTheme="minorHAnsi" w:hAnsiTheme="minorHAnsi" w:cstheme="minorHAnsi"/>
        </w:rPr>
      </w:pPr>
      <w:r w:rsidRPr="00070AD9">
        <w:rPr>
          <w:rStyle w:val="Strong"/>
          <w:rFonts w:asciiTheme="minorHAnsi" w:hAnsiTheme="minorHAnsi" w:cstheme="minorHAnsi"/>
        </w:rPr>
        <w:t xml:space="preserve">Resolution </w:t>
      </w:r>
      <w:r w:rsidRPr="00176C89">
        <w:rPr>
          <w:rStyle w:val="Strong"/>
          <w:rFonts w:asciiTheme="minorHAnsi" w:hAnsiTheme="minorHAnsi" w:cstheme="minorHAnsi"/>
        </w:rPr>
        <w:t>218</w:t>
      </w:r>
      <w:r w:rsidRPr="00070AD9">
        <w:rPr>
          <w:rFonts w:asciiTheme="minorHAnsi" w:hAnsiTheme="minorHAnsi" w:cstheme="minorHAnsi"/>
          <w:b/>
          <w:bCs/>
        </w:rPr>
        <w:t xml:space="preserve"> (Bucharest, 2022)</w:t>
      </w:r>
      <w:r w:rsidRPr="00A56D26">
        <w:rPr>
          <w:rFonts w:asciiTheme="minorHAnsi" w:hAnsiTheme="minorHAnsi" w:cstheme="minorHAnsi"/>
        </w:rPr>
        <w:t>, which encourages participation in the Space2030 Agenda and efforts supporting the Sustainable Development Goals (SDGs); and</w:t>
      </w:r>
    </w:p>
    <w:p w14:paraId="59FB8CE3" w14:textId="77777777" w:rsidR="00DA3734" w:rsidRDefault="00DA3734" w:rsidP="00DA3734">
      <w:pPr>
        <w:pStyle w:val="NormalWeb"/>
        <w:numPr>
          <w:ilvl w:val="0"/>
          <w:numId w:val="2"/>
        </w:numPr>
        <w:rPr>
          <w:rFonts w:asciiTheme="minorHAnsi" w:hAnsiTheme="minorHAnsi" w:cstheme="minorHAnsi"/>
        </w:rPr>
      </w:pPr>
      <w:r w:rsidRPr="00A56D26">
        <w:rPr>
          <w:rFonts w:asciiTheme="minorHAnsi" w:hAnsiTheme="minorHAnsi" w:cstheme="minorHAnsi"/>
        </w:rPr>
        <w:t xml:space="preserve">The broader </w:t>
      </w:r>
      <w:r w:rsidRPr="00A56D26">
        <w:rPr>
          <w:rStyle w:val="Strong"/>
          <w:rFonts w:asciiTheme="minorHAnsi" w:hAnsiTheme="minorHAnsi" w:cstheme="minorHAnsi"/>
        </w:rPr>
        <w:t>UN SDGs</w:t>
      </w:r>
      <w:r w:rsidRPr="00A56D26">
        <w:rPr>
          <w:rFonts w:asciiTheme="minorHAnsi" w:hAnsiTheme="minorHAnsi" w:cstheme="minorHAnsi"/>
        </w:rPr>
        <w:t xml:space="preserve"> and </w:t>
      </w:r>
      <w:r w:rsidRPr="00A56D26">
        <w:rPr>
          <w:rStyle w:val="Strong"/>
          <w:rFonts w:asciiTheme="minorHAnsi" w:hAnsiTheme="minorHAnsi" w:cstheme="minorHAnsi"/>
        </w:rPr>
        <w:t>Space2030 Agenda</w:t>
      </w:r>
      <w:r w:rsidRPr="00A56D26">
        <w:rPr>
          <w:rFonts w:asciiTheme="minorHAnsi" w:hAnsiTheme="minorHAnsi" w:cstheme="minorHAnsi"/>
        </w:rPr>
        <w:t>.</w:t>
      </w:r>
    </w:p>
    <w:p w14:paraId="2258CCDA" w14:textId="77777777" w:rsidR="00DA3734" w:rsidRPr="00252489" w:rsidRDefault="00DA3734" w:rsidP="00DA3734">
      <w:pPr>
        <w:spacing w:after="120"/>
        <w:jc w:val="both"/>
        <w:rPr>
          <w:szCs w:val="24"/>
          <w:lang w:val="en-US"/>
        </w:rPr>
      </w:pPr>
      <w:r w:rsidRPr="00252489">
        <w:rPr>
          <w:szCs w:val="24"/>
          <w:lang w:val="en-US"/>
        </w:rPr>
        <w:t xml:space="preserve">With the assistance of the ITU Radiocommunications Bureau, these 16 Administrations have explored various ways to secure a suitable orbital position for their shared satellite system. It was concluded that applying </w:t>
      </w:r>
      <w:bookmarkStart w:id="12" w:name="_Hlk198877849"/>
      <w:r w:rsidRPr="00252489">
        <w:rPr>
          <w:szCs w:val="24"/>
          <w:lang w:val="en-US"/>
        </w:rPr>
        <w:t xml:space="preserve">Resolution </w:t>
      </w:r>
      <w:r w:rsidRPr="00252489">
        <w:rPr>
          <w:b/>
          <w:bCs/>
          <w:szCs w:val="24"/>
          <w:lang w:val="en-US"/>
        </w:rPr>
        <w:t>170 (Rev.WRC-23)</w:t>
      </w:r>
      <w:r w:rsidRPr="00252489">
        <w:rPr>
          <w:szCs w:val="24"/>
          <w:lang w:val="en-US"/>
        </w:rPr>
        <w:t xml:space="preserve"> </w:t>
      </w:r>
      <w:bookmarkEnd w:id="12"/>
      <w:r w:rsidRPr="00252489">
        <w:rPr>
          <w:szCs w:val="24"/>
          <w:lang w:val="en-US"/>
        </w:rPr>
        <w:t xml:space="preserve">offers better chances of success than applying current normal procedures as contained in Articles 9 and 11 for non-planned space services, Appendices </w:t>
      </w:r>
      <w:r w:rsidRPr="00252489">
        <w:rPr>
          <w:b/>
          <w:bCs/>
          <w:szCs w:val="24"/>
          <w:lang w:val="en-US"/>
        </w:rPr>
        <w:t>30</w:t>
      </w:r>
      <w:r w:rsidRPr="00252489">
        <w:rPr>
          <w:szCs w:val="24"/>
          <w:lang w:val="en-US"/>
        </w:rPr>
        <w:t xml:space="preserve"> and </w:t>
      </w:r>
      <w:r w:rsidRPr="00252489">
        <w:rPr>
          <w:b/>
          <w:bCs/>
          <w:szCs w:val="24"/>
          <w:lang w:val="en-US"/>
        </w:rPr>
        <w:t>30A</w:t>
      </w:r>
      <w:r w:rsidRPr="00252489">
        <w:rPr>
          <w:szCs w:val="24"/>
          <w:lang w:val="en-US"/>
        </w:rPr>
        <w:t xml:space="preserve"> for additional uses and Appendix </w:t>
      </w:r>
      <w:r w:rsidRPr="00252489">
        <w:rPr>
          <w:b/>
          <w:bCs/>
          <w:szCs w:val="24"/>
          <w:lang w:val="en-US"/>
        </w:rPr>
        <w:t>30B</w:t>
      </w:r>
      <w:r w:rsidRPr="00252489">
        <w:rPr>
          <w:szCs w:val="24"/>
          <w:lang w:val="en-US"/>
        </w:rPr>
        <w:t xml:space="preserve"> for additional systems.</w:t>
      </w:r>
    </w:p>
    <w:p w14:paraId="2F089AC6" w14:textId="0F5A3A72" w:rsidR="00DA3734" w:rsidRPr="0069750F" w:rsidRDefault="00DB0F2B" w:rsidP="00DA37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Pr>
          <w:rFonts w:asciiTheme="minorHAnsi" w:hAnsiTheme="minorHAnsi" w:cstheme="minorHAnsi"/>
          <w:szCs w:val="24"/>
        </w:rPr>
        <w:t>Alt</w:t>
      </w:r>
      <w:r w:rsidR="00DA3734" w:rsidRPr="0069750F">
        <w:rPr>
          <w:rFonts w:asciiTheme="minorHAnsi" w:hAnsiTheme="minorHAnsi" w:cstheme="minorHAnsi"/>
          <w:szCs w:val="24"/>
        </w:rPr>
        <w:t>hough the</w:t>
      </w:r>
      <w:r>
        <w:rPr>
          <w:rFonts w:asciiTheme="minorHAnsi" w:hAnsiTheme="minorHAnsi" w:cstheme="minorHAnsi"/>
          <w:szCs w:val="24"/>
        </w:rPr>
        <w:t>re have been</w:t>
      </w:r>
      <w:r w:rsidR="00DA3734" w:rsidRPr="0069750F">
        <w:rPr>
          <w:rFonts w:asciiTheme="minorHAnsi" w:hAnsiTheme="minorHAnsi" w:cstheme="minorHAnsi"/>
          <w:szCs w:val="24"/>
        </w:rPr>
        <w:t xml:space="preserve"> extensive effort</w:t>
      </w:r>
      <w:r>
        <w:rPr>
          <w:rFonts w:asciiTheme="minorHAnsi" w:hAnsiTheme="minorHAnsi" w:cstheme="minorHAnsi"/>
          <w:szCs w:val="24"/>
        </w:rPr>
        <w:t>s</w:t>
      </w:r>
      <w:r w:rsidR="00DA3734" w:rsidRPr="0069750F">
        <w:rPr>
          <w:rFonts w:asciiTheme="minorHAnsi" w:hAnsiTheme="minorHAnsi" w:cstheme="minorHAnsi"/>
          <w:szCs w:val="24"/>
        </w:rPr>
        <w:t xml:space="preserve"> by the 16 SADC </w:t>
      </w:r>
      <w:r w:rsidR="00DA3734">
        <w:rPr>
          <w:rFonts w:asciiTheme="minorHAnsi" w:hAnsiTheme="minorHAnsi" w:cstheme="minorHAnsi"/>
          <w:szCs w:val="24"/>
        </w:rPr>
        <w:t>Member State</w:t>
      </w:r>
      <w:r w:rsidR="00DA3734" w:rsidRPr="0069750F">
        <w:rPr>
          <w:rFonts w:asciiTheme="minorHAnsi" w:hAnsiTheme="minorHAnsi" w:cstheme="minorHAnsi"/>
          <w:szCs w:val="24"/>
        </w:rPr>
        <w:t xml:space="preserve">s </w:t>
      </w:r>
      <w:r>
        <w:rPr>
          <w:rFonts w:asciiTheme="minorHAnsi" w:hAnsiTheme="minorHAnsi" w:cstheme="minorHAnsi"/>
          <w:szCs w:val="24"/>
        </w:rPr>
        <w:t xml:space="preserve">including </w:t>
      </w:r>
      <w:r w:rsidR="00DA3734" w:rsidRPr="0069750F">
        <w:rPr>
          <w:rFonts w:asciiTheme="minorHAnsi" w:hAnsiTheme="minorHAnsi" w:cstheme="minorHAnsi"/>
          <w:szCs w:val="24"/>
        </w:rPr>
        <w:t>the</w:t>
      </w:r>
      <w:r w:rsidR="00DA3734">
        <w:rPr>
          <w:rFonts w:asciiTheme="minorHAnsi" w:hAnsiTheme="minorHAnsi" w:cstheme="minorHAnsi"/>
          <w:szCs w:val="24"/>
        </w:rPr>
        <w:t xml:space="preserve"> </w:t>
      </w:r>
      <w:r w:rsidR="00DA3734" w:rsidRPr="0069750F">
        <w:rPr>
          <w:rFonts w:asciiTheme="minorHAnsi" w:hAnsiTheme="minorHAnsi" w:cstheme="minorHAnsi"/>
          <w:szCs w:val="24"/>
        </w:rPr>
        <w:t xml:space="preserve">assistance </w:t>
      </w:r>
      <w:r>
        <w:rPr>
          <w:rFonts w:asciiTheme="minorHAnsi" w:hAnsiTheme="minorHAnsi" w:cstheme="minorHAnsi"/>
          <w:szCs w:val="24"/>
        </w:rPr>
        <w:t xml:space="preserve">by </w:t>
      </w:r>
      <w:r w:rsidR="00DA3734" w:rsidRPr="0069750F">
        <w:rPr>
          <w:rFonts w:asciiTheme="minorHAnsi" w:hAnsiTheme="minorHAnsi" w:cstheme="minorHAnsi"/>
          <w:szCs w:val="24"/>
        </w:rPr>
        <w:t xml:space="preserve">the Bureau, </w:t>
      </w:r>
      <w:r>
        <w:rPr>
          <w:rFonts w:asciiTheme="minorHAnsi" w:hAnsiTheme="minorHAnsi" w:cstheme="minorHAnsi"/>
          <w:szCs w:val="24"/>
        </w:rPr>
        <w:t>there is still</w:t>
      </w:r>
      <w:r w:rsidR="00DA3734" w:rsidRPr="0069750F">
        <w:rPr>
          <w:rFonts w:asciiTheme="minorHAnsi" w:hAnsiTheme="minorHAnsi" w:cstheme="minorHAnsi"/>
          <w:szCs w:val="24"/>
        </w:rPr>
        <w:t xml:space="preserve"> </w:t>
      </w:r>
      <w:r w:rsidR="00DA3734" w:rsidRPr="0069750F">
        <w:rPr>
          <w:rFonts w:asciiTheme="minorHAnsi" w:hAnsiTheme="minorHAnsi" w:cstheme="minorHAnsi"/>
          <w:szCs w:val="24"/>
          <w:lang w:val="en-US"/>
        </w:rPr>
        <w:t xml:space="preserve">high uncertainty in finding a suitable orbital position for applying Resolution </w:t>
      </w:r>
      <w:r w:rsidR="00DA3734" w:rsidRPr="0069750F">
        <w:rPr>
          <w:rFonts w:asciiTheme="minorHAnsi" w:hAnsiTheme="minorHAnsi" w:cstheme="minorHAnsi"/>
          <w:b/>
          <w:bCs/>
          <w:szCs w:val="24"/>
          <w:lang w:val="en-US"/>
        </w:rPr>
        <w:t>170 (Rev.WRC-23)</w:t>
      </w:r>
      <w:r>
        <w:rPr>
          <w:rFonts w:asciiTheme="minorHAnsi" w:hAnsiTheme="minorHAnsi" w:cstheme="minorHAnsi"/>
          <w:b/>
          <w:bCs/>
          <w:szCs w:val="24"/>
          <w:lang w:val="en-US"/>
        </w:rPr>
        <w:t xml:space="preserve"> </w:t>
      </w:r>
      <w:r w:rsidRPr="00DB0F2B">
        <w:rPr>
          <w:rFonts w:asciiTheme="minorHAnsi" w:hAnsiTheme="minorHAnsi" w:cstheme="minorHAnsi"/>
          <w:szCs w:val="24"/>
          <w:lang w:val="en-US"/>
        </w:rPr>
        <w:t>considering that it can be applied only</w:t>
      </w:r>
      <w:r w:rsidR="00674ED3">
        <w:rPr>
          <w:rFonts w:asciiTheme="minorHAnsi" w:hAnsiTheme="minorHAnsi" w:cstheme="minorHAnsi"/>
          <w:szCs w:val="24"/>
          <w:lang w:val="en-US"/>
        </w:rPr>
        <w:t xml:space="preserve"> once</w:t>
      </w:r>
      <w:r w:rsidR="00DA3734" w:rsidRPr="00DB0F2B">
        <w:rPr>
          <w:rFonts w:asciiTheme="minorHAnsi" w:hAnsiTheme="minorHAnsi" w:cstheme="minorHAnsi"/>
          <w:szCs w:val="24"/>
          <w:lang w:val="en-US"/>
        </w:rPr>
        <w:t>.</w:t>
      </w:r>
    </w:p>
    <w:p w14:paraId="78267930" w14:textId="4742F64B" w:rsidR="00DA3734" w:rsidRPr="0069750F" w:rsidRDefault="00DA3734" w:rsidP="00DA37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69750F">
        <w:rPr>
          <w:rFonts w:asciiTheme="minorHAnsi" w:hAnsiTheme="minorHAnsi" w:cstheme="minorHAnsi"/>
          <w:szCs w:val="24"/>
        </w:rPr>
        <w:t xml:space="preserve">Noting the purpose of adopting Resolution </w:t>
      </w:r>
      <w:r w:rsidRPr="0069750F">
        <w:rPr>
          <w:rFonts w:asciiTheme="minorHAnsi" w:hAnsiTheme="minorHAnsi" w:cstheme="minorHAnsi"/>
          <w:b/>
          <w:bCs/>
          <w:szCs w:val="24"/>
        </w:rPr>
        <w:t>170</w:t>
      </w:r>
      <w:r w:rsidRPr="0069750F">
        <w:rPr>
          <w:rFonts w:asciiTheme="minorHAnsi" w:hAnsiTheme="minorHAnsi" w:cstheme="minorHAnsi"/>
          <w:szCs w:val="24"/>
        </w:rPr>
        <w:t xml:space="preserve"> by WRC-19 and the </w:t>
      </w:r>
      <w:r w:rsidR="00AD2EDA">
        <w:rPr>
          <w:rFonts w:asciiTheme="minorHAnsi" w:hAnsiTheme="minorHAnsi" w:cstheme="minorHAnsi"/>
          <w:szCs w:val="24"/>
        </w:rPr>
        <w:t>impossibility</w:t>
      </w:r>
      <w:r w:rsidRPr="0069750F">
        <w:rPr>
          <w:rFonts w:asciiTheme="minorHAnsi" w:hAnsiTheme="minorHAnsi" w:cstheme="minorHAnsi"/>
          <w:szCs w:val="24"/>
        </w:rPr>
        <w:t xml:space="preserve"> of selecting a single optimal orbital position without starting frequency coordination with the Administrations potentially affected, the 16 SADC </w:t>
      </w:r>
      <w:r>
        <w:rPr>
          <w:rFonts w:asciiTheme="minorHAnsi" w:hAnsiTheme="minorHAnsi" w:cstheme="minorHAnsi"/>
          <w:szCs w:val="24"/>
        </w:rPr>
        <w:t>Member States</w:t>
      </w:r>
      <w:r w:rsidRPr="0069750F">
        <w:rPr>
          <w:rFonts w:asciiTheme="minorHAnsi" w:hAnsiTheme="minorHAnsi" w:cstheme="minorHAnsi"/>
          <w:szCs w:val="24"/>
        </w:rPr>
        <w:t xml:space="preserve"> submitted a request (</w:t>
      </w:r>
      <w:hyperlink r:id="rId14" w:history="1">
        <w:r w:rsidRPr="0069750F">
          <w:rPr>
            <w:rFonts w:asciiTheme="minorHAnsi" w:hAnsiTheme="minorHAnsi" w:cstheme="minorHAnsi"/>
            <w:color w:val="0563C1"/>
            <w:szCs w:val="24"/>
            <w:u w:val="single"/>
          </w:rPr>
          <w:t>https://www.itu.int/md/R24-RRB24.3-C-0019/en</w:t>
        </w:r>
      </w:hyperlink>
      <w:r w:rsidRPr="0069750F">
        <w:rPr>
          <w:rFonts w:asciiTheme="minorHAnsi" w:hAnsiTheme="minorHAnsi" w:cstheme="minorHAnsi"/>
          <w:szCs w:val="24"/>
        </w:rPr>
        <w:t xml:space="preserve">) </w:t>
      </w:r>
      <w:r w:rsidR="00AD2EDA">
        <w:rPr>
          <w:rFonts w:asciiTheme="minorHAnsi" w:hAnsiTheme="minorHAnsi" w:cstheme="minorHAnsi"/>
          <w:szCs w:val="24"/>
        </w:rPr>
        <w:t xml:space="preserve">to </w:t>
      </w:r>
      <w:r w:rsidRPr="0069750F">
        <w:rPr>
          <w:rFonts w:asciiTheme="minorHAnsi" w:hAnsiTheme="minorHAnsi" w:cstheme="minorHAnsi"/>
          <w:szCs w:val="24"/>
        </w:rPr>
        <w:t>the 97</w:t>
      </w:r>
      <w:r w:rsidRPr="0069750F">
        <w:rPr>
          <w:rFonts w:asciiTheme="minorHAnsi" w:hAnsiTheme="minorHAnsi" w:cstheme="minorHAnsi"/>
          <w:szCs w:val="24"/>
          <w:vertAlign w:val="superscript"/>
        </w:rPr>
        <w:t>th</w:t>
      </w:r>
      <w:r w:rsidRPr="0069750F">
        <w:rPr>
          <w:rFonts w:asciiTheme="minorHAnsi" w:hAnsiTheme="minorHAnsi" w:cstheme="minorHAnsi"/>
          <w:szCs w:val="24"/>
        </w:rPr>
        <w:t xml:space="preserve"> meeting of the Radio Regulations Board (RRB) to</w:t>
      </w:r>
      <w:r w:rsidR="00B60B12">
        <w:rPr>
          <w:rFonts w:asciiTheme="minorHAnsi" w:hAnsiTheme="minorHAnsi" w:cstheme="minorHAnsi"/>
          <w:szCs w:val="24"/>
        </w:rPr>
        <w:t xml:space="preserve"> </w:t>
      </w:r>
      <w:r w:rsidRPr="0069750F">
        <w:rPr>
          <w:rFonts w:asciiTheme="minorHAnsi" w:hAnsiTheme="minorHAnsi" w:cstheme="minorHAnsi"/>
          <w:szCs w:val="24"/>
        </w:rPr>
        <w:t xml:space="preserve">allow the Administration of Angola, acting on behalf of </w:t>
      </w:r>
      <w:r w:rsidRPr="0069750F">
        <w:rPr>
          <w:rFonts w:asciiTheme="minorHAnsi" w:hAnsiTheme="minorHAnsi" w:cstheme="minorHAnsi"/>
          <w:szCs w:val="24"/>
        </w:rPr>
        <w:lastRenderedPageBreak/>
        <w:t xml:space="preserve">Administrations of the 16 SADC Member States, to submit </w:t>
      </w:r>
      <w:r>
        <w:rPr>
          <w:rFonts w:asciiTheme="minorHAnsi" w:hAnsiTheme="minorHAnsi" w:cstheme="minorHAnsi"/>
          <w:szCs w:val="24"/>
        </w:rPr>
        <w:t>eight</w:t>
      </w:r>
      <w:r w:rsidRPr="0069750F">
        <w:rPr>
          <w:rFonts w:asciiTheme="minorHAnsi" w:hAnsiTheme="minorHAnsi" w:cstheme="minorHAnsi"/>
          <w:szCs w:val="24"/>
        </w:rPr>
        <w:t xml:space="preserve"> (</w:t>
      </w:r>
      <w:r>
        <w:rPr>
          <w:rFonts w:asciiTheme="minorHAnsi" w:hAnsiTheme="minorHAnsi" w:cstheme="minorHAnsi"/>
          <w:szCs w:val="24"/>
        </w:rPr>
        <w:t>8</w:t>
      </w:r>
      <w:r w:rsidRPr="0069750F">
        <w:rPr>
          <w:rFonts w:asciiTheme="minorHAnsi" w:hAnsiTheme="minorHAnsi" w:cstheme="minorHAnsi"/>
          <w:szCs w:val="24"/>
        </w:rPr>
        <w:t>) Coordination Filings. The RRB has acceded to that request</w:t>
      </w:r>
      <w:r>
        <w:rPr>
          <w:rFonts w:asciiTheme="minorHAnsi" w:hAnsiTheme="minorHAnsi" w:cstheme="minorHAnsi"/>
          <w:szCs w:val="24"/>
        </w:rPr>
        <w:t xml:space="preserve"> (</w:t>
      </w:r>
      <w:hyperlink r:id="rId15" w:history="1">
        <w:r w:rsidRPr="00BE2870">
          <w:rPr>
            <w:rStyle w:val="Hyperlink"/>
            <w:rFonts w:asciiTheme="minorHAnsi" w:hAnsiTheme="minorHAnsi" w:cstheme="minorHAnsi"/>
            <w:szCs w:val="24"/>
          </w:rPr>
          <w:t>https://www.itu.int/md/R24-RRB24.3-C-0023/en</w:t>
        </w:r>
      </w:hyperlink>
      <w:r>
        <w:rPr>
          <w:rFonts w:asciiTheme="minorHAnsi" w:hAnsiTheme="minorHAnsi" w:cstheme="minorHAnsi"/>
          <w:szCs w:val="24"/>
        </w:rPr>
        <w:t>)</w:t>
      </w:r>
      <w:r w:rsidRPr="0069750F">
        <w:rPr>
          <w:rFonts w:asciiTheme="minorHAnsi" w:hAnsiTheme="minorHAnsi" w:cstheme="minorHAnsi"/>
          <w:szCs w:val="24"/>
        </w:rPr>
        <w:t>.</w:t>
      </w:r>
    </w:p>
    <w:p w14:paraId="77042FC7" w14:textId="280C7208" w:rsidR="00DA3734" w:rsidRDefault="00DA3734" w:rsidP="00DA3734">
      <w:pPr>
        <w:tabs>
          <w:tab w:val="clear" w:pos="567"/>
          <w:tab w:val="clear" w:pos="1134"/>
          <w:tab w:val="clear" w:pos="1701"/>
          <w:tab w:val="clear" w:pos="2268"/>
          <w:tab w:val="clear" w:pos="2835"/>
        </w:tabs>
        <w:overflowPunct/>
        <w:autoSpaceDE/>
        <w:autoSpaceDN/>
        <w:adjustRightInd/>
        <w:spacing w:after="120"/>
        <w:jc w:val="both"/>
        <w:textAlignment w:val="auto"/>
      </w:pPr>
      <w:r>
        <w:t xml:space="preserve">The </w:t>
      </w:r>
      <w:r w:rsidRPr="00631230">
        <w:t xml:space="preserve">Expert Group on Decision </w:t>
      </w:r>
      <w:r w:rsidRPr="00EB0314">
        <w:rPr>
          <w:b/>
          <w:bCs/>
        </w:rPr>
        <w:t>482</w:t>
      </w:r>
      <w:r>
        <w:rPr>
          <w:b/>
          <w:bCs/>
        </w:rPr>
        <w:t xml:space="preserve"> </w:t>
      </w:r>
      <w:r w:rsidRPr="00070AD9">
        <w:t>(EG-DEC482)</w:t>
      </w:r>
      <w:r w:rsidRPr="00FB0224">
        <w:t>,</w:t>
      </w:r>
      <w:r>
        <w:t xml:space="preserve"> in its final report to the ITU Council (Document </w:t>
      </w:r>
      <w:hyperlink r:id="rId16" w:history="1">
        <w:r w:rsidRPr="00B60B12">
          <w:rPr>
            <w:rStyle w:val="Hyperlink"/>
          </w:rPr>
          <w:t>C25/10</w:t>
        </w:r>
      </w:hyperlink>
      <w:r>
        <w:t xml:space="preserve">) indicated that submissions under Resolution </w:t>
      </w:r>
      <w:r w:rsidRPr="00FB0224">
        <w:rPr>
          <w:b/>
          <w:bCs/>
        </w:rPr>
        <w:t>170</w:t>
      </w:r>
      <w:r>
        <w:t xml:space="preserve"> are eligible for free entitlement per year. Therefore, the SADC Region must cover cost recovery fees for the remaining seven (7) coordination filing submissions.</w:t>
      </w:r>
    </w:p>
    <w:p w14:paraId="76A9E38B" w14:textId="7EFDB6C0" w:rsidR="00DA3734" w:rsidRPr="00FB0224" w:rsidRDefault="00DA3734" w:rsidP="00DA3734">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FB0224">
        <w:rPr>
          <w:lang w:val="en-US"/>
        </w:rPr>
        <w:t>However, this requirement arises from the technical impossibility of selecting a single suitable orbital position, a fact acknowledged by the RRB. Moreover:</w:t>
      </w:r>
    </w:p>
    <w:p w14:paraId="6E8B4E3E" w14:textId="77777777" w:rsidR="00DA3734" w:rsidRPr="00FB0224" w:rsidRDefault="00DA3734" w:rsidP="00DA3734">
      <w:pPr>
        <w:numPr>
          <w:ilvl w:val="0"/>
          <w:numId w:val="3"/>
        </w:num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B60B12">
        <w:rPr>
          <w:spacing w:val="-4"/>
          <w:lang w:val="en-US"/>
        </w:rPr>
        <w:t xml:space="preserve">The total of eight (8) coordination filings submissions under </w:t>
      </w:r>
      <w:r w:rsidRPr="00B60B12">
        <w:rPr>
          <w:spacing w:val="-4"/>
          <w:szCs w:val="24"/>
          <w:lang w:val="en-US"/>
        </w:rPr>
        <w:t xml:space="preserve">Resolution </w:t>
      </w:r>
      <w:r w:rsidRPr="00B60B12">
        <w:rPr>
          <w:b/>
          <w:bCs/>
          <w:spacing w:val="-4"/>
          <w:szCs w:val="24"/>
          <w:lang w:val="en-US"/>
        </w:rPr>
        <w:t>170</w:t>
      </w:r>
      <w:r w:rsidRPr="00252489">
        <w:rPr>
          <w:b/>
          <w:bCs/>
          <w:szCs w:val="24"/>
          <w:lang w:val="en-US"/>
        </w:rPr>
        <w:t xml:space="preserve"> (Rev.WRC-23)</w:t>
      </w:r>
      <w:r w:rsidRPr="00252489">
        <w:rPr>
          <w:szCs w:val="24"/>
          <w:lang w:val="en-US"/>
        </w:rPr>
        <w:t xml:space="preserve"> </w:t>
      </w:r>
      <w:r w:rsidRPr="00FB0224">
        <w:rPr>
          <w:lang w:val="en-US"/>
        </w:rPr>
        <w:t>is well within the limit of 16 participating Administrations, each entitled to one cost-free submission per year;</w:t>
      </w:r>
      <w:r>
        <w:rPr>
          <w:lang w:val="en-US"/>
        </w:rPr>
        <w:t xml:space="preserve"> and</w:t>
      </w:r>
    </w:p>
    <w:p w14:paraId="71459F60" w14:textId="77777777" w:rsidR="00DA3734" w:rsidRPr="00FB0224" w:rsidRDefault="00DA3734" w:rsidP="00DA3734">
      <w:pPr>
        <w:numPr>
          <w:ilvl w:val="0"/>
          <w:numId w:val="3"/>
        </w:num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FB0224">
        <w:rPr>
          <w:lang w:val="en-US"/>
        </w:rPr>
        <w:t xml:space="preserve">Applying cost recovery in this context, especially for efforts benefiting LDCs, SIDS, and LLDCs, undermines ITU’s commitment to equitable access to satellite orbits and the special needs of developing countries, as set out in Resolution </w:t>
      </w:r>
      <w:r w:rsidRPr="00FB0224">
        <w:rPr>
          <w:b/>
          <w:bCs/>
          <w:lang w:val="en-US"/>
        </w:rPr>
        <w:t>218</w:t>
      </w:r>
      <w:r>
        <w:rPr>
          <w:b/>
          <w:bCs/>
          <w:lang w:val="en-US"/>
        </w:rPr>
        <w:t xml:space="preserve"> </w:t>
      </w:r>
      <w:r w:rsidRPr="00176C53">
        <w:rPr>
          <w:rFonts w:asciiTheme="minorHAnsi" w:hAnsiTheme="minorHAnsi" w:cstheme="minorHAnsi"/>
          <w:b/>
          <w:bCs/>
        </w:rPr>
        <w:t>(Bucharest, 2022)</w:t>
      </w:r>
      <w:r>
        <w:rPr>
          <w:lang w:val="en-US"/>
        </w:rPr>
        <w:t>,</w:t>
      </w:r>
      <w:r w:rsidRPr="00A0000A">
        <w:t xml:space="preserve"> </w:t>
      </w:r>
      <w:r w:rsidRPr="00A0000A">
        <w:rPr>
          <w:lang w:val="en-US"/>
        </w:rPr>
        <w:t>of the Plenipotentiary Conference</w:t>
      </w:r>
      <w:r>
        <w:rPr>
          <w:lang w:val="en-US"/>
        </w:rPr>
        <w:t>.</w:t>
      </w:r>
    </w:p>
    <w:p w14:paraId="170013A6" w14:textId="77777777" w:rsidR="00DA3734" w:rsidRPr="00AF7EE3" w:rsidRDefault="00DA3734" w:rsidP="00DA3734">
      <w:pPr>
        <w:keepNext/>
        <w:keepLines/>
        <w:spacing w:before="240" w:after="120"/>
        <w:ind w:left="567" w:hanging="567"/>
        <w:jc w:val="both"/>
        <w:outlineLvl w:val="0"/>
        <w:rPr>
          <w:rFonts w:asciiTheme="minorHAnsi" w:hAnsiTheme="minorHAnsi" w:cstheme="minorHAnsi"/>
          <w:b/>
          <w:szCs w:val="24"/>
        </w:rPr>
      </w:pPr>
      <w:r w:rsidRPr="00AF7EE3">
        <w:rPr>
          <w:rFonts w:asciiTheme="minorHAnsi" w:hAnsiTheme="minorHAnsi" w:cstheme="minorHAnsi"/>
          <w:b/>
          <w:szCs w:val="24"/>
        </w:rPr>
        <w:t>Proposal:</w:t>
      </w:r>
    </w:p>
    <w:p w14:paraId="78FE7ED3" w14:textId="77777777" w:rsidR="00DA3734" w:rsidRDefault="00DA3734" w:rsidP="00DA37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AF7EE3">
        <w:rPr>
          <w:rFonts w:asciiTheme="minorHAnsi" w:hAnsiTheme="minorHAnsi" w:cstheme="minorHAnsi"/>
          <w:szCs w:val="24"/>
        </w:rPr>
        <w:t>In view of the above</w:t>
      </w:r>
      <w:r>
        <w:rPr>
          <w:rFonts w:asciiTheme="minorHAnsi" w:hAnsiTheme="minorHAnsi" w:cstheme="minorHAnsi"/>
          <w:szCs w:val="24"/>
        </w:rPr>
        <w:t>,</w:t>
      </w:r>
      <w:r w:rsidRPr="00AF7EE3">
        <w:rPr>
          <w:rFonts w:asciiTheme="minorHAnsi" w:hAnsiTheme="minorHAnsi" w:cstheme="minorHAnsi"/>
          <w:szCs w:val="24"/>
        </w:rPr>
        <w:t xml:space="preserve"> </w:t>
      </w:r>
      <w:r>
        <w:rPr>
          <w:rFonts w:asciiTheme="minorHAnsi" w:hAnsiTheme="minorHAnsi" w:cstheme="minorHAnsi"/>
          <w:szCs w:val="24"/>
        </w:rPr>
        <w:t>t</w:t>
      </w:r>
      <w:r w:rsidRPr="00AF7EE3">
        <w:rPr>
          <w:rFonts w:asciiTheme="minorHAnsi" w:hAnsiTheme="minorHAnsi" w:cstheme="minorHAnsi"/>
          <w:szCs w:val="24"/>
        </w:rPr>
        <w:t xml:space="preserve">he co-signatories </w:t>
      </w:r>
      <w:r>
        <w:rPr>
          <w:rFonts w:asciiTheme="minorHAnsi" w:hAnsiTheme="minorHAnsi" w:cstheme="minorHAnsi"/>
          <w:szCs w:val="24"/>
        </w:rPr>
        <w:t xml:space="preserve">respectfully request the ITU Council </w:t>
      </w:r>
      <w:r w:rsidRPr="004E1123">
        <w:t xml:space="preserve">to exempt seven (7) </w:t>
      </w:r>
      <w:r>
        <w:t xml:space="preserve">coordination filing </w:t>
      </w:r>
      <w:r w:rsidRPr="004E1123">
        <w:t xml:space="preserve">submissions </w:t>
      </w:r>
      <w:r w:rsidRPr="00A0000A">
        <w:t xml:space="preserve">under Resolution 170 (Rev.WRC-23) </w:t>
      </w:r>
      <w:r w:rsidRPr="004E1123">
        <w:t>from cost recovery</w:t>
      </w:r>
      <w:r>
        <w:t xml:space="preserve"> fee</w:t>
      </w:r>
      <w:r w:rsidRPr="004E1123">
        <w:t xml:space="preserve">, as they will be filed by the Administration of Angola on behalf of 16 SADC </w:t>
      </w:r>
      <w:r>
        <w:t>Member States</w:t>
      </w:r>
      <w:r w:rsidRPr="004E1123">
        <w:t>.</w:t>
      </w:r>
    </w:p>
    <w:p w14:paraId="35C6D0A5" w14:textId="23E82228" w:rsidR="007A3FCD" w:rsidRPr="00AD2EDA" w:rsidRDefault="00DA3734" w:rsidP="00B60B12">
      <w:pPr>
        <w:spacing w:before="480"/>
        <w:jc w:val="center"/>
        <w:rPr>
          <w:b/>
        </w:rPr>
      </w:pPr>
      <w:r>
        <w:t>______________</w:t>
      </w:r>
      <w:bookmarkEnd w:id="5"/>
      <w:bookmarkEnd w:id="11"/>
    </w:p>
    <w:sectPr w:rsidR="007A3FCD" w:rsidRPr="00AD2EDA"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5464A" w14:textId="77777777" w:rsidR="0036076F" w:rsidRDefault="0036076F">
      <w:r>
        <w:separator/>
      </w:r>
    </w:p>
  </w:endnote>
  <w:endnote w:type="continuationSeparator" w:id="0">
    <w:p w14:paraId="1E971AD3" w14:textId="77777777" w:rsidR="0036076F" w:rsidRDefault="0036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42469C">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28FECC40"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B60B12">
            <w:rPr>
              <w:bCs/>
            </w:rPr>
            <w:t>82</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29AA3F73"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B60B12">
            <w:rPr>
              <w:bCs/>
            </w:rPr>
            <w:t>82</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9ACB1" w14:textId="77777777" w:rsidR="0036076F" w:rsidRDefault="0036076F">
      <w:r>
        <w:t>____________________</w:t>
      </w:r>
    </w:p>
  </w:footnote>
  <w:footnote w:type="continuationSeparator" w:id="0">
    <w:p w14:paraId="306A79D4" w14:textId="77777777" w:rsidR="0036076F" w:rsidRDefault="0036076F">
      <w:r>
        <w:continuationSeparator/>
      </w:r>
    </w:p>
  </w:footnote>
  <w:footnote w:id="1">
    <w:p w14:paraId="725139FD" w14:textId="77777777" w:rsidR="00DA3734" w:rsidRPr="00304AFC" w:rsidRDefault="00DA3734" w:rsidP="00DA3734">
      <w:pPr>
        <w:pStyle w:val="FootnoteText"/>
        <w:rPr>
          <w:i/>
          <w:iCs/>
          <w:szCs w:val="24"/>
          <w:lang w:val="en-US"/>
        </w:rPr>
      </w:pPr>
      <w:r w:rsidRPr="00304AFC">
        <w:rPr>
          <w:rStyle w:val="FootnoteReference"/>
          <w:i/>
          <w:iCs/>
          <w:sz w:val="22"/>
          <w:szCs w:val="22"/>
        </w:rPr>
        <w:footnoteRef/>
      </w:r>
      <w:r w:rsidRPr="00304AFC">
        <w:rPr>
          <w:i/>
          <w:iCs/>
          <w:szCs w:val="22"/>
        </w:rPr>
        <w:t xml:space="preserve"> </w:t>
      </w:r>
      <w:r w:rsidRPr="00304AFC">
        <w:rPr>
          <w:i/>
          <w:iCs/>
          <w:szCs w:val="22"/>
          <w:lang w:val="en-US"/>
        </w:rPr>
        <w:t>Some countries fall in more than one category</w:t>
      </w:r>
      <w:r>
        <w:rPr>
          <w:i/>
          <w:iCs/>
          <w:szCs w:val="22"/>
          <w:lang w:val="en-US"/>
        </w:rPr>
        <w:t xml:space="preserve"> and Namibia does not fall in any of the 3 classes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C91CFC">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3"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5DDEC" id="Rectangle 5" o:spid="_x0000_s1026" style="position:absolute;margin-left:.3pt;margin-top:47.35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795E1C"/>
    <w:multiLevelType w:val="multilevel"/>
    <w:tmpl w:val="2694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B36867"/>
    <w:multiLevelType w:val="hybridMultilevel"/>
    <w:tmpl w:val="03A6549E"/>
    <w:lvl w:ilvl="0" w:tplc="D4F0AAB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40522396">
    <w:abstractNumId w:val="2"/>
  </w:num>
  <w:num w:numId="3" w16cid:durableId="669909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10D4"/>
    <w:rsid w:val="00030739"/>
    <w:rsid w:val="0006007D"/>
    <w:rsid w:val="00063016"/>
    <w:rsid w:val="00066795"/>
    <w:rsid w:val="000745AB"/>
    <w:rsid w:val="00076AF6"/>
    <w:rsid w:val="00085CF2"/>
    <w:rsid w:val="000B1705"/>
    <w:rsid w:val="000D1869"/>
    <w:rsid w:val="000D75B2"/>
    <w:rsid w:val="000F5DDB"/>
    <w:rsid w:val="000F7289"/>
    <w:rsid w:val="00110FA7"/>
    <w:rsid w:val="001121F5"/>
    <w:rsid w:val="001400DC"/>
    <w:rsid w:val="00140CE1"/>
    <w:rsid w:val="0017539C"/>
    <w:rsid w:val="00175AC2"/>
    <w:rsid w:val="0017609F"/>
    <w:rsid w:val="001A3154"/>
    <w:rsid w:val="001A7D1D"/>
    <w:rsid w:val="001B51DD"/>
    <w:rsid w:val="001C628E"/>
    <w:rsid w:val="001E0F7B"/>
    <w:rsid w:val="001F5569"/>
    <w:rsid w:val="002119FD"/>
    <w:rsid w:val="002130E0"/>
    <w:rsid w:val="00221F46"/>
    <w:rsid w:val="00264425"/>
    <w:rsid w:val="00265875"/>
    <w:rsid w:val="0027303B"/>
    <w:rsid w:val="0028109B"/>
    <w:rsid w:val="002A2188"/>
    <w:rsid w:val="002B1F58"/>
    <w:rsid w:val="002B619D"/>
    <w:rsid w:val="002C1C7A"/>
    <w:rsid w:val="002C54E2"/>
    <w:rsid w:val="0030160F"/>
    <w:rsid w:val="003049AA"/>
    <w:rsid w:val="00320223"/>
    <w:rsid w:val="00322D0D"/>
    <w:rsid w:val="0036076F"/>
    <w:rsid w:val="00361465"/>
    <w:rsid w:val="003877F5"/>
    <w:rsid w:val="003936D3"/>
    <w:rsid w:val="003942D4"/>
    <w:rsid w:val="003958A8"/>
    <w:rsid w:val="003B29C2"/>
    <w:rsid w:val="003C2533"/>
    <w:rsid w:val="003D5A7F"/>
    <w:rsid w:val="0040435A"/>
    <w:rsid w:val="00416A24"/>
    <w:rsid w:val="00427BFF"/>
    <w:rsid w:val="00431D9E"/>
    <w:rsid w:val="00433CE8"/>
    <w:rsid w:val="00434A5C"/>
    <w:rsid w:val="00453079"/>
    <w:rsid w:val="004544D9"/>
    <w:rsid w:val="00472BAD"/>
    <w:rsid w:val="004811F8"/>
    <w:rsid w:val="00484009"/>
    <w:rsid w:val="00490E72"/>
    <w:rsid w:val="00491157"/>
    <w:rsid w:val="00491BA9"/>
    <w:rsid w:val="004921C8"/>
    <w:rsid w:val="00495B0B"/>
    <w:rsid w:val="004A1B8B"/>
    <w:rsid w:val="004B25A1"/>
    <w:rsid w:val="004D1851"/>
    <w:rsid w:val="004D599D"/>
    <w:rsid w:val="004E2EA5"/>
    <w:rsid w:val="004E3AEB"/>
    <w:rsid w:val="0050223C"/>
    <w:rsid w:val="005243FF"/>
    <w:rsid w:val="00564FBC"/>
    <w:rsid w:val="005800BC"/>
    <w:rsid w:val="00582442"/>
    <w:rsid w:val="005F3269"/>
    <w:rsid w:val="00623AE3"/>
    <w:rsid w:val="00630C4D"/>
    <w:rsid w:val="00644EC6"/>
    <w:rsid w:val="0064737F"/>
    <w:rsid w:val="006535F1"/>
    <w:rsid w:val="0065557D"/>
    <w:rsid w:val="00660D50"/>
    <w:rsid w:val="00662984"/>
    <w:rsid w:val="006716BB"/>
    <w:rsid w:val="00674ED3"/>
    <w:rsid w:val="006B1859"/>
    <w:rsid w:val="006B6680"/>
    <w:rsid w:val="006B6DCC"/>
    <w:rsid w:val="006B77F1"/>
    <w:rsid w:val="006C5ECF"/>
    <w:rsid w:val="00702DEF"/>
    <w:rsid w:val="00706861"/>
    <w:rsid w:val="00722551"/>
    <w:rsid w:val="007249F0"/>
    <w:rsid w:val="0075051B"/>
    <w:rsid w:val="0077110E"/>
    <w:rsid w:val="00793188"/>
    <w:rsid w:val="00794D34"/>
    <w:rsid w:val="007A3FCD"/>
    <w:rsid w:val="007B19CF"/>
    <w:rsid w:val="007D01AF"/>
    <w:rsid w:val="00813E5E"/>
    <w:rsid w:val="0083581B"/>
    <w:rsid w:val="00863874"/>
    <w:rsid w:val="00864AFF"/>
    <w:rsid w:val="00865925"/>
    <w:rsid w:val="008B4A6A"/>
    <w:rsid w:val="008C7E27"/>
    <w:rsid w:val="008F7448"/>
    <w:rsid w:val="0090147A"/>
    <w:rsid w:val="009173EF"/>
    <w:rsid w:val="00932906"/>
    <w:rsid w:val="00945CC6"/>
    <w:rsid w:val="00961B0B"/>
    <w:rsid w:val="00962D33"/>
    <w:rsid w:val="009B38C3"/>
    <w:rsid w:val="009E17BD"/>
    <w:rsid w:val="009E485A"/>
    <w:rsid w:val="00A04CEC"/>
    <w:rsid w:val="00A27F92"/>
    <w:rsid w:val="00A32257"/>
    <w:rsid w:val="00A36D20"/>
    <w:rsid w:val="00A514A4"/>
    <w:rsid w:val="00A55622"/>
    <w:rsid w:val="00A7099C"/>
    <w:rsid w:val="00A7559D"/>
    <w:rsid w:val="00A83502"/>
    <w:rsid w:val="00A94BAB"/>
    <w:rsid w:val="00AD15B3"/>
    <w:rsid w:val="00AD2EDA"/>
    <w:rsid w:val="00AD3606"/>
    <w:rsid w:val="00AD4A3D"/>
    <w:rsid w:val="00AD677D"/>
    <w:rsid w:val="00AE0319"/>
    <w:rsid w:val="00AF6E49"/>
    <w:rsid w:val="00B04A67"/>
    <w:rsid w:val="00B0583C"/>
    <w:rsid w:val="00B264DC"/>
    <w:rsid w:val="00B40A81"/>
    <w:rsid w:val="00B44910"/>
    <w:rsid w:val="00B518E3"/>
    <w:rsid w:val="00B60B12"/>
    <w:rsid w:val="00B72267"/>
    <w:rsid w:val="00B76EB6"/>
    <w:rsid w:val="00B7737B"/>
    <w:rsid w:val="00B824C8"/>
    <w:rsid w:val="00B84B9D"/>
    <w:rsid w:val="00B9131F"/>
    <w:rsid w:val="00BB0646"/>
    <w:rsid w:val="00BC251A"/>
    <w:rsid w:val="00BD032B"/>
    <w:rsid w:val="00BE01C6"/>
    <w:rsid w:val="00BE2640"/>
    <w:rsid w:val="00BF1FDE"/>
    <w:rsid w:val="00C01189"/>
    <w:rsid w:val="00C0458D"/>
    <w:rsid w:val="00C374DE"/>
    <w:rsid w:val="00C47AD4"/>
    <w:rsid w:val="00C47F68"/>
    <w:rsid w:val="00C52D81"/>
    <w:rsid w:val="00C55198"/>
    <w:rsid w:val="00C6520B"/>
    <w:rsid w:val="00CA6393"/>
    <w:rsid w:val="00CA7995"/>
    <w:rsid w:val="00CB18FF"/>
    <w:rsid w:val="00CB3A44"/>
    <w:rsid w:val="00CD0C08"/>
    <w:rsid w:val="00CE03FB"/>
    <w:rsid w:val="00CE433C"/>
    <w:rsid w:val="00CF0161"/>
    <w:rsid w:val="00CF33F3"/>
    <w:rsid w:val="00CF4A2B"/>
    <w:rsid w:val="00D024CA"/>
    <w:rsid w:val="00D06183"/>
    <w:rsid w:val="00D22C42"/>
    <w:rsid w:val="00D65041"/>
    <w:rsid w:val="00DA3734"/>
    <w:rsid w:val="00DB0F2B"/>
    <w:rsid w:val="00DB1936"/>
    <w:rsid w:val="00DB384B"/>
    <w:rsid w:val="00DD11ED"/>
    <w:rsid w:val="00DF0189"/>
    <w:rsid w:val="00DF26C9"/>
    <w:rsid w:val="00E06FD5"/>
    <w:rsid w:val="00E10E80"/>
    <w:rsid w:val="00E124F0"/>
    <w:rsid w:val="00E227F3"/>
    <w:rsid w:val="00E545C6"/>
    <w:rsid w:val="00E60F04"/>
    <w:rsid w:val="00E65B24"/>
    <w:rsid w:val="00E854E4"/>
    <w:rsid w:val="00E86DBF"/>
    <w:rsid w:val="00E969AF"/>
    <w:rsid w:val="00EB0D6F"/>
    <w:rsid w:val="00EB2232"/>
    <w:rsid w:val="00EC5337"/>
    <w:rsid w:val="00EE49E8"/>
    <w:rsid w:val="00F16BAB"/>
    <w:rsid w:val="00F2150A"/>
    <w:rsid w:val="00F231D8"/>
    <w:rsid w:val="00F30D67"/>
    <w:rsid w:val="00F41209"/>
    <w:rsid w:val="00F44C00"/>
    <w:rsid w:val="00F45D2C"/>
    <w:rsid w:val="00F46C5F"/>
    <w:rsid w:val="00F632C0"/>
    <w:rsid w:val="00F641E1"/>
    <w:rsid w:val="00F94A63"/>
    <w:rsid w:val="00FA1C28"/>
    <w:rsid w:val="00FB1279"/>
    <w:rsid w:val="00FB6B76"/>
    <w:rsid w:val="00FB7596"/>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NormalWeb">
    <w:name w:val="Normal (Web)"/>
    <w:basedOn w:val="Normal"/>
    <w:uiPriority w:val="99"/>
    <w:semiHidden/>
    <w:unhideWhenUsed/>
    <w:rsid w:val="00DA373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basedOn w:val="DefaultParagraphFont"/>
    <w:uiPriority w:val="22"/>
    <w:qFormat/>
    <w:rsid w:val="00DA3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oosa.org/oosa/oosadoc/data/resolutions/2021/general_assembly_76th_session/ares763.html" TargetMode="External"/><Relationship Id="rId13" Type="http://schemas.openxmlformats.org/officeDocument/2006/relationships/hyperlink" Target="https://www.itu.int/en/council/Documents/basic-texts-2023/RES-218-E.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council/Documents/basic-texts-2023/RES-203-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25-CL-C-0010/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200-E.pdf" TargetMode="External"/><Relationship Id="rId5" Type="http://schemas.openxmlformats.org/officeDocument/2006/relationships/webSettings" Target="webSettings.xml"/><Relationship Id="rId15" Type="http://schemas.openxmlformats.org/officeDocument/2006/relationships/hyperlink" Target="https://www.itu.int/md/R24-RRB24.3-C-0023/en" TargetMode="External"/><Relationship Id="rId10" Type="http://schemas.openxmlformats.org/officeDocument/2006/relationships/hyperlink" Target="https://www.itu.int/en/council/Documents/basic-texts-2023/RES-140-E.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en/council/Documents/basic-texts-2023/RES-030-E.pdf" TargetMode="External"/><Relationship Id="rId14" Type="http://schemas.openxmlformats.org/officeDocument/2006/relationships/hyperlink" Target="https://www.itu.int/md/R24-RRB24.3-C-0019/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SGO\SPM\GBS\C25\doc\Templates\For%20pool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PE_Council25.dotx</Template>
  <TotalTime>22</TotalTime>
  <Pages>3</Pages>
  <Words>750</Words>
  <Characters>5256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Council 2025</vt:lpstr>
    </vt:vector>
  </TitlesOfParts>
  <Manager>General Secretariat</Manager>
  <Company>International Telecommunication Union (ITU)</Company>
  <LinksUpToDate>false</LinksUpToDate>
  <CharactersWithSpaces>5995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Proposal for exemption of cost recovery fee for seven submissions under Resolution 170 (Rev.WRC-23) by the Administration of Angola acting on behalf of 16 SADC Member States</dc:title>
  <dc:subject>Council 2025</dc:subject>
  <dc:creator>LRT</dc:creator>
  <cp:keywords>C25; C2025; Council 2025; ITU160</cp:keywords>
  <dc:description/>
  <cp:lastModifiedBy>GBS</cp:lastModifiedBy>
  <cp:revision>4</cp:revision>
  <cp:lastPrinted>2000-07-18T13:30:00Z</cp:lastPrinted>
  <dcterms:created xsi:type="dcterms:W3CDTF">2025-06-03T12:24:00Z</dcterms:created>
  <dcterms:modified xsi:type="dcterms:W3CDTF">2025-06-04T14:50:00Z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ies>
</file>